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00" w:lineRule="exact"/>
        <w:ind w:left="0" w:leftChars="0"/>
        <w:jc w:val="center"/>
        <w:textAlignment w:val="auto"/>
        <w:rPr>
          <w:rFonts w:ascii="方正小标宋_GBK" w:hAnsi="方正小标宋_GBK" w:eastAsia="方正小标宋_GBK" w:cs="方正小标宋_GBK"/>
          <w:sz w:val="43"/>
          <w:szCs w:val="43"/>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jc w:val="center"/>
        <w:textAlignment w:val="auto"/>
        <w:rPr>
          <w:rStyle w:val="5"/>
          <w:rFonts w:hint="eastAsia" w:ascii="方正小标宋_GBK" w:hAnsi="方正小标宋_GBK" w:eastAsia="方正小标宋_GBK" w:cs="方正小标宋_GBK"/>
          <w:b w:val="0"/>
          <w:bCs/>
          <w:sz w:val="44"/>
          <w:szCs w:val="44"/>
          <w:shd w:val="clear" w:fill="FFFFFF"/>
        </w:rPr>
      </w:pPr>
      <w:r>
        <w:rPr>
          <w:rStyle w:val="5"/>
          <w:rFonts w:hint="eastAsia" w:ascii="方正小标宋_GBK" w:hAnsi="方正小标宋_GBK" w:eastAsia="方正小标宋_GBK" w:cs="方正小标宋_GBK"/>
          <w:b w:val="0"/>
          <w:bCs/>
          <w:sz w:val="44"/>
          <w:szCs w:val="44"/>
          <w:shd w:val="clear" w:fill="FFFFFF"/>
        </w:rPr>
        <w:t>重庆市万州区黄柏乡人民政府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jc w:val="center"/>
        <w:textAlignment w:val="auto"/>
        <w:rPr>
          <w:rStyle w:val="5"/>
          <w:rFonts w:hint="eastAsia" w:ascii="方正小标宋_GBK" w:hAnsi="方正小标宋_GBK" w:eastAsia="方正小标宋_GBK" w:cs="方正小标宋_GBK"/>
          <w:b w:val="0"/>
          <w:bCs/>
          <w:sz w:val="44"/>
          <w:szCs w:val="44"/>
          <w:shd w:val="clear" w:fill="FFFFFF"/>
        </w:rPr>
      </w:pPr>
      <w:r>
        <w:rPr>
          <w:rStyle w:val="5"/>
          <w:rFonts w:hint="default" w:ascii="方正小标宋_GBK" w:hAnsi="方正小标宋_GBK" w:eastAsia="方正小标宋_GBK" w:cs="方正小标宋_GBK"/>
          <w:b w:val="0"/>
          <w:bCs/>
          <w:sz w:val="44"/>
          <w:szCs w:val="44"/>
          <w:shd w:val="clear" w:fill="FFFFFF"/>
        </w:rPr>
        <w:t>2022年部门预算情况说明</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00" w:lineRule="exact"/>
        <w:ind w:left="0" w:leftChars="0" w:firstLine="1095"/>
        <w:jc w:val="left"/>
        <w:textAlignment w:val="auto"/>
      </w:pPr>
      <w:r>
        <w:rPr>
          <w:rFonts w:hint="default" w:ascii="方正小标宋_GBK" w:hAnsi="方正小标宋_GBK" w:eastAsia="方正小标宋_GBK" w:cs="方正小标宋_GBK"/>
          <w:sz w:val="43"/>
          <w:szCs w:val="43"/>
        </w:rPr>
        <w:t> </w:t>
      </w:r>
    </w:p>
    <w:p>
      <w:pPr>
        <w:pStyle w:val="2"/>
        <w:keepNext w:val="0"/>
        <w:keepLines w:val="0"/>
        <w:pageBreakBefore w:val="0"/>
        <w:widowControl w:val="0"/>
        <w:suppressLineNumbers w:val="0"/>
        <w:kinsoku/>
        <w:wordWrap/>
        <w:overflowPunct/>
        <w:topLinePunct/>
        <w:autoSpaceDE/>
        <w:autoSpaceDN/>
        <w:bidi w:val="0"/>
        <w:adjustRightInd/>
        <w:snapToGrid/>
        <w:spacing w:beforeAutospacing="0" w:after="0" w:afterAutospacing="0" w:line="600" w:lineRule="exact"/>
        <w:ind w:left="0" w:firstLine="640" w:firstLineChars="200"/>
        <w:jc w:val="both"/>
        <w:textAlignment w:val="auto"/>
        <w:rPr>
          <w:rStyle w:val="5"/>
          <w:rFonts w:hint="eastAsia" w:ascii="方正黑体_GBK" w:hAnsi="方正黑体_GBK" w:eastAsia="方正黑体_GBK" w:cs="方正黑体_GBK"/>
          <w:b w:val="0"/>
          <w:bCs/>
          <w:color w:val="000000"/>
          <w:sz w:val="32"/>
          <w:szCs w:val="32"/>
          <w:shd w:val="clear" w:fill="FFFFFF"/>
        </w:rPr>
      </w:pPr>
      <w:r>
        <w:rPr>
          <w:rStyle w:val="5"/>
          <w:rFonts w:hint="eastAsia" w:ascii="方正黑体_GBK" w:hAnsi="方正黑体_GBK" w:eastAsia="方正黑体_GBK" w:cs="方正黑体_GBK"/>
          <w:b w:val="0"/>
          <w:bCs/>
          <w:color w:val="000000"/>
          <w:sz w:val="32"/>
          <w:szCs w:val="32"/>
          <w:shd w:val="clear" w:fill="FFFFFF"/>
        </w:rPr>
        <w:t>一、 单位基本情况</w:t>
      </w:r>
    </w:p>
    <w:p>
      <w:pPr>
        <w:pStyle w:val="2"/>
        <w:keepNext w:val="0"/>
        <w:keepLines w:val="0"/>
        <w:pageBreakBefore w:val="0"/>
        <w:widowControl w:val="0"/>
        <w:suppressLineNumbers w:val="0"/>
        <w:kinsoku/>
        <w:wordWrap/>
        <w:overflowPunct/>
        <w:topLinePunct/>
        <w:autoSpaceDE/>
        <w:autoSpaceDN/>
        <w:bidi w:val="0"/>
        <w:adjustRightInd/>
        <w:snapToGrid/>
        <w:spacing w:beforeAutospacing="0" w:after="0" w:afterAutospacing="0" w:line="600" w:lineRule="exact"/>
        <w:ind w:left="0" w:firstLine="640" w:firstLineChars="200"/>
        <w:jc w:val="both"/>
        <w:textAlignment w:val="auto"/>
        <w:rPr>
          <w:rStyle w:val="5"/>
          <w:rFonts w:hint="eastAsia" w:ascii="方正楷体_GBK" w:hAnsi="方正楷体_GBK" w:eastAsia="方正楷体_GBK" w:cs="方正楷体_GBK"/>
          <w:b w:val="0"/>
          <w:bCs/>
          <w:color w:val="000000"/>
          <w:sz w:val="32"/>
          <w:szCs w:val="32"/>
          <w:shd w:val="clear" w:fill="FFFFFF"/>
        </w:rPr>
      </w:pPr>
      <w:r>
        <w:rPr>
          <w:rStyle w:val="5"/>
          <w:rFonts w:hint="eastAsia" w:ascii="方正楷体_GBK" w:hAnsi="方正楷体_GBK" w:eastAsia="方正楷体_GBK" w:cs="方正楷体_GBK"/>
          <w:b w:val="0"/>
          <w:bCs/>
          <w:color w:val="000000"/>
          <w:sz w:val="32"/>
          <w:szCs w:val="32"/>
          <w:shd w:val="clear" w:fill="FFFFFF"/>
        </w:rPr>
        <w:t>（一）职能职责</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00" w:lineRule="exact"/>
        <w:ind w:left="0" w:leftChars="0" w:firstLine="480"/>
        <w:textAlignment w:val="auto"/>
        <w:rPr>
          <w:rFonts w:hint="eastAsia" w:ascii="方正仿宋_GBK" w:hAnsi="方正仿宋_GBK" w:eastAsia="方正仿宋_GBK" w:cs="方正仿宋_GBK"/>
          <w:b w:val="0"/>
          <w:bCs/>
          <w:color w:val="000000"/>
          <w:sz w:val="32"/>
          <w:szCs w:val="32"/>
          <w:shd w:val="clear" w:fill="FFFFFF"/>
        </w:rPr>
      </w:pPr>
      <w:r>
        <w:rPr>
          <w:rFonts w:ascii="仿宋_GB2312" w:eastAsia="仿宋_GB2312" w:cs="仿宋_GB2312"/>
          <w:sz w:val="31"/>
          <w:szCs w:val="31"/>
        </w:rPr>
        <w:t> </w:t>
      </w:r>
      <w:r>
        <w:rPr>
          <w:rFonts w:hint="eastAsia" w:ascii="方正仿宋_GBK" w:hAnsi="方正仿宋_GBK" w:eastAsia="方正仿宋_GBK" w:cs="方正仿宋_GBK"/>
          <w:b w:val="0"/>
          <w:bCs/>
          <w:color w:val="000000"/>
          <w:sz w:val="32"/>
          <w:szCs w:val="32"/>
          <w:shd w:val="clear" w:fill="FFFFFF"/>
        </w:rPr>
        <w:t>重庆市万州区黄柏乡人民政府的主要职能是：贯彻执行党的路线方针政策和国家的法律法规，深学笃用习近平新时代中国特色社会主义思想，坚持以人民为中心的发展思想，充分发挥乡党委领导核心作用，坚持促进经济发展、增加农民收入，强化公共服务、着力改善民生，加强社会管理、维护农村稳定，推进基层民主、促进农村和谐的基本职能，适应经济社会发展新要求和人民群众新期待，推动工作重心转移到加强基层党的建设，强化经济发展、公共服务、公共管理、公共安全等方面职能。承担区级部门下放的服务管理职权、承担依法授权或委托的行政执法权。构建职能科学、运转有序、保障有力、服务高效、人民满意的乡政府服务管理体制机制。</w:t>
      </w:r>
    </w:p>
    <w:p>
      <w:pPr>
        <w:pStyle w:val="2"/>
        <w:keepNext w:val="0"/>
        <w:keepLines w:val="0"/>
        <w:pageBreakBefore w:val="0"/>
        <w:widowControl w:val="0"/>
        <w:suppressLineNumbers w:val="0"/>
        <w:kinsoku/>
        <w:wordWrap/>
        <w:overflowPunct/>
        <w:topLinePunct/>
        <w:autoSpaceDE/>
        <w:autoSpaceDN/>
        <w:bidi w:val="0"/>
        <w:adjustRightInd/>
        <w:snapToGrid/>
        <w:spacing w:beforeAutospacing="0" w:after="0" w:afterAutospacing="0" w:line="600" w:lineRule="exact"/>
        <w:ind w:left="0" w:firstLine="640" w:firstLineChars="200"/>
        <w:jc w:val="both"/>
        <w:textAlignment w:val="auto"/>
        <w:rPr>
          <w:rStyle w:val="5"/>
          <w:rFonts w:hint="eastAsia" w:ascii="方正楷体_GBK" w:hAnsi="方正楷体_GBK" w:eastAsia="方正楷体_GBK" w:cs="方正楷体_GBK"/>
          <w:b w:val="0"/>
          <w:bCs/>
          <w:color w:val="000000"/>
          <w:sz w:val="32"/>
          <w:szCs w:val="32"/>
          <w:shd w:val="clear" w:fill="FFFFFF"/>
        </w:rPr>
      </w:pPr>
      <w:r>
        <w:rPr>
          <w:rStyle w:val="5"/>
          <w:rFonts w:hint="eastAsia" w:ascii="方正楷体_GBK" w:hAnsi="方正楷体_GBK" w:eastAsia="方正楷体_GBK" w:cs="方正楷体_GBK"/>
          <w:b w:val="0"/>
          <w:bCs/>
          <w:color w:val="000000"/>
          <w:sz w:val="32"/>
          <w:szCs w:val="32"/>
          <w:shd w:val="clear" w:fill="FFFFFF"/>
        </w:rPr>
        <w:t>（二） 单位构成</w:t>
      </w:r>
    </w:p>
    <w:p>
      <w:pPr>
        <w:pStyle w:val="2"/>
        <w:keepNext w:val="0"/>
        <w:keepLines w:val="0"/>
        <w:pageBreakBefore w:val="0"/>
        <w:widowControl w:val="0"/>
        <w:suppressLineNumbers w:val="0"/>
        <w:kinsoku/>
        <w:wordWrap/>
        <w:overflowPunct/>
        <w:topLinePunct/>
        <w:autoSpaceDE/>
        <w:autoSpaceDN/>
        <w:bidi w:val="0"/>
        <w:adjustRightInd/>
        <w:snapToGrid/>
        <w:spacing w:beforeAutospacing="0" w:after="0" w:afterAutospacing="0" w:line="600" w:lineRule="exact"/>
        <w:ind w:left="0" w:firstLine="640" w:firstLineChars="200"/>
        <w:jc w:val="both"/>
        <w:textAlignment w:val="auto"/>
        <w:rPr>
          <w:rFonts w:hint="eastAsia" w:ascii="方正仿宋_GBK" w:hAnsi="方正仿宋_GBK" w:eastAsia="方正仿宋_GBK" w:cs="方正仿宋_GBK"/>
          <w:b w:val="0"/>
          <w:bCs/>
          <w:color w:val="000000"/>
          <w:sz w:val="32"/>
          <w:szCs w:val="32"/>
          <w:shd w:val="clear" w:fill="FFFFFF"/>
        </w:rPr>
      </w:pPr>
      <w:r>
        <w:rPr>
          <w:rFonts w:hint="eastAsia" w:ascii="方正仿宋_GBK" w:hAnsi="方正仿宋_GBK" w:eastAsia="方正仿宋_GBK" w:cs="方正仿宋_GBK"/>
          <w:b w:val="0"/>
          <w:bCs/>
          <w:color w:val="000000"/>
          <w:sz w:val="32"/>
          <w:szCs w:val="32"/>
          <w:shd w:val="clear" w:fill="FFFFFF"/>
        </w:rPr>
        <w:t>1</w:t>
      </w:r>
      <w:r>
        <w:rPr>
          <w:rFonts w:hint="eastAsia" w:ascii="方正仿宋_GBK" w:hAnsi="方正仿宋_GBK" w:eastAsia="方正仿宋_GBK" w:cs="方正仿宋_GBK"/>
          <w:b w:val="0"/>
          <w:bCs/>
          <w:color w:val="000000"/>
          <w:sz w:val="32"/>
          <w:szCs w:val="32"/>
          <w:shd w:val="clear" w:fill="FFFFFF"/>
          <w:lang w:eastAsia="zh-CN"/>
        </w:rPr>
        <w:t>.</w:t>
      </w:r>
      <w:r>
        <w:rPr>
          <w:rFonts w:hint="eastAsia" w:ascii="方正仿宋_GBK" w:hAnsi="方正仿宋_GBK" w:eastAsia="方正仿宋_GBK" w:cs="方正仿宋_GBK"/>
          <w:b w:val="0"/>
          <w:bCs/>
          <w:color w:val="000000"/>
          <w:sz w:val="32"/>
          <w:szCs w:val="32"/>
          <w:shd w:val="clear" w:fill="FFFFFF"/>
        </w:rPr>
        <w:t>综合办事机构设置：我单位内设 8 个综合办事机构，分别是党政办公室（党群办）、经济发展办公室、民政和社会事务办公室、平安建设办公室、规划建设管理环保办公室、财政办公室、应急管理办公室。</w:t>
      </w:r>
    </w:p>
    <w:p>
      <w:pPr>
        <w:pStyle w:val="2"/>
        <w:keepNext w:val="0"/>
        <w:keepLines w:val="0"/>
        <w:pageBreakBefore w:val="0"/>
        <w:widowControl w:val="0"/>
        <w:suppressLineNumbers w:val="0"/>
        <w:kinsoku/>
        <w:wordWrap/>
        <w:overflowPunct/>
        <w:topLinePunct/>
        <w:autoSpaceDE/>
        <w:autoSpaceDN/>
        <w:bidi w:val="0"/>
        <w:adjustRightInd/>
        <w:snapToGrid/>
        <w:spacing w:beforeAutospacing="0" w:after="0" w:afterAutospacing="0" w:line="600" w:lineRule="exact"/>
        <w:ind w:left="0" w:firstLine="640" w:firstLineChars="200"/>
        <w:jc w:val="both"/>
        <w:textAlignment w:val="auto"/>
        <w:rPr>
          <w:rFonts w:hint="eastAsia" w:ascii="方正仿宋_GBK" w:hAnsi="方正仿宋_GBK" w:eastAsia="方正仿宋_GBK" w:cs="方正仿宋_GBK"/>
          <w:b w:val="0"/>
          <w:bCs/>
          <w:color w:val="000000"/>
          <w:sz w:val="32"/>
          <w:szCs w:val="32"/>
          <w:shd w:val="clear" w:fill="FFFFFF"/>
        </w:rPr>
      </w:pPr>
      <w:r>
        <w:rPr>
          <w:rFonts w:hint="eastAsia" w:ascii="方正仿宋_GBK" w:hAnsi="方正仿宋_GBK" w:eastAsia="方正仿宋_GBK" w:cs="方正仿宋_GBK"/>
          <w:b w:val="0"/>
          <w:bCs/>
          <w:color w:val="000000"/>
          <w:sz w:val="32"/>
          <w:szCs w:val="32"/>
          <w:shd w:val="clear" w:fill="FFFFFF"/>
        </w:rPr>
        <w:t>2.事业站办所设置：我单位内设6个事业单位，分别是农业服务中心、文化服务中心、劳动就业和社会保障服务所、村镇建设环保服务中心、退役军人服务站、综合行政执法大队。</w:t>
      </w:r>
    </w:p>
    <w:p>
      <w:pPr>
        <w:pStyle w:val="2"/>
        <w:keepNext w:val="0"/>
        <w:keepLines w:val="0"/>
        <w:pageBreakBefore w:val="0"/>
        <w:widowControl w:val="0"/>
        <w:suppressLineNumbers w:val="0"/>
        <w:kinsoku/>
        <w:wordWrap/>
        <w:overflowPunct/>
        <w:topLinePunct/>
        <w:autoSpaceDE/>
        <w:autoSpaceDN/>
        <w:bidi w:val="0"/>
        <w:adjustRightInd/>
        <w:snapToGrid/>
        <w:spacing w:beforeAutospacing="0" w:after="0" w:afterAutospacing="0" w:line="600" w:lineRule="exact"/>
        <w:ind w:left="0" w:firstLine="640" w:firstLineChars="200"/>
        <w:jc w:val="both"/>
        <w:textAlignment w:val="auto"/>
        <w:rPr>
          <w:rStyle w:val="5"/>
          <w:rFonts w:hint="eastAsia" w:ascii="方正黑体_GBK" w:hAnsi="方正黑体_GBK" w:eastAsia="方正黑体_GBK" w:cs="方正黑体_GBK"/>
          <w:b w:val="0"/>
          <w:bCs/>
          <w:color w:val="000000"/>
          <w:sz w:val="32"/>
          <w:szCs w:val="32"/>
          <w:shd w:val="clear" w:fill="FFFFFF"/>
        </w:rPr>
      </w:pPr>
      <w:r>
        <w:rPr>
          <w:rStyle w:val="5"/>
          <w:rFonts w:hint="default" w:ascii="方正黑体_GBK" w:hAnsi="方正黑体_GBK" w:eastAsia="方正黑体_GBK" w:cs="方正黑体_GBK"/>
          <w:b w:val="0"/>
          <w:bCs/>
          <w:color w:val="000000"/>
          <w:sz w:val="32"/>
          <w:szCs w:val="32"/>
          <w:shd w:val="clear" w:fill="FFFFFF"/>
        </w:rPr>
        <w:t>二、 部门收支总体情况</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00" w:lineRule="exact"/>
        <w:ind w:left="0" w:leftChars="0" w:firstLine="645"/>
        <w:textAlignment w:val="auto"/>
        <w:rPr>
          <w:rFonts w:hint="eastAsia" w:ascii="方正仿宋_GBK" w:hAnsi="方正仿宋_GBK" w:eastAsia="方正仿宋_GBK" w:cs="方正仿宋_GBK"/>
          <w:b w:val="0"/>
          <w:bCs/>
          <w:color w:val="000000"/>
          <w:sz w:val="32"/>
          <w:szCs w:val="32"/>
          <w:shd w:val="clear" w:fill="FFFFFF"/>
        </w:rPr>
      </w:pPr>
      <w:r>
        <w:rPr>
          <w:rStyle w:val="5"/>
          <w:rFonts w:hint="eastAsia" w:ascii="方正楷体_GBK" w:hAnsi="方正楷体_GBK" w:eastAsia="方正楷体_GBK" w:cs="方正楷体_GBK"/>
          <w:b w:val="0"/>
          <w:bCs/>
          <w:color w:val="000000"/>
          <w:sz w:val="32"/>
          <w:szCs w:val="32"/>
          <w:shd w:val="clear" w:fill="FFFFFF"/>
        </w:rPr>
        <w:t>（一）收入预算：</w:t>
      </w:r>
      <w:r>
        <w:rPr>
          <w:rFonts w:hint="eastAsia" w:ascii="方正仿宋_GBK" w:hAnsi="方正仿宋_GBK" w:eastAsia="方正仿宋_GBK" w:cs="方正仿宋_GBK"/>
          <w:b w:val="0"/>
          <w:bCs/>
          <w:color w:val="000000"/>
          <w:sz w:val="32"/>
          <w:szCs w:val="32"/>
          <w:shd w:val="clear" w:fill="FFFFFF"/>
        </w:rPr>
        <w:t>2022年年初预算数997.53万元，其中：一般公共预算拨款995.53万元，政府性基金预算拨款</w:t>
      </w:r>
      <w:r>
        <w:rPr>
          <w:rFonts w:hint="eastAsia" w:ascii="方正仿宋_GBK" w:hAnsi="方正仿宋_GBK" w:eastAsia="方正仿宋_GBK" w:cs="方正仿宋_GBK"/>
          <w:b w:val="0"/>
          <w:bCs/>
          <w:color w:val="000000"/>
          <w:sz w:val="32"/>
          <w:szCs w:val="32"/>
          <w:shd w:val="clear" w:fill="FFFFFF"/>
          <w:lang w:val="en-US" w:eastAsia="zh-CN"/>
        </w:rPr>
        <w:t>2</w:t>
      </w:r>
      <w:r>
        <w:rPr>
          <w:rFonts w:hint="eastAsia" w:ascii="方正仿宋_GBK" w:hAnsi="方正仿宋_GBK" w:eastAsia="方正仿宋_GBK" w:cs="方正仿宋_GBK"/>
          <w:b w:val="0"/>
          <w:bCs/>
          <w:color w:val="000000"/>
          <w:sz w:val="32"/>
          <w:szCs w:val="32"/>
          <w:shd w:val="clear" w:fill="FFFFFF"/>
        </w:rPr>
        <w:t>万元，国有资本经营预算收入0万元，事业收入0万元，事业单位经营收入0万元，其他收入0万元；收入较去年减少145.51万元，主要是人员经费、公用经费和社会保障缴费经费拨款减少145.51万元。</w:t>
      </w:r>
    </w:p>
    <w:p>
      <w:pPr>
        <w:pStyle w:val="2"/>
        <w:keepNext w:val="0"/>
        <w:keepLines w:val="0"/>
        <w:pageBreakBefore w:val="0"/>
        <w:widowControl w:val="0"/>
        <w:suppressLineNumbers w:val="0"/>
        <w:kinsoku/>
        <w:wordWrap/>
        <w:overflowPunct/>
        <w:topLinePunct/>
        <w:autoSpaceDE/>
        <w:autoSpaceDN/>
        <w:bidi w:val="0"/>
        <w:adjustRightInd/>
        <w:snapToGrid/>
        <w:spacing w:beforeAutospacing="0" w:after="0" w:afterAutospacing="0" w:line="600" w:lineRule="exact"/>
        <w:ind w:left="0" w:firstLine="640" w:firstLineChars="200"/>
        <w:jc w:val="both"/>
        <w:textAlignment w:val="auto"/>
        <w:rPr>
          <w:rFonts w:hint="eastAsia" w:ascii="方正仿宋_GBK" w:hAnsi="方正仿宋_GBK" w:eastAsia="方正仿宋_GBK" w:cs="方正仿宋_GBK"/>
          <w:b w:val="0"/>
          <w:bCs/>
          <w:color w:val="000000"/>
          <w:sz w:val="32"/>
          <w:szCs w:val="32"/>
          <w:shd w:val="clear" w:fill="FFFFFF"/>
        </w:rPr>
      </w:pPr>
      <w:r>
        <w:rPr>
          <w:rStyle w:val="5"/>
          <w:rFonts w:hint="eastAsia" w:ascii="方正楷体_GBK" w:hAnsi="方正楷体_GBK" w:eastAsia="方正楷体_GBK" w:cs="方正楷体_GBK"/>
          <w:b w:val="0"/>
          <w:bCs/>
          <w:color w:val="000000"/>
          <w:sz w:val="32"/>
          <w:szCs w:val="32"/>
          <w:shd w:val="clear" w:fill="FFFFFF"/>
        </w:rPr>
        <w:t>（二）支出预</w:t>
      </w:r>
      <w:r>
        <w:rPr>
          <w:rStyle w:val="5"/>
          <w:rFonts w:hint="eastAsia" w:ascii="方正楷体_GBK" w:hAnsi="方正楷体_GBK" w:eastAsia="方正楷体_GBK" w:cs="方正楷体_GBK"/>
          <w:b w:val="0"/>
          <w:bCs/>
          <w:color w:val="000000"/>
          <w:sz w:val="32"/>
          <w:szCs w:val="32"/>
          <w:shd w:val="clear" w:fill="FFFFFF"/>
        </w:rPr>
        <w:t>算：</w:t>
      </w:r>
      <w:r>
        <w:rPr>
          <w:rFonts w:hint="eastAsia" w:ascii="方正仿宋_GBK" w:hAnsi="方正仿宋_GBK" w:eastAsia="方正仿宋_GBK" w:cs="方正仿宋_GBK"/>
          <w:b w:val="0"/>
          <w:bCs/>
          <w:color w:val="000000"/>
          <w:sz w:val="32"/>
          <w:szCs w:val="32"/>
          <w:shd w:val="clear" w:fill="FFFFFF"/>
        </w:rPr>
        <w:t>2022年年初预算数997.53 万元，其中：一般公共服务支出351.48万元，国防支出5万元，公共安全支出8.64万元，文化旅游体育与传媒支出34.41万元，社会保障和就业支出210.93万元，卫生健康支出47.38万元，城乡社区支出38.97万元（含基金预算支出污水处理费2元），农林水支出228.20万元</w:t>
      </w:r>
      <w:r>
        <w:rPr>
          <w:rFonts w:hint="eastAsia" w:ascii="方正仿宋_GBK" w:hAnsi="方正仿宋_GBK" w:eastAsia="方正仿宋_GBK" w:cs="方正仿宋_GBK"/>
          <w:b w:val="0"/>
          <w:bCs/>
          <w:color w:val="000000"/>
          <w:sz w:val="32"/>
          <w:szCs w:val="32"/>
          <w:shd w:val="clear" w:fill="FFFFFF"/>
          <w:lang w:eastAsia="zh-CN"/>
        </w:rPr>
        <w:t>，</w:t>
      </w:r>
      <w:r>
        <w:rPr>
          <w:rFonts w:hint="eastAsia" w:ascii="方正仿宋_GBK" w:hAnsi="方正仿宋_GBK" w:eastAsia="方正仿宋_GBK" w:cs="方正仿宋_GBK"/>
          <w:b w:val="0"/>
          <w:bCs/>
          <w:color w:val="000000"/>
          <w:sz w:val="32"/>
          <w:szCs w:val="32"/>
          <w:shd w:val="clear" w:fill="FFFFFF"/>
        </w:rPr>
        <w:t>住房保障支出72.52万元；支出较去年减少145.51万元，主要是基本支出减少159.44 万元，项目支出增加13.93万元。</w:t>
      </w:r>
    </w:p>
    <w:p>
      <w:pPr>
        <w:pStyle w:val="2"/>
        <w:keepNext w:val="0"/>
        <w:keepLines w:val="0"/>
        <w:pageBreakBefore w:val="0"/>
        <w:widowControl w:val="0"/>
        <w:suppressLineNumbers w:val="0"/>
        <w:kinsoku/>
        <w:wordWrap/>
        <w:overflowPunct/>
        <w:topLinePunct/>
        <w:autoSpaceDE/>
        <w:autoSpaceDN/>
        <w:bidi w:val="0"/>
        <w:adjustRightInd/>
        <w:snapToGrid/>
        <w:spacing w:beforeAutospacing="0" w:after="0" w:afterAutospacing="0" w:line="600" w:lineRule="exact"/>
        <w:ind w:left="0" w:firstLine="640" w:firstLineChars="200"/>
        <w:jc w:val="both"/>
        <w:textAlignment w:val="auto"/>
        <w:rPr>
          <w:rStyle w:val="5"/>
          <w:rFonts w:hint="eastAsia" w:ascii="方正黑体_GBK" w:hAnsi="方正黑体_GBK" w:eastAsia="方正黑体_GBK" w:cs="方正黑体_GBK"/>
          <w:b w:val="0"/>
          <w:bCs/>
          <w:color w:val="000000"/>
          <w:sz w:val="32"/>
          <w:szCs w:val="32"/>
          <w:shd w:val="clear" w:fill="FFFFFF"/>
        </w:rPr>
      </w:pPr>
      <w:r>
        <w:rPr>
          <w:rStyle w:val="5"/>
          <w:rFonts w:hint="default" w:ascii="方正黑体_GBK" w:hAnsi="方正黑体_GBK" w:eastAsia="方正黑体_GBK" w:cs="方正黑体_GBK"/>
          <w:b w:val="0"/>
          <w:bCs/>
          <w:color w:val="000000"/>
          <w:sz w:val="32"/>
          <w:szCs w:val="32"/>
          <w:shd w:val="clear" w:fill="FFFFFF"/>
        </w:rPr>
        <w:t>三、部门预算情况说明</w:t>
      </w:r>
    </w:p>
    <w:p>
      <w:pPr>
        <w:pStyle w:val="2"/>
        <w:keepNext w:val="0"/>
        <w:keepLines w:val="0"/>
        <w:pageBreakBefore w:val="0"/>
        <w:widowControl w:val="0"/>
        <w:suppressLineNumbers w:val="0"/>
        <w:kinsoku/>
        <w:wordWrap/>
        <w:overflowPunct/>
        <w:topLinePunct/>
        <w:autoSpaceDE/>
        <w:autoSpaceDN/>
        <w:bidi w:val="0"/>
        <w:adjustRightInd/>
        <w:snapToGrid/>
        <w:spacing w:beforeAutospacing="0" w:after="0" w:afterAutospacing="0" w:line="600" w:lineRule="exact"/>
        <w:ind w:left="0" w:firstLine="640" w:firstLineChars="200"/>
        <w:jc w:val="both"/>
        <w:textAlignment w:val="auto"/>
        <w:rPr>
          <w:rFonts w:hint="eastAsia" w:ascii="方正仿宋_GBK" w:hAnsi="方正仿宋_GBK" w:eastAsia="方正仿宋_GBK" w:cs="方正仿宋_GBK"/>
          <w:b w:val="0"/>
          <w:bCs/>
          <w:color w:val="000000"/>
          <w:sz w:val="32"/>
          <w:szCs w:val="32"/>
          <w:shd w:val="clear" w:fill="FFFFFF"/>
        </w:rPr>
      </w:pPr>
      <w:r>
        <w:rPr>
          <w:rFonts w:hint="eastAsia" w:ascii="方正仿宋_GBK" w:hAnsi="方正仿宋_GBK" w:eastAsia="方正仿宋_GBK" w:cs="方正仿宋_GBK"/>
          <w:b w:val="0"/>
          <w:bCs/>
          <w:color w:val="000000"/>
          <w:sz w:val="32"/>
          <w:szCs w:val="32"/>
          <w:shd w:val="clear" w:fill="FFFFFF"/>
        </w:rPr>
        <w:t>2022年一般公共预算财政拨款收入995.53万元，一般公共预算财政拨款支出99</w:t>
      </w:r>
      <w:r>
        <w:rPr>
          <w:rFonts w:hint="eastAsia" w:ascii="方正仿宋_GBK" w:hAnsi="方正仿宋_GBK" w:eastAsia="方正仿宋_GBK" w:cs="方正仿宋_GBK"/>
          <w:b w:val="0"/>
          <w:bCs/>
          <w:color w:val="000000"/>
          <w:sz w:val="32"/>
          <w:szCs w:val="32"/>
          <w:shd w:val="clear" w:fill="FFFFFF"/>
          <w:lang w:val="en-US" w:eastAsia="zh-CN"/>
        </w:rPr>
        <w:t>5</w:t>
      </w:r>
      <w:r>
        <w:rPr>
          <w:rFonts w:hint="eastAsia" w:ascii="方正仿宋_GBK" w:hAnsi="方正仿宋_GBK" w:eastAsia="方正仿宋_GBK" w:cs="方正仿宋_GBK"/>
          <w:b w:val="0"/>
          <w:bCs/>
          <w:color w:val="000000"/>
          <w:sz w:val="32"/>
          <w:szCs w:val="32"/>
          <w:shd w:val="clear" w:fill="FFFFFF"/>
        </w:rPr>
        <w:t>.53万元，比2021年减少145.51万元。其中：基本支出795.74万元，比2021年减少159.44万元，主要原因是人员变动所涉及的人员经费、公用经费和社会保障缴费等减少，主要用于保障黄柏乡政府在职人员工资福利及社会保险缴费、离休人员离休费、退休人员补助等，保障部门正常运转的各项商品服务支出；项目支出199.79万元，比2021年增加13.93万元，主要原因是村居干部补助调整、国防支出等经费的增加，主要用于国防支出、信息化建设、信访事务、基层政权建设和社区治理、城乡社区环境卫生及对村民委员会和党支部的补助等重点工作。</w:t>
      </w:r>
    </w:p>
    <w:p>
      <w:pPr>
        <w:pStyle w:val="2"/>
        <w:keepNext w:val="0"/>
        <w:keepLines w:val="0"/>
        <w:pageBreakBefore w:val="0"/>
        <w:widowControl w:val="0"/>
        <w:suppressLineNumbers w:val="0"/>
        <w:kinsoku/>
        <w:wordWrap/>
        <w:overflowPunct/>
        <w:topLinePunct/>
        <w:autoSpaceDE/>
        <w:autoSpaceDN/>
        <w:bidi w:val="0"/>
        <w:adjustRightInd/>
        <w:snapToGrid/>
        <w:spacing w:beforeAutospacing="0" w:after="0" w:afterAutospacing="0" w:line="600" w:lineRule="exact"/>
        <w:ind w:left="0" w:firstLine="640" w:firstLineChars="200"/>
        <w:jc w:val="both"/>
        <w:textAlignment w:val="auto"/>
        <w:rPr>
          <w:rFonts w:hint="eastAsia" w:ascii="方正仿宋_GBK" w:hAnsi="方正仿宋_GBK" w:eastAsia="方正仿宋_GBK" w:cs="方正仿宋_GBK"/>
          <w:b w:val="0"/>
          <w:bCs/>
          <w:color w:val="000000"/>
          <w:sz w:val="32"/>
          <w:szCs w:val="32"/>
          <w:shd w:val="clear" w:fill="FFFFFF"/>
        </w:rPr>
      </w:pPr>
      <w:r>
        <w:rPr>
          <w:rFonts w:hint="eastAsia" w:ascii="方正仿宋_GBK" w:hAnsi="方正仿宋_GBK" w:eastAsia="方正仿宋_GBK" w:cs="方正仿宋_GBK"/>
          <w:b w:val="0"/>
          <w:bCs/>
          <w:color w:val="000000"/>
          <w:sz w:val="32"/>
          <w:szCs w:val="32"/>
          <w:shd w:val="clear" w:fill="FFFFFF"/>
        </w:rPr>
        <w:t>2022年政府性基金预算收入2万元，政府性基金预算支出2万元，与2021年持平，主要用于污水管网维修。</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00" w:lineRule="exact"/>
        <w:ind w:left="0" w:leftChars="0" w:firstLine="645"/>
        <w:textAlignment w:val="auto"/>
      </w:pPr>
      <w:r>
        <w:rPr>
          <w:rStyle w:val="5"/>
          <w:rFonts w:hint="default" w:ascii="方正黑体_GBK" w:hAnsi="方正黑体_GBK" w:eastAsia="方正黑体_GBK" w:cs="方正黑体_GBK"/>
          <w:b w:val="0"/>
          <w:bCs/>
          <w:color w:val="000000"/>
          <w:sz w:val="32"/>
          <w:szCs w:val="32"/>
          <w:shd w:val="clear" w:fill="FFFFFF"/>
        </w:rPr>
        <w:t>四</w:t>
      </w:r>
      <w:r>
        <w:rPr>
          <w:rStyle w:val="5"/>
          <w:rFonts w:hint="eastAsia" w:ascii="方正黑体_GBK" w:hAnsi="方正黑体_GBK" w:eastAsia="方正黑体_GBK" w:cs="方正黑体_GBK"/>
          <w:b w:val="0"/>
          <w:bCs/>
          <w:color w:val="000000"/>
          <w:sz w:val="32"/>
          <w:szCs w:val="32"/>
          <w:shd w:val="clear" w:fill="FFFFFF"/>
          <w:lang w:eastAsia="zh-CN"/>
        </w:rPr>
        <w:t>、</w:t>
      </w:r>
      <w:r>
        <w:rPr>
          <w:rStyle w:val="5"/>
          <w:rFonts w:hint="default" w:ascii="方正黑体_GBK" w:hAnsi="方正黑体_GBK" w:eastAsia="方正黑体_GBK" w:cs="方正黑体_GBK"/>
          <w:b w:val="0"/>
          <w:bCs/>
          <w:color w:val="000000"/>
          <w:sz w:val="32"/>
          <w:szCs w:val="32"/>
          <w:shd w:val="clear" w:fill="FFFFFF"/>
        </w:rPr>
        <w:t>“三公”经费情况说明</w:t>
      </w:r>
    </w:p>
    <w:p>
      <w:pPr>
        <w:pStyle w:val="2"/>
        <w:keepNext w:val="0"/>
        <w:keepLines w:val="0"/>
        <w:pageBreakBefore w:val="0"/>
        <w:widowControl w:val="0"/>
        <w:suppressLineNumbers w:val="0"/>
        <w:kinsoku/>
        <w:wordWrap/>
        <w:overflowPunct/>
        <w:topLinePunct/>
        <w:autoSpaceDE/>
        <w:autoSpaceDN/>
        <w:bidi w:val="0"/>
        <w:adjustRightInd/>
        <w:snapToGrid/>
        <w:spacing w:beforeAutospacing="0" w:after="0" w:afterAutospacing="0" w:line="600" w:lineRule="exact"/>
        <w:ind w:left="0" w:firstLine="640" w:firstLineChars="200"/>
        <w:jc w:val="both"/>
        <w:textAlignment w:val="auto"/>
        <w:rPr>
          <w:rFonts w:hint="eastAsia" w:ascii="方正仿宋_GBK" w:hAnsi="方正仿宋_GBK" w:eastAsia="方正仿宋_GBK" w:cs="方正仿宋_GBK"/>
          <w:b w:val="0"/>
          <w:bCs/>
          <w:color w:val="000000"/>
          <w:sz w:val="32"/>
          <w:szCs w:val="32"/>
          <w:shd w:val="clear" w:fill="FFFFFF"/>
          <w:lang w:val="en-US" w:eastAsia="zh-CN"/>
        </w:rPr>
      </w:pPr>
      <w:r>
        <w:rPr>
          <w:rFonts w:hint="eastAsia" w:ascii="方正仿宋_GBK" w:hAnsi="方正仿宋_GBK" w:eastAsia="方正仿宋_GBK" w:cs="方正仿宋_GBK"/>
          <w:b w:val="0"/>
          <w:bCs/>
          <w:color w:val="000000"/>
          <w:sz w:val="32"/>
          <w:szCs w:val="32"/>
          <w:shd w:val="clear" w:fill="FFFFFF"/>
        </w:rPr>
        <w:t>2022年“三公”经费预算3.65万元，比2021年减少0.55万元。其中：因公出国（境）费用 0 万元，</w:t>
      </w:r>
      <w:r>
        <w:rPr>
          <w:rFonts w:hint="eastAsia" w:ascii="方正仿宋_GBK" w:hAnsi="方正仿宋_GBK" w:eastAsia="方正仿宋_GBK" w:cs="方正仿宋_GBK"/>
          <w:b w:val="0"/>
          <w:bCs/>
          <w:color w:val="000000"/>
          <w:sz w:val="32"/>
          <w:szCs w:val="32"/>
          <w:shd w:val="clear" w:fill="FFFFFF"/>
          <w:lang w:val="en-US" w:eastAsia="zh-CN"/>
        </w:rPr>
        <w:t>与</w:t>
      </w:r>
      <w:r>
        <w:rPr>
          <w:rFonts w:hint="eastAsia" w:ascii="方正仿宋_GBK" w:hAnsi="方正仿宋_GBK" w:eastAsia="方正仿宋_GBK" w:cs="方正仿宋_GBK"/>
          <w:b w:val="0"/>
          <w:bCs/>
          <w:color w:val="000000"/>
          <w:sz w:val="32"/>
          <w:szCs w:val="32"/>
          <w:shd w:val="clear" w:fill="FFFFFF"/>
        </w:rPr>
        <w:t>2021年</w:t>
      </w:r>
      <w:r>
        <w:rPr>
          <w:rFonts w:hint="eastAsia" w:ascii="方正仿宋_GBK" w:hAnsi="方正仿宋_GBK" w:eastAsia="方正仿宋_GBK" w:cs="方正仿宋_GBK"/>
          <w:b w:val="0"/>
          <w:bCs/>
          <w:color w:val="000000"/>
          <w:sz w:val="32"/>
          <w:szCs w:val="32"/>
          <w:shd w:val="clear" w:fill="FFFFFF"/>
          <w:lang w:val="en-US" w:eastAsia="zh-CN"/>
        </w:rPr>
        <w:t>持平</w:t>
      </w:r>
      <w:r>
        <w:rPr>
          <w:rFonts w:hint="eastAsia" w:ascii="方正仿宋_GBK" w:hAnsi="方正仿宋_GBK" w:eastAsia="方正仿宋_GBK" w:cs="方正仿宋_GBK"/>
          <w:b w:val="0"/>
          <w:bCs/>
          <w:color w:val="000000"/>
          <w:sz w:val="32"/>
          <w:szCs w:val="32"/>
          <w:shd w:val="clear" w:fill="FFFFFF"/>
        </w:rPr>
        <w:t>；公务接待费1.85万元，比2021年减少0.15万元，主要原因是接待来访人员严格执行政府机关接待标准，以减少费用；公务用车运行维护费1.8万元，比2021年减少0.4万元，主要原因是严格执行政府机关用车管理制度，以减少费用；公务用车购置费0万元，</w:t>
      </w:r>
      <w:r>
        <w:rPr>
          <w:rFonts w:hint="eastAsia" w:ascii="方正仿宋_GBK" w:hAnsi="方正仿宋_GBK" w:eastAsia="方正仿宋_GBK" w:cs="方正仿宋_GBK"/>
          <w:b w:val="0"/>
          <w:bCs/>
          <w:color w:val="000000"/>
          <w:sz w:val="32"/>
          <w:szCs w:val="32"/>
          <w:shd w:val="clear" w:fill="FFFFFF"/>
          <w:lang w:val="en-US" w:eastAsia="zh-CN"/>
        </w:rPr>
        <w:t>与</w:t>
      </w:r>
      <w:r>
        <w:rPr>
          <w:rFonts w:hint="eastAsia" w:ascii="方正仿宋_GBK" w:hAnsi="方正仿宋_GBK" w:eastAsia="方正仿宋_GBK" w:cs="方正仿宋_GBK"/>
          <w:b w:val="0"/>
          <w:bCs/>
          <w:color w:val="000000"/>
          <w:sz w:val="32"/>
          <w:szCs w:val="32"/>
          <w:shd w:val="clear" w:fill="FFFFFF"/>
        </w:rPr>
        <w:t>2021年</w:t>
      </w:r>
      <w:r>
        <w:rPr>
          <w:rFonts w:hint="eastAsia" w:ascii="方正仿宋_GBK" w:hAnsi="方正仿宋_GBK" w:eastAsia="方正仿宋_GBK" w:cs="方正仿宋_GBK"/>
          <w:b w:val="0"/>
          <w:bCs/>
          <w:color w:val="000000"/>
          <w:sz w:val="32"/>
          <w:szCs w:val="32"/>
          <w:shd w:val="clear" w:fill="FFFFFF"/>
          <w:lang w:val="en-US" w:eastAsia="zh-CN"/>
        </w:rPr>
        <w:t>持平。</w:t>
      </w:r>
    </w:p>
    <w:p>
      <w:pPr>
        <w:pStyle w:val="2"/>
        <w:keepNext w:val="0"/>
        <w:keepLines w:val="0"/>
        <w:pageBreakBefore w:val="0"/>
        <w:widowControl w:val="0"/>
        <w:suppressLineNumbers w:val="0"/>
        <w:kinsoku/>
        <w:wordWrap/>
        <w:overflowPunct/>
        <w:topLinePunct/>
        <w:autoSpaceDE/>
        <w:autoSpaceDN/>
        <w:bidi w:val="0"/>
        <w:adjustRightInd/>
        <w:snapToGrid/>
        <w:spacing w:beforeAutospacing="0" w:after="0" w:afterAutospacing="0" w:line="600" w:lineRule="exact"/>
        <w:ind w:left="0" w:firstLine="640" w:firstLineChars="200"/>
        <w:jc w:val="both"/>
        <w:textAlignment w:val="auto"/>
        <w:rPr>
          <w:rStyle w:val="5"/>
          <w:rFonts w:hint="eastAsia" w:ascii="方正黑体_GBK" w:hAnsi="方正黑体_GBK" w:eastAsia="方正黑体_GBK" w:cs="方正黑体_GBK"/>
          <w:b w:val="0"/>
          <w:bCs/>
          <w:color w:val="000000"/>
          <w:sz w:val="32"/>
          <w:szCs w:val="32"/>
          <w:shd w:val="clear" w:fill="FFFFFF"/>
        </w:rPr>
      </w:pPr>
      <w:r>
        <w:rPr>
          <w:rStyle w:val="5"/>
          <w:rFonts w:hint="default" w:ascii="方正黑体_GBK" w:hAnsi="方正黑体_GBK" w:eastAsia="方正黑体_GBK" w:cs="方正黑体_GBK"/>
          <w:b w:val="0"/>
          <w:bCs/>
          <w:color w:val="000000"/>
          <w:sz w:val="32"/>
          <w:szCs w:val="32"/>
          <w:shd w:val="clear" w:fill="FFFFFF"/>
        </w:rPr>
        <w:t>五、其他重要事项的情况说明</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00" w:lineRule="exact"/>
        <w:ind w:left="0" w:leftChars="0" w:firstLine="645"/>
        <w:textAlignment w:val="auto"/>
        <w:rPr>
          <w:rFonts w:hint="eastAsia" w:ascii="方正仿宋_GBK" w:hAnsi="方正仿宋_GBK" w:eastAsia="方正仿宋_GBK" w:cs="方正仿宋_GBK"/>
          <w:b w:val="0"/>
          <w:bCs/>
          <w:color w:val="000000"/>
          <w:sz w:val="32"/>
          <w:szCs w:val="32"/>
          <w:shd w:val="clear" w:fill="FFFFFF"/>
        </w:rPr>
      </w:pPr>
      <w:r>
        <w:rPr>
          <w:rStyle w:val="5"/>
          <w:rFonts w:hint="eastAsia" w:ascii="方正楷体_GBK" w:hAnsi="方正楷体_GBK" w:eastAsia="方正楷体_GBK" w:cs="方正楷体_GBK"/>
          <w:b w:val="0"/>
          <w:bCs/>
          <w:color w:val="000000"/>
          <w:sz w:val="32"/>
          <w:szCs w:val="32"/>
          <w:shd w:val="clear" w:fill="FFFFFF"/>
        </w:rPr>
        <w:t>（一）机关运行经费。</w:t>
      </w:r>
      <w:r>
        <w:rPr>
          <w:rFonts w:hint="eastAsia" w:ascii="方正仿宋_GBK" w:hAnsi="方正仿宋_GBK" w:eastAsia="方正仿宋_GBK" w:cs="方正仿宋_GBK"/>
          <w:b w:val="0"/>
          <w:bCs/>
          <w:color w:val="000000"/>
          <w:sz w:val="32"/>
          <w:szCs w:val="32"/>
          <w:shd w:val="clear" w:fill="FFFFFF"/>
        </w:rPr>
        <w:t>2022年一般公共预算财政拨款运行经费77.89万元，比上年减少65.82万元，主要原因人员变动所涉及办公用经费及差旅经费等减少；主要用于办公费、印刷费、邮电费、水电费、物管费、差旅费、会议费、培训费及其他商品和服务支出等。</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00" w:lineRule="exact"/>
        <w:ind w:left="0" w:leftChars="0" w:firstLine="645"/>
        <w:textAlignment w:val="auto"/>
        <w:rPr>
          <w:rFonts w:hint="eastAsia" w:ascii="方正仿宋_GBK" w:hAnsi="方正仿宋_GBK" w:eastAsia="方正仿宋_GBK" w:cs="方正仿宋_GBK"/>
          <w:b w:val="0"/>
          <w:bCs/>
          <w:color w:val="000000"/>
          <w:sz w:val="32"/>
          <w:szCs w:val="32"/>
          <w:shd w:val="clear" w:fill="FFFFFF"/>
        </w:rPr>
      </w:pPr>
      <w:r>
        <w:rPr>
          <w:rStyle w:val="5"/>
          <w:rFonts w:hint="eastAsia" w:ascii="方正楷体_GBK" w:hAnsi="方正楷体_GBK" w:eastAsia="方正楷体_GBK" w:cs="方正楷体_GBK"/>
          <w:b w:val="0"/>
          <w:bCs/>
          <w:color w:val="000000"/>
          <w:sz w:val="32"/>
          <w:szCs w:val="32"/>
          <w:shd w:val="clear" w:fill="FFFFFF"/>
        </w:rPr>
        <w:t>（二）政府采购情况。</w:t>
      </w:r>
      <w:r>
        <w:rPr>
          <w:rFonts w:hint="eastAsia" w:ascii="方正仿宋_GBK" w:hAnsi="方正仿宋_GBK" w:eastAsia="方正仿宋_GBK" w:cs="方正仿宋_GBK"/>
          <w:b w:val="0"/>
          <w:bCs/>
          <w:color w:val="000000"/>
          <w:sz w:val="32"/>
          <w:szCs w:val="32"/>
          <w:shd w:val="clear" w:fill="FFFFFF"/>
        </w:rPr>
        <w:t>所属各预算单位政府采购预算总额</w:t>
      </w:r>
      <w:r>
        <w:rPr>
          <w:rFonts w:hint="eastAsia" w:ascii="方正仿宋_GBK" w:hAnsi="方正仿宋_GBK" w:eastAsia="方正仿宋_GBK" w:cs="方正仿宋_GBK"/>
          <w:b w:val="0"/>
          <w:bCs/>
          <w:color w:val="000000"/>
          <w:sz w:val="32"/>
          <w:szCs w:val="32"/>
          <w:shd w:val="clear" w:fill="FFFFFF"/>
          <w:lang w:val="en-US" w:eastAsia="zh-CN"/>
        </w:rPr>
        <w:t>0</w:t>
      </w:r>
      <w:r>
        <w:rPr>
          <w:rFonts w:hint="eastAsia" w:ascii="方正仿宋_GBK" w:hAnsi="方正仿宋_GBK" w:eastAsia="方正仿宋_GBK" w:cs="方正仿宋_GBK"/>
          <w:b w:val="0"/>
          <w:bCs/>
          <w:color w:val="000000"/>
          <w:sz w:val="32"/>
          <w:szCs w:val="32"/>
          <w:shd w:val="clear" w:fill="FFFFFF"/>
        </w:rPr>
        <w:t>万元：政府采购货物预算</w:t>
      </w:r>
      <w:r>
        <w:rPr>
          <w:rFonts w:hint="eastAsia" w:ascii="方正仿宋_GBK" w:hAnsi="方正仿宋_GBK" w:eastAsia="方正仿宋_GBK" w:cs="方正仿宋_GBK"/>
          <w:b w:val="0"/>
          <w:bCs/>
          <w:color w:val="000000"/>
          <w:sz w:val="32"/>
          <w:szCs w:val="32"/>
          <w:shd w:val="clear" w:fill="FFFFFF"/>
          <w:lang w:val="en-US" w:eastAsia="zh-CN"/>
        </w:rPr>
        <w:t>0</w:t>
      </w:r>
      <w:r>
        <w:rPr>
          <w:rFonts w:hint="eastAsia" w:ascii="方正仿宋_GBK" w:hAnsi="方正仿宋_GBK" w:eastAsia="方正仿宋_GBK" w:cs="方正仿宋_GBK"/>
          <w:b w:val="0"/>
          <w:bCs/>
          <w:color w:val="000000"/>
          <w:sz w:val="32"/>
          <w:szCs w:val="32"/>
          <w:shd w:val="clear" w:fill="FFFFFF"/>
        </w:rPr>
        <w:t>万元、政府采购工程预算</w:t>
      </w:r>
      <w:r>
        <w:rPr>
          <w:rFonts w:hint="eastAsia" w:ascii="方正仿宋_GBK" w:hAnsi="方正仿宋_GBK" w:eastAsia="方正仿宋_GBK" w:cs="方正仿宋_GBK"/>
          <w:b w:val="0"/>
          <w:bCs/>
          <w:color w:val="000000"/>
          <w:sz w:val="32"/>
          <w:szCs w:val="32"/>
          <w:shd w:val="clear" w:fill="FFFFFF"/>
          <w:lang w:val="en-US" w:eastAsia="zh-CN"/>
        </w:rPr>
        <w:t>0</w:t>
      </w:r>
      <w:r>
        <w:rPr>
          <w:rFonts w:hint="eastAsia" w:ascii="方正仿宋_GBK" w:hAnsi="方正仿宋_GBK" w:eastAsia="方正仿宋_GBK" w:cs="方正仿宋_GBK"/>
          <w:b w:val="0"/>
          <w:bCs/>
          <w:color w:val="000000"/>
          <w:sz w:val="32"/>
          <w:szCs w:val="32"/>
          <w:shd w:val="clear" w:fill="FFFFFF"/>
        </w:rPr>
        <w:t>万元、政府采购服务预算</w:t>
      </w:r>
      <w:r>
        <w:rPr>
          <w:rFonts w:hint="eastAsia" w:ascii="方正仿宋_GBK" w:hAnsi="方正仿宋_GBK" w:eastAsia="方正仿宋_GBK" w:cs="方正仿宋_GBK"/>
          <w:b w:val="0"/>
          <w:bCs/>
          <w:color w:val="000000"/>
          <w:sz w:val="32"/>
          <w:szCs w:val="32"/>
          <w:shd w:val="clear" w:fill="FFFFFF"/>
          <w:lang w:val="en-US" w:eastAsia="zh-CN"/>
        </w:rPr>
        <w:t>0</w:t>
      </w:r>
      <w:r>
        <w:rPr>
          <w:rFonts w:hint="eastAsia" w:ascii="方正仿宋_GBK" w:hAnsi="方正仿宋_GBK" w:eastAsia="方正仿宋_GBK" w:cs="方正仿宋_GBK"/>
          <w:b w:val="0"/>
          <w:bCs/>
          <w:color w:val="000000"/>
          <w:sz w:val="32"/>
          <w:szCs w:val="32"/>
          <w:shd w:val="clear" w:fill="FFFFFF"/>
        </w:rPr>
        <w:t>万元；其中一般公共预算拨款政府采购</w:t>
      </w:r>
      <w:r>
        <w:rPr>
          <w:rFonts w:hint="eastAsia" w:ascii="方正仿宋_GBK" w:hAnsi="方正仿宋_GBK" w:eastAsia="方正仿宋_GBK" w:cs="方正仿宋_GBK"/>
          <w:b w:val="0"/>
          <w:bCs/>
          <w:color w:val="000000"/>
          <w:sz w:val="32"/>
          <w:szCs w:val="32"/>
          <w:shd w:val="clear" w:fill="FFFFFF"/>
          <w:lang w:val="en-US" w:eastAsia="zh-CN"/>
        </w:rPr>
        <w:t>0</w:t>
      </w:r>
      <w:r>
        <w:rPr>
          <w:rFonts w:hint="eastAsia" w:ascii="方正仿宋_GBK" w:hAnsi="方正仿宋_GBK" w:eastAsia="方正仿宋_GBK" w:cs="方正仿宋_GBK"/>
          <w:b w:val="0"/>
          <w:bCs/>
          <w:color w:val="000000"/>
          <w:sz w:val="32"/>
          <w:szCs w:val="32"/>
          <w:shd w:val="clear" w:fill="FFFFFF"/>
        </w:rPr>
        <w:t>万元：政府采购货物预算</w:t>
      </w:r>
      <w:r>
        <w:rPr>
          <w:rFonts w:hint="eastAsia" w:ascii="方正仿宋_GBK" w:hAnsi="方正仿宋_GBK" w:eastAsia="方正仿宋_GBK" w:cs="方正仿宋_GBK"/>
          <w:b w:val="0"/>
          <w:bCs/>
          <w:color w:val="000000"/>
          <w:sz w:val="32"/>
          <w:szCs w:val="32"/>
          <w:shd w:val="clear" w:fill="FFFFFF"/>
          <w:lang w:val="en-US" w:eastAsia="zh-CN"/>
        </w:rPr>
        <w:t>0</w:t>
      </w:r>
      <w:r>
        <w:rPr>
          <w:rFonts w:hint="eastAsia" w:ascii="方正仿宋_GBK" w:hAnsi="方正仿宋_GBK" w:eastAsia="方正仿宋_GBK" w:cs="方正仿宋_GBK"/>
          <w:b w:val="0"/>
          <w:bCs/>
          <w:color w:val="000000"/>
          <w:sz w:val="32"/>
          <w:szCs w:val="32"/>
          <w:shd w:val="clear" w:fill="FFFFFF"/>
        </w:rPr>
        <w:t>万元、政府采购工程预算</w:t>
      </w:r>
      <w:r>
        <w:rPr>
          <w:rFonts w:hint="eastAsia" w:ascii="方正仿宋_GBK" w:hAnsi="方正仿宋_GBK" w:eastAsia="方正仿宋_GBK" w:cs="方正仿宋_GBK"/>
          <w:b w:val="0"/>
          <w:bCs/>
          <w:color w:val="000000"/>
          <w:sz w:val="32"/>
          <w:szCs w:val="32"/>
          <w:shd w:val="clear" w:fill="FFFFFF"/>
          <w:lang w:val="en-US" w:eastAsia="zh-CN"/>
        </w:rPr>
        <w:t>0</w:t>
      </w:r>
      <w:r>
        <w:rPr>
          <w:rFonts w:hint="eastAsia" w:ascii="方正仿宋_GBK" w:hAnsi="方正仿宋_GBK" w:eastAsia="方正仿宋_GBK" w:cs="方正仿宋_GBK"/>
          <w:b w:val="0"/>
          <w:bCs/>
          <w:color w:val="000000"/>
          <w:sz w:val="32"/>
          <w:szCs w:val="32"/>
          <w:shd w:val="clear" w:fill="FFFFFF"/>
        </w:rPr>
        <w:t>万元、政府采购服务预算</w:t>
      </w:r>
      <w:r>
        <w:rPr>
          <w:rFonts w:hint="eastAsia" w:ascii="方正仿宋_GBK" w:hAnsi="方正仿宋_GBK" w:eastAsia="方正仿宋_GBK" w:cs="方正仿宋_GBK"/>
          <w:b w:val="0"/>
          <w:bCs/>
          <w:color w:val="000000"/>
          <w:sz w:val="32"/>
          <w:szCs w:val="32"/>
          <w:shd w:val="clear" w:fill="FFFFFF"/>
          <w:lang w:val="en-US" w:eastAsia="zh-CN"/>
        </w:rPr>
        <w:t>0</w:t>
      </w:r>
      <w:r>
        <w:rPr>
          <w:rFonts w:hint="eastAsia" w:ascii="方正仿宋_GBK" w:hAnsi="方正仿宋_GBK" w:eastAsia="方正仿宋_GBK" w:cs="方正仿宋_GBK"/>
          <w:b w:val="0"/>
          <w:bCs/>
          <w:color w:val="000000"/>
          <w:sz w:val="32"/>
          <w:szCs w:val="32"/>
          <w:shd w:val="clear" w:fill="FFFFFF"/>
        </w:rPr>
        <w:t>万元。</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00" w:lineRule="exact"/>
        <w:ind w:left="0" w:leftChars="0" w:firstLine="645"/>
        <w:textAlignment w:val="auto"/>
        <w:rPr>
          <w:sz w:val="31"/>
          <w:szCs w:val="31"/>
        </w:rPr>
      </w:pPr>
      <w:r>
        <w:rPr>
          <w:rStyle w:val="5"/>
          <w:rFonts w:hint="eastAsia" w:ascii="方正楷体_GBK" w:hAnsi="方正楷体_GBK" w:eastAsia="方正楷体_GBK" w:cs="方正楷体_GBK"/>
          <w:b w:val="0"/>
          <w:bCs/>
          <w:color w:val="000000"/>
          <w:sz w:val="32"/>
          <w:szCs w:val="32"/>
          <w:shd w:val="clear" w:fill="FFFFFF"/>
        </w:rPr>
        <w:t>（三）绩效目标设置情况。</w:t>
      </w:r>
      <w:r>
        <w:rPr>
          <w:rFonts w:hint="eastAsia" w:ascii="方正仿宋_GBK" w:hAnsi="方正仿宋_GBK" w:eastAsia="方正仿宋_GBK" w:cs="方正仿宋_GBK"/>
          <w:b w:val="0"/>
          <w:bCs/>
          <w:color w:val="000000"/>
          <w:sz w:val="32"/>
          <w:szCs w:val="32"/>
          <w:shd w:val="clear" w:fill="FFFFFF"/>
        </w:rPr>
        <w:t>2022年项目支出均实行了绩效目标管理，涉及一般公共预算当年财政拨款199.79万元。</w:t>
      </w: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00" w:lineRule="exact"/>
        <w:ind w:left="0" w:leftChars="0" w:firstLine="645"/>
        <w:textAlignment w:val="auto"/>
        <w:rPr>
          <w:rFonts w:hint="eastAsia" w:ascii="方正仿宋_GBK" w:hAnsi="方正仿宋_GBK" w:eastAsia="方正仿宋_GBK" w:cs="方正仿宋_GBK"/>
          <w:b w:val="0"/>
          <w:bCs/>
          <w:color w:val="000000"/>
          <w:sz w:val="32"/>
          <w:szCs w:val="32"/>
          <w:shd w:val="clear" w:fill="FFFFFF"/>
        </w:rPr>
      </w:pPr>
      <w:r>
        <w:rPr>
          <w:rStyle w:val="5"/>
          <w:rFonts w:hint="eastAsia" w:ascii="方正楷体_GBK" w:hAnsi="方正楷体_GBK" w:eastAsia="方正楷体_GBK" w:cs="方正楷体_GBK"/>
          <w:b w:val="0"/>
          <w:bCs/>
          <w:color w:val="000000"/>
          <w:sz w:val="32"/>
          <w:szCs w:val="32"/>
          <w:shd w:val="clear" w:fill="FFFFFF"/>
        </w:rPr>
        <w:t>（四）国有资产占有使用</w:t>
      </w:r>
      <w:r>
        <w:rPr>
          <w:rStyle w:val="5"/>
          <w:rFonts w:hint="eastAsia" w:ascii="方正楷体_GBK" w:hAnsi="方正楷体_GBK" w:eastAsia="方正楷体_GBK" w:cs="方正楷体_GBK"/>
          <w:b w:val="0"/>
          <w:bCs/>
          <w:color w:val="000000"/>
          <w:sz w:val="32"/>
          <w:szCs w:val="32"/>
          <w:shd w:val="clear" w:fill="FFFFFF"/>
        </w:rPr>
        <w:t>情况。</w:t>
      </w:r>
      <w:r>
        <w:rPr>
          <w:rFonts w:hint="eastAsia" w:ascii="方正仿宋_GBK" w:hAnsi="方正仿宋_GBK" w:eastAsia="方正仿宋_GBK" w:cs="方正仿宋_GBK"/>
          <w:b w:val="0"/>
          <w:bCs/>
          <w:color w:val="000000"/>
          <w:sz w:val="32"/>
          <w:szCs w:val="32"/>
          <w:shd w:val="clear" w:fill="FFFFFF"/>
        </w:rPr>
        <w:t>截止2021年12月，所属各预算单位共有车辆</w:t>
      </w:r>
      <w:r>
        <w:rPr>
          <w:rFonts w:hint="eastAsia" w:ascii="方正仿宋_GBK" w:hAnsi="方正仿宋_GBK" w:eastAsia="方正仿宋_GBK" w:cs="方正仿宋_GBK"/>
          <w:b w:val="0"/>
          <w:bCs/>
          <w:color w:val="000000"/>
          <w:sz w:val="32"/>
          <w:szCs w:val="32"/>
          <w:shd w:val="clear" w:fill="FFFFFF"/>
          <w:lang w:val="en-US" w:eastAsia="zh-CN"/>
        </w:rPr>
        <w:t>4</w:t>
      </w:r>
      <w:r>
        <w:rPr>
          <w:rFonts w:hint="eastAsia" w:ascii="方正仿宋_GBK" w:hAnsi="方正仿宋_GBK" w:eastAsia="方正仿宋_GBK" w:cs="方正仿宋_GBK"/>
          <w:b w:val="0"/>
          <w:bCs/>
          <w:color w:val="000000"/>
          <w:sz w:val="32"/>
          <w:szCs w:val="32"/>
          <w:shd w:val="clear" w:fill="FFFFFF"/>
        </w:rPr>
        <w:t>辆，其中一般公务用车0辆、执勤执法用车</w:t>
      </w:r>
      <w:r>
        <w:rPr>
          <w:rFonts w:hint="eastAsia" w:ascii="方正仿宋_GBK" w:hAnsi="方正仿宋_GBK" w:eastAsia="方正仿宋_GBK" w:cs="方正仿宋_GBK"/>
          <w:b w:val="0"/>
          <w:bCs/>
          <w:color w:val="000000"/>
          <w:sz w:val="32"/>
          <w:szCs w:val="32"/>
          <w:shd w:val="clear" w:fill="FFFFFF"/>
          <w:lang w:val="en-US" w:eastAsia="zh-CN"/>
        </w:rPr>
        <w:t>3</w:t>
      </w:r>
      <w:r>
        <w:rPr>
          <w:rFonts w:hint="eastAsia" w:ascii="方正仿宋_GBK" w:hAnsi="方正仿宋_GBK" w:eastAsia="方正仿宋_GBK" w:cs="方正仿宋_GBK"/>
          <w:b w:val="0"/>
          <w:bCs/>
          <w:color w:val="000000"/>
          <w:sz w:val="32"/>
          <w:szCs w:val="32"/>
          <w:shd w:val="clear" w:fill="FFFFFF"/>
        </w:rPr>
        <w:t>辆、集镇垃圾清运车辆1辆</w:t>
      </w:r>
      <w:r>
        <w:rPr>
          <w:rFonts w:hint="eastAsia" w:ascii="方正仿宋_GBK" w:hAnsi="方正仿宋_GBK" w:eastAsia="方正仿宋_GBK" w:cs="方正仿宋_GBK"/>
          <w:b w:val="0"/>
          <w:bCs/>
          <w:color w:val="000000"/>
          <w:sz w:val="32"/>
          <w:szCs w:val="32"/>
          <w:shd w:val="clear" w:fill="FFFFFF"/>
          <w:lang w:eastAsia="zh-CN"/>
        </w:rPr>
        <w:t>。</w:t>
      </w:r>
      <w:r>
        <w:rPr>
          <w:rFonts w:hint="eastAsia" w:ascii="方正仿宋_GBK" w:hAnsi="方正仿宋_GBK" w:eastAsia="方正仿宋_GBK" w:cs="方正仿宋_GBK"/>
          <w:b w:val="0"/>
          <w:bCs/>
          <w:color w:val="000000"/>
          <w:sz w:val="32"/>
          <w:szCs w:val="32"/>
          <w:shd w:val="clear" w:fill="FFFFFF"/>
        </w:rPr>
        <w:t>2022年一般</w:t>
      </w:r>
      <w:r>
        <w:rPr>
          <w:rFonts w:hint="eastAsia" w:ascii="方正仿宋_GBK" w:hAnsi="方正仿宋_GBK" w:eastAsia="方正仿宋_GBK" w:cs="方正仿宋_GBK"/>
          <w:b w:val="0"/>
          <w:bCs/>
          <w:color w:val="000000"/>
          <w:sz w:val="32"/>
          <w:szCs w:val="32"/>
          <w:shd w:val="clear" w:fill="FFFFFF"/>
        </w:rPr>
        <w:t>公共预算安排购置车辆0 辆，其中一般公务用车0 辆、执勤执法用车0 辆。</w:t>
      </w:r>
    </w:p>
    <w:p>
      <w:pPr>
        <w:pStyle w:val="2"/>
        <w:keepNext w:val="0"/>
        <w:keepLines w:val="0"/>
        <w:pageBreakBefore w:val="0"/>
        <w:widowControl w:val="0"/>
        <w:suppressLineNumbers w:val="0"/>
        <w:kinsoku/>
        <w:wordWrap/>
        <w:overflowPunct/>
        <w:topLinePunct/>
        <w:autoSpaceDE/>
        <w:autoSpaceDN/>
        <w:bidi w:val="0"/>
        <w:adjustRightInd/>
        <w:snapToGrid/>
        <w:spacing w:beforeAutospacing="0" w:after="0" w:afterAutospacing="0" w:line="600" w:lineRule="exact"/>
        <w:ind w:left="0" w:firstLine="640" w:firstLineChars="200"/>
        <w:jc w:val="both"/>
        <w:textAlignment w:val="auto"/>
        <w:rPr>
          <w:rStyle w:val="5"/>
          <w:rFonts w:hint="eastAsia" w:ascii="方正黑体_GBK" w:hAnsi="方正黑体_GBK" w:eastAsia="方正黑体_GBK" w:cs="方正黑体_GBK"/>
          <w:b w:val="0"/>
          <w:bCs/>
          <w:color w:val="000000"/>
          <w:sz w:val="32"/>
          <w:szCs w:val="32"/>
          <w:shd w:val="clear" w:fill="FFFFFF"/>
        </w:rPr>
      </w:pPr>
      <w:r>
        <w:rPr>
          <w:rStyle w:val="5"/>
          <w:rFonts w:hint="eastAsia" w:ascii="方正黑体_GBK" w:hAnsi="方正黑体_GBK" w:eastAsia="方正黑体_GBK" w:cs="方正黑体_GBK"/>
          <w:b w:val="0"/>
          <w:bCs/>
          <w:color w:val="000000"/>
          <w:sz w:val="32"/>
          <w:szCs w:val="32"/>
          <w:shd w:val="clear" w:fill="FFFFFF"/>
        </w:rPr>
        <w:t>六、专业性名词解释</w:t>
      </w:r>
    </w:p>
    <w:p>
      <w:pPr>
        <w:pStyle w:val="6"/>
        <w:keepNext w:val="0"/>
        <w:keepLines w:val="0"/>
        <w:pageBreakBefore w:val="0"/>
        <w:tabs>
          <w:tab w:val="center" w:pos="4153"/>
          <w:tab w:val="left" w:pos="7275"/>
        </w:tabs>
        <w:kinsoku/>
        <w:wordWrap/>
        <w:overflowPunct/>
        <w:topLinePunct w:val="0"/>
        <w:autoSpaceDE/>
        <w:autoSpaceDN/>
        <w:bidi w:val="0"/>
        <w:adjustRightInd/>
        <w:snapToGrid/>
        <w:spacing w:line="600" w:lineRule="exact"/>
        <w:ind w:left="0" w:leftChars="0" w:firstLine="640"/>
        <w:jc w:val="left"/>
        <w:textAlignment w:val="auto"/>
        <w:rPr>
          <w:rFonts w:hint="eastAsia" w:ascii="方正仿宋_GBK" w:hAnsi="方正仿宋_GBK" w:eastAsia="方正仿宋_GBK" w:cs="方正仿宋_GBK"/>
          <w:b w:val="0"/>
          <w:bCs/>
          <w:color w:val="000000"/>
          <w:kern w:val="0"/>
          <w:sz w:val="32"/>
          <w:szCs w:val="32"/>
          <w:shd w:val="clear" w:fill="FFFFFF"/>
          <w:lang w:val="en-US" w:eastAsia="zh-CN" w:bidi="ar"/>
        </w:rPr>
      </w:pPr>
      <w:r>
        <w:rPr>
          <w:rStyle w:val="5"/>
          <w:rFonts w:hint="eastAsia" w:ascii="方正楷体_GBK" w:hAnsi="方正楷体_GBK" w:eastAsia="方正楷体_GBK" w:cs="方正楷体_GBK"/>
          <w:b w:val="0"/>
          <w:bCs/>
          <w:color w:val="000000"/>
          <w:kern w:val="0"/>
          <w:sz w:val="32"/>
          <w:szCs w:val="32"/>
          <w:shd w:val="clear" w:fill="FFFFFF"/>
          <w:lang w:val="en-US" w:eastAsia="zh-CN" w:bidi="ar"/>
        </w:rPr>
        <w:t>（一）财政拨款收入：</w:t>
      </w:r>
      <w:r>
        <w:rPr>
          <w:rFonts w:hint="eastAsia" w:ascii="方正仿宋_GBK" w:hAnsi="方正仿宋_GBK" w:eastAsia="方正仿宋_GBK" w:cs="方正仿宋_GBK"/>
          <w:b w:val="0"/>
          <w:bCs/>
          <w:color w:val="000000"/>
          <w:kern w:val="0"/>
          <w:sz w:val="32"/>
          <w:szCs w:val="32"/>
          <w:shd w:val="clear" w:fill="FFFFFF"/>
          <w:lang w:val="en-US" w:eastAsia="zh-CN" w:bidi="ar"/>
        </w:rPr>
        <w:t>指本年度从本级财政部门取得的财政拨款，包括一般公共预算财政拨款和政府性基金预算财政拨款。</w:t>
      </w:r>
    </w:p>
    <w:p>
      <w:pPr>
        <w:pStyle w:val="6"/>
        <w:keepNext w:val="0"/>
        <w:keepLines w:val="0"/>
        <w:pageBreakBefore w:val="0"/>
        <w:tabs>
          <w:tab w:val="center" w:pos="4153"/>
          <w:tab w:val="left" w:pos="7275"/>
        </w:tabs>
        <w:kinsoku/>
        <w:wordWrap/>
        <w:overflowPunct/>
        <w:topLinePunct w:val="0"/>
        <w:autoSpaceDE/>
        <w:autoSpaceDN/>
        <w:bidi w:val="0"/>
        <w:adjustRightInd/>
        <w:snapToGrid/>
        <w:spacing w:line="600" w:lineRule="exact"/>
        <w:ind w:left="0" w:leftChars="0" w:firstLine="640"/>
        <w:jc w:val="left"/>
        <w:textAlignment w:val="auto"/>
        <w:rPr>
          <w:rFonts w:hint="eastAsia" w:ascii="方正仿宋_GBK" w:hAnsi="方正仿宋_GBK" w:eastAsia="方正仿宋_GBK" w:cs="方正仿宋_GBK"/>
          <w:b w:val="0"/>
          <w:bCs/>
          <w:color w:val="000000"/>
          <w:kern w:val="0"/>
          <w:sz w:val="32"/>
          <w:szCs w:val="32"/>
          <w:shd w:val="clear" w:fill="FFFFFF"/>
          <w:lang w:val="en-US" w:eastAsia="zh-CN" w:bidi="ar"/>
        </w:rPr>
      </w:pPr>
      <w:r>
        <w:rPr>
          <w:rStyle w:val="5"/>
          <w:rFonts w:hint="eastAsia" w:ascii="方正楷体_GBK" w:hAnsi="方正楷体_GBK" w:eastAsia="方正楷体_GBK" w:cs="方正楷体_GBK"/>
          <w:b w:val="0"/>
          <w:bCs/>
          <w:color w:val="000000"/>
          <w:kern w:val="0"/>
          <w:sz w:val="32"/>
          <w:szCs w:val="32"/>
          <w:shd w:val="clear" w:fill="FFFFFF"/>
          <w:lang w:val="en-US" w:eastAsia="zh-CN" w:bidi="ar"/>
        </w:rPr>
        <w:t>（二）其他收入：</w:t>
      </w:r>
      <w:r>
        <w:rPr>
          <w:rFonts w:hint="eastAsia" w:ascii="方正仿宋_GBK" w:hAnsi="方正仿宋_GBK" w:eastAsia="方正仿宋_GBK" w:cs="方正仿宋_GBK"/>
          <w:b w:val="0"/>
          <w:bCs/>
          <w:color w:val="000000"/>
          <w:kern w:val="0"/>
          <w:sz w:val="32"/>
          <w:szCs w:val="32"/>
          <w:shd w:val="clear" w:fill="FFFFFF"/>
          <w:lang w:val="en-US" w:eastAsia="zh-CN" w:bidi="ar"/>
        </w:rPr>
        <w:t>指单位取得的除“财政拨款收入”、“事业收入”、“经营收入”等以外的收入。</w:t>
      </w:r>
    </w:p>
    <w:p>
      <w:pPr>
        <w:pStyle w:val="6"/>
        <w:keepNext w:val="0"/>
        <w:keepLines w:val="0"/>
        <w:pageBreakBefore w:val="0"/>
        <w:tabs>
          <w:tab w:val="center" w:pos="4153"/>
          <w:tab w:val="left" w:pos="7275"/>
        </w:tabs>
        <w:kinsoku/>
        <w:wordWrap/>
        <w:overflowPunct/>
        <w:topLinePunct w:val="0"/>
        <w:autoSpaceDE/>
        <w:autoSpaceDN/>
        <w:bidi w:val="0"/>
        <w:adjustRightInd/>
        <w:snapToGrid/>
        <w:spacing w:line="600" w:lineRule="exact"/>
        <w:ind w:left="0" w:leftChars="0" w:firstLine="640"/>
        <w:jc w:val="left"/>
        <w:textAlignment w:val="auto"/>
        <w:rPr>
          <w:rFonts w:hint="eastAsia" w:ascii="方正仿宋_GBK" w:hAnsi="方正仿宋_GBK" w:eastAsia="方正仿宋_GBK" w:cs="方正仿宋_GBK"/>
          <w:b w:val="0"/>
          <w:bCs/>
          <w:color w:val="000000"/>
          <w:kern w:val="0"/>
          <w:sz w:val="32"/>
          <w:szCs w:val="32"/>
          <w:shd w:val="clear" w:fill="FFFFFF"/>
          <w:lang w:val="en-US" w:eastAsia="zh-CN" w:bidi="ar"/>
        </w:rPr>
      </w:pPr>
      <w:r>
        <w:rPr>
          <w:rStyle w:val="5"/>
          <w:rFonts w:hint="eastAsia" w:ascii="方正楷体_GBK" w:hAnsi="方正楷体_GBK" w:eastAsia="方正楷体_GBK" w:cs="方正楷体_GBK"/>
          <w:b w:val="0"/>
          <w:bCs/>
          <w:color w:val="000000"/>
          <w:kern w:val="0"/>
          <w:sz w:val="32"/>
          <w:szCs w:val="32"/>
          <w:shd w:val="clear" w:fill="FFFFFF"/>
          <w:lang w:val="en-US" w:eastAsia="zh-CN" w:bidi="ar"/>
        </w:rPr>
        <w:t>（三）基本支出：</w:t>
      </w:r>
      <w:r>
        <w:rPr>
          <w:rFonts w:hint="eastAsia" w:ascii="方正仿宋_GBK" w:hAnsi="方正仿宋_GBK" w:eastAsia="方正仿宋_GBK" w:cs="方正仿宋_GBK"/>
          <w:b w:val="0"/>
          <w:bCs/>
          <w:color w:val="000000"/>
          <w:kern w:val="0"/>
          <w:sz w:val="32"/>
          <w:szCs w:val="32"/>
          <w:shd w:val="clear" w:fill="FFFFFF"/>
          <w:lang w:val="en-US" w:eastAsia="zh-CN" w:bidi="ar"/>
        </w:rPr>
        <w:t>指为保障机构正常运转、完成日常工作任务而发生的人员经费和公用经费。</w:t>
      </w:r>
    </w:p>
    <w:p>
      <w:pPr>
        <w:pStyle w:val="6"/>
        <w:keepNext w:val="0"/>
        <w:keepLines w:val="0"/>
        <w:pageBreakBefore w:val="0"/>
        <w:tabs>
          <w:tab w:val="center" w:pos="4153"/>
          <w:tab w:val="left" w:pos="7275"/>
        </w:tabs>
        <w:kinsoku/>
        <w:wordWrap/>
        <w:overflowPunct/>
        <w:topLinePunct w:val="0"/>
        <w:autoSpaceDE/>
        <w:autoSpaceDN/>
        <w:bidi w:val="0"/>
        <w:adjustRightInd/>
        <w:snapToGrid/>
        <w:spacing w:line="600" w:lineRule="exact"/>
        <w:ind w:left="0" w:leftChars="0" w:firstLine="640"/>
        <w:jc w:val="left"/>
        <w:textAlignment w:val="auto"/>
        <w:rPr>
          <w:rFonts w:hint="eastAsia" w:ascii="方正仿宋_GBK" w:hAnsi="方正仿宋_GBK" w:eastAsia="方正仿宋_GBK" w:cs="方正仿宋_GBK"/>
          <w:b w:val="0"/>
          <w:bCs/>
          <w:color w:val="000000"/>
          <w:kern w:val="0"/>
          <w:sz w:val="32"/>
          <w:szCs w:val="32"/>
          <w:shd w:val="clear" w:fill="FFFFFF"/>
          <w:lang w:val="en-US" w:eastAsia="zh-CN" w:bidi="ar"/>
        </w:rPr>
      </w:pPr>
      <w:r>
        <w:rPr>
          <w:rStyle w:val="5"/>
          <w:rFonts w:hint="eastAsia" w:ascii="方正楷体_GBK" w:hAnsi="方正楷体_GBK" w:eastAsia="方正楷体_GBK" w:cs="方正楷体_GBK"/>
          <w:b w:val="0"/>
          <w:bCs/>
          <w:color w:val="000000"/>
          <w:kern w:val="0"/>
          <w:sz w:val="32"/>
          <w:szCs w:val="32"/>
          <w:shd w:val="clear" w:fill="FFFFFF"/>
          <w:lang w:val="en-US" w:eastAsia="zh-CN" w:bidi="ar"/>
        </w:rPr>
        <w:t>（四）项目支出：</w:t>
      </w:r>
      <w:r>
        <w:rPr>
          <w:rFonts w:hint="eastAsia" w:ascii="方正仿宋_GBK" w:hAnsi="方正仿宋_GBK" w:eastAsia="方正仿宋_GBK" w:cs="方正仿宋_GBK"/>
          <w:b w:val="0"/>
          <w:bCs/>
          <w:color w:val="000000"/>
          <w:kern w:val="0"/>
          <w:sz w:val="32"/>
          <w:szCs w:val="32"/>
          <w:shd w:val="clear" w:fill="FFFFFF"/>
          <w:lang w:val="en-US" w:eastAsia="zh-CN" w:bidi="ar"/>
        </w:rPr>
        <w:t>指在基本支出之外为完成特定行政任务和事业发展目标所发生的支出。</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b w:val="0"/>
          <w:bCs/>
          <w:color w:val="000000"/>
          <w:kern w:val="0"/>
          <w:sz w:val="32"/>
          <w:szCs w:val="32"/>
          <w:shd w:val="clear" w:fill="FFFFFF"/>
          <w:lang w:val="en-US" w:eastAsia="zh-CN" w:bidi="ar"/>
        </w:rPr>
      </w:pPr>
      <w:r>
        <w:rPr>
          <w:rStyle w:val="5"/>
          <w:rFonts w:hint="eastAsia" w:ascii="方正楷体_GBK" w:hAnsi="方正楷体_GBK" w:eastAsia="方正楷体_GBK" w:cs="方正楷体_GBK"/>
          <w:b w:val="0"/>
          <w:bCs/>
          <w:color w:val="000000"/>
          <w:kern w:val="0"/>
          <w:sz w:val="32"/>
          <w:szCs w:val="32"/>
          <w:shd w:val="clear" w:fill="FFFFFF"/>
          <w:lang w:val="en-US" w:eastAsia="zh-CN" w:bidi="ar"/>
        </w:rPr>
        <w:t>（五）“三公”经费：</w:t>
      </w:r>
      <w:r>
        <w:rPr>
          <w:rFonts w:hint="eastAsia" w:ascii="方正仿宋_GBK" w:hAnsi="方正仿宋_GBK" w:eastAsia="方正仿宋_GBK" w:cs="方正仿宋_GBK"/>
          <w:b w:val="0"/>
          <w:bCs/>
          <w:color w:val="000000"/>
          <w:kern w:val="0"/>
          <w:sz w:val="32"/>
          <w:szCs w:val="32"/>
          <w:shd w:val="clear" w:fill="FFFFFF"/>
          <w:lang w:val="en-US" w:eastAsia="zh-CN" w:bidi="ar"/>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sz w:val="32"/>
          <w:szCs w:val="32"/>
        </w:rPr>
      </w:pPr>
    </w:p>
    <w:p>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00" w:lineRule="exact"/>
        <w:ind w:left="0" w:leftChars="0" w:firstLine="645"/>
        <w:textAlignment w:val="auto"/>
      </w:pPr>
      <w:r>
        <w:rPr>
          <w:rFonts w:hint="eastAsia" w:ascii="方正仿宋_GBK" w:hAnsi="方正仿宋_GBK" w:eastAsia="方正仿宋_GBK" w:cs="方正仿宋_GBK"/>
          <w:sz w:val="31"/>
          <w:szCs w:val="31"/>
        </w:rPr>
        <w:t>部门预算公开联系人：杜绍荣</w:t>
      </w:r>
      <w:r>
        <w:rPr>
          <w:rFonts w:hint="default" w:ascii="Times New Roman" w:hAnsi="Times New Roman" w:cs="Times New Roman"/>
          <w:sz w:val="31"/>
          <w:szCs w:val="31"/>
        </w:rPr>
        <w:t> </w:t>
      </w:r>
      <w:r>
        <w:rPr>
          <w:rFonts w:hint="eastAsia" w:ascii="方正仿宋_GBK" w:hAnsi="方正仿宋_GBK" w:eastAsia="方正仿宋_GBK" w:cs="方正仿宋_GBK"/>
          <w:sz w:val="31"/>
          <w:szCs w:val="31"/>
        </w:rPr>
        <w:t> 联系方式</w:t>
      </w:r>
      <w:r>
        <w:rPr>
          <w:rFonts w:hint="eastAsia" w:ascii="方正仿宋_GBK" w:hAnsi="方正仿宋_GBK" w:eastAsia="方正仿宋_GBK" w:cs="方正仿宋_GBK"/>
          <w:sz w:val="31"/>
          <w:szCs w:val="31"/>
          <w:lang w:eastAsia="zh-CN"/>
        </w:rPr>
        <w:t>：</w:t>
      </w:r>
      <w:r>
        <w:rPr>
          <w:rFonts w:hint="eastAsia" w:ascii="方正仿宋_GBK" w:hAnsi="方正仿宋_GBK" w:eastAsia="方正仿宋_GBK" w:cs="方正仿宋_GBK"/>
          <w:sz w:val="31"/>
          <w:szCs w:val="31"/>
        </w:rPr>
        <w:t>023-58510686</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0" w:leftChars="0"/>
        <w:textAlignment w:val="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kZTRiN2RhMmJmNWQ5YzYxMjQ0ZjU3NDA5NWI0ZTEifQ=="/>
  </w:docVars>
  <w:rsids>
    <w:rsidRoot w:val="244D02E5"/>
    <w:rsid w:val="068B3ED7"/>
    <w:rsid w:val="091F55DA"/>
    <w:rsid w:val="0A3562C9"/>
    <w:rsid w:val="19D004B1"/>
    <w:rsid w:val="244D02E5"/>
    <w:rsid w:val="2B984192"/>
    <w:rsid w:val="3B8C756F"/>
    <w:rsid w:val="5B313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2023-11-02T09:37:00Z</dcterms:created>
  <dc:creator>V</dc:creator>
  <cp:lastModifiedBy>V</cp:lastModifiedBy>
  <dcterms:modified xsi:type="dcterms:W3CDTF">2023-11-02T11:38:45Z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20CD9A71D8A54987ACC13149E30E1D43_13</vt:lpwstr>
  </property>
</Properties>
</file>