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重庆市万州区甘宁镇人民政府</w:t>
      </w:r>
    </w:p>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2023年度决算公开说明</w:t>
      </w:r>
      <w:r>
        <w:rPr>
          <w:rFonts w:hint="eastAsia" w:ascii="Times New Roman" w:hAnsi="Times New Roman" w:eastAsia="方正小标宋_GBK" w:cs="Times New Roman"/>
          <w:b w:val="0"/>
          <w:bCs w:val="0"/>
          <w:sz w:val="44"/>
          <w:szCs w:val="44"/>
          <w:lang w:eastAsia="zh-CN"/>
        </w:rPr>
        <w:t>（部门）</w:t>
      </w:r>
    </w:p>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执行党的路线方针政策和国家的法律法规，深学笃用习近平新时代中国特色社会主义思想，坚持以人民为中心的发展思想，充分发挥镇党委领导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遵循精简、统一、效能原则，设置综合办事机构9个，机构规格为正科级。分别是：党政办公室、党群工作办公室、经济发展办公室（挂统计办公室、农村经营管理办公室牌子）、民政和社会事务办公室（挂卫生健康办公室牌子）、平安建设办公室、规划建设管理环保办公室、财政办公室、应急管理办公室、综合行政执法办公室。</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镇人大</w:t>
      </w:r>
      <w:r>
        <w:rPr>
          <w:rFonts w:hint="eastAsia" w:ascii="Times New Roman" w:hAnsi="Times New Roman" w:eastAsia="方正仿宋_GBK" w:cs="Times New Roman"/>
          <w:sz w:val="32"/>
          <w:szCs w:val="32"/>
          <w:lang w:eastAsia="zh-CN"/>
        </w:rPr>
        <w:t>常委会</w:t>
      </w:r>
      <w:r>
        <w:rPr>
          <w:rFonts w:hint="default" w:ascii="Times New Roman" w:hAnsi="Times New Roman" w:eastAsia="方正仿宋_GBK" w:cs="Times New Roman"/>
          <w:sz w:val="32"/>
          <w:szCs w:val="32"/>
        </w:rPr>
        <w:t>办公室、纪委、武装部按照有关规定设置，人大</w:t>
      </w:r>
      <w:r>
        <w:rPr>
          <w:rFonts w:hint="eastAsia" w:ascii="Times New Roman" w:hAnsi="Times New Roman" w:eastAsia="方正仿宋_GBK" w:cs="Times New Roman"/>
          <w:sz w:val="32"/>
          <w:szCs w:val="32"/>
          <w:lang w:eastAsia="zh-CN"/>
        </w:rPr>
        <w:t>常委会</w:t>
      </w:r>
      <w:bookmarkStart w:id="0" w:name="_GoBack"/>
      <w:bookmarkEnd w:id="0"/>
      <w:r>
        <w:rPr>
          <w:rFonts w:hint="default" w:ascii="Times New Roman" w:hAnsi="Times New Roman" w:eastAsia="方正仿宋_GBK" w:cs="Times New Roman"/>
          <w:sz w:val="32"/>
          <w:szCs w:val="32"/>
        </w:rPr>
        <w:t>办公室配备1名专职工作人员。工会、团委、妇联等群团按章程设置，具体工作由党群工作办公室明确1名群团工作综合岗位承担。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党政办公室。主要负责纪检、宣传、统战、法制、武装、民宗侨台以及综合协调、文秘等职责。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党群工作办公室。主要负责党的建设、编制、人事、群团等职责。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发展办公室（挂统计办公室、农村经营管理办公室牌子）。主要负责经济发展规划、农村经营管理、经济社会统计及贯彻执行扶贫开发方针政策、扶贫开发工作的统筹协调、产业扶贫指导、扶贫政策法规及相关技能培训的指导管理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民政和社会事务办公室（挂卫生健康办公室牌子）。主要负责民政、教育、卫生、计生、文化、体育、社会救助、残疾人事业、劳动就业、社会保障、老龄事业发展等职责。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平安建设办公室。主要负责信访、人民调解、社会治安综合治理、防范和处理邪教等职责。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规划建设管理环保办公室。主要负责村镇规划、村镇建设、市政公用、市容环卫、环境保护等职责。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财政办公室。主要负责财政收支、预决算、总会计、支农惠民资金兑付、财政资金监督检查、绩效评价、村（社区）级财务管理等职责。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应急管理办公室。主要负责应急管理和安全生产综合监管，协助开展煤矿、非煤矿山、危险化学品、烟花爆竹等安全生产日常监管工作。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综合行政执法办公室。主要负责集中行使依法授权或委托的农林水利、规划建设、环境保护、卫生计生、文化旅游、民政管理、城市管理等领域的行政执法权。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2.设置事业站所6个，机构规格为正科级。分别是：农业服务中心、文化服务中心、劳动就业和社会保障服务所、村镇建设环保服务中心、退役军人服务站、综合行政执法大队。</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文化服务中心。主要承担文化、宣传、广播电视、体育、科技培训等方面工作。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村镇建设环保服务中心。主要承担辖区规划建设、环境保护等工作。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退役军人服务站。主要承担退役军人的关系转接、联络接待、困难帮扶、信息采集、情况反映、立功喜报、悬挂光荣牌和“八一”、春节等节日以及重大变故走访慰问等具体事务。</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综合行政执法大队。主要负责集中行使依法授权或委托的农林水利、规划建设、环境保护、卫生计生、文化旅游、民政管理、城市管理等领域的行政执法权。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1.总体情况。2023年度收入总计5466.38万元，支出总计5466.38万元。收支较上年决算数减少1036.05万元，下降15.93%，主要原因是</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项目投资减少。</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2.收入情况。2023年度收入合计5466.38万元，较上年决算数减少1036.05万元，下降15.93%，主要原因是</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项目投资减少。其中：财政拨款收入5366.38万元，占98.17%；事业收入0.00万元，占0.00%；经营收入0.00万元，占0.00%；其他收入100.00万元，占1.83%。此外，使用非财政拨款结余和专用结余0.00万元，年初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3.支出情况。2023年度支出合计5466.38万元，较上年决算数减少1036.05万元，下降15.93%，主要原因是</w:t>
      </w:r>
      <w:r>
        <w:rPr>
          <w:rFonts w:hint="default" w:ascii="Times New Roman" w:hAnsi="Times New Roman" w:eastAsia="方正仿宋_GBK" w:cs="Times New Roman"/>
          <w:sz w:val="32"/>
          <w:szCs w:val="32"/>
          <w:lang w:eastAsia="zh-CN"/>
        </w:rPr>
        <w:t>工程项目投资减少</w:t>
      </w:r>
      <w:r>
        <w:rPr>
          <w:rFonts w:hint="default" w:ascii="Times New Roman" w:hAnsi="Times New Roman" w:eastAsia="方正仿宋_GBK" w:cs="Times New Roman"/>
          <w:sz w:val="32"/>
          <w:szCs w:val="32"/>
        </w:rPr>
        <w:t>。其中：基本支出2287.55万元，占41.85%；项目支出3178.83万元，占58.15%；经营支出0.00万元，占0.00%。此外，结余分配0.00万元。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4.结转结余情况。2023年度年末结转和结余0.00万元。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2023年度财政拨款收、支总计5366.38万元。与2022年相比，财政拨款收、支总计各减少1136.05万元，下降17.47%。主要原因是工程项目投资减少。</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1.收入情况。2023年度一般公共预算财政拨款收入4512.72万元，较上年决算数减少646.24万元，下降12.53%。主要原因是</w:t>
      </w:r>
      <w:r>
        <w:rPr>
          <w:rFonts w:hint="default" w:ascii="Times New Roman" w:hAnsi="Times New Roman" w:eastAsia="方正仿宋_GBK" w:cs="Times New Roman"/>
          <w:sz w:val="32"/>
          <w:szCs w:val="32"/>
          <w:lang w:eastAsia="zh-CN"/>
        </w:rPr>
        <w:t>工程项目投资减少</w:t>
      </w:r>
      <w:r>
        <w:rPr>
          <w:rFonts w:hint="default" w:ascii="Times New Roman" w:hAnsi="Times New Roman" w:eastAsia="方正仿宋_GBK" w:cs="Times New Roman"/>
          <w:sz w:val="32"/>
          <w:szCs w:val="32"/>
        </w:rPr>
        <w:t>。较年初预算数增加1182.97万元，增长35.53%。主要原因是</w:t>
      </w:r>
      <w:r>
        <w:rPr>
          <w:rFonts w:hint="default" w:ascii="Times New Roman" w:hAnsi="Times New Roman" w:eastAsia="方正仿宋_GBK" w:cs="Times New Roman"/>
          <w:sz w:val="32"/>
          <w:szCs w:val="32"/>
          <w:lang w:eastAsia="zh-CN"/>
        </w:rPr>
        <w:t>年初预算数不含工程项目投资预算</w:t>
      </w:r>
      <w:r>
        <w:rPr>
          <w:rFonts w:hint="default" w:ascii="Times New Roman" w:hAnsi="Times New Roman" w:eastAsia="方正仿宋_GBK" w:cs="Times New Roman"/>
          <w:sz w:val="32"/>
          <w:szCs w:val="32"/>
        </w:rPr>
        <w:t>。此外，年初财政拨款结转和结余0.00万元。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2.支出情况。2023年度一般公共预算财政拨款支出4512.72万元，较上年决算数减少646.24万元，下降12.53%。主要原因是</w:t>
      </w:r>
      <w:r>
        <w:rPr>
          <w:rFonts w:hint="default" w:ascii="Times New Roman" w:hAnsi="Times New Roman" w:eastAsia="方正仿宋_GBK" w:cs="Times New Roman"/>
          <w:sz w:val="32"/>
          <w:szCs w:val="32"/>
          <w:lang w:eastAsia="zh-CN"/>
        </w:rPr>
        <w:t>工程项目投资减少</w:t>
      </w:r>
      <w:r>
        <w:rPr>
          <w:rFonts w:hint="default" w:ascii="Times New Roman" w:hAnsi="Times New Roman" w:eastAsia="方正仿宋_GBK" w:cs="Times New Roman"/>
          <w:sz w:val="32"/>
          <w:szCs w:val="32"/>
        </w:rPr>
        <w:t>。较年初预算数增加1182.97万元，增长35.53%。主要原因是</w:t>
      </w:r>
      <w:r>
        <w:rPr>
          <w:rFonts w:hint="default" w:ascii="Times New Roman" w:hAnsi="Times New Roman" w:eastAsia="方正仿宋_GBK" w:cs="Times New Roman"/>
          <w:sz w:val="32"/>
          <w:szCs w:val="32"/>
          <w:lang w:eastAsia="zh-CN"/>
        </w:rPr>
        <w:t>工程项目投资不在年初预算中，增加了工程项目投资预算</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4.比较情况。本部门2023年度一般公共预算财政拨款支出主要用于以下几个方面：</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（1）一般公共服务支出1014.09万元，占22.47%，较年初预算数减少43.95万元，下降4.15%，主要原因是</w:t>
      </w:r>
      <w:r>
        <w:rPr>
          <w:rFonts w:hint="default" w:ascii="Times New Roman" w:hAnsi="Times New Roman" w:eastAsia="方正仿宋_GBK" w:cs="Times New Roman"/>
          <w:sz w:val="32"/>
          <w:szCs w:val="32"/>
          <w:lang w:eastAsia="zh-CN"/>
        </w:rPr>
        <w:t>响应过紧日子要求，压减支出事项，节省支出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）公共安全支出28.47万元，占0.63%，较年初预算数减少11.85万元，下降29.39%，主要原</w:t>
      </w:r>
      <w:r>
        <w:rPr>
          <w:rFonts w:hint="default" w:ascii="Times New Roman" w:hAnsi="Times New Roman" w:eastAsia="方正仿宋_GBK" w:cs="Times New Roman"/>
          <w:sz w:val="32"/>
          <w:szCs w:val="32"/>
          <w:lang w:eastAsia="zh-CN"/>
        </w:rPr>
        <w:t>因是严控公共安全事务管理，及时预判公共安全隐患，降低公共安全事故发生率</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）文化旅游体育与传媒支出60.99万元，占1.35%，较年初预算数增加3.42万元，增长5.94%，主要原因是</w:t>
      </w:r>
      <w:r>
        <w:rPr>
          <w:rFonts w:hint="default" w:ascii="Times New Roman" w:hAnsi="Times New Roman" w:eastAsia="方正仿宋_GBK" w:cs="Times New Roman"/>
          <w:sz w:val="32"/>
          <w:szCs w:val="32"/>
          <w:lang w:eastAsia="zh-CN"/>
        </w:rPr>
        <w:t>开展乡村振兴，提升文旅融合发展</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）社会保障与就业支出878.92万元，占19.48%，较年初预算数增加169.34万元，增长23.86%，主要原因是</w:t>
      </w:r>
      <w:r>
        <w:rPr>
          <w:rFonts w:hint="default" w:ascii="Times New Roman" w:hAnsi="Times New Roman" w:eastAsia="方正仿宋_GBK" w:cs="Times New Roman"/>
          <w:sz w:val="32"/>
          <w:szCs w:val="32"/>
          <w:lang w:eastAsia="zh-CN"/>
        </w:rPr>
        <w:t>惠民生，社会保障与就业项目增加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）卫生健康支出115.34万元，占2.56%，较年初预算数增加16.89万元，增长17.16%，主要原因是</w:t>
      </w:r>
      <w:r>
        <w:rPr>
          <w:rFonts w:hint="default" w:ascii="Times New Roman" w:hAnsi="Times New Roman" w:eastAsia="方正仿宋_GBK" w:cs="Times New Roman"/>
          <w:sz w:val="32"/>
          <w:szCs w:val="32"/>
          <w:lang w:eastAsia="zh-CN"/>
        </w:rPr>
        <w:t>全民健康事业发展增加支出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）节能环保支出31.48万元，占0.70%，较年初预算数增加31.48万元，增长100.00%，主要原因是</w:t>
      </w:r>
      <w:r>
        <w:rPr>
          <w:rFonts w:hint="default" w:ascii="Times New Roman" w:hAnsi="Times New Roman" w:eastAsia="方正仿宋_GBK" w:cs="Times New Roman"/>
          <w:sz w:val="32"/>
          <w:szCs w:val="32"/>
          <w:lang w:eastAsia="zh-CN"/>
        </w:rPr>
        <w:t>人居环境整治、城乡垃圾处理等环保治理支出增加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）城乡社区支出85.59万元，占1.90%，较年初预算数增加0.25万元，增长0.29%，主要原因是</w:t>
      </w:r>
      <w:r>
        <w:rPr>
          <w:rFonts w:hint="default" w:ascii="Times New Roman" w:hAnsi="Times New Roman" w:eastAsia="方正仿宋_GBK" w:cs="Times New Roman"/>
          <w:sz w:val="32"/>
          <w:szCs w:val="32"/>
          <w:lang w:eastAsia="zh-CN"/>
        </w:rPr>
        <w:t>城乡社区管理服务支出增加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）农林水支出1880.51万元，占41.67%，较年初预算数增加828.81万元，增长78.81%，主要原因是</w:t>
      </w:r>
      <w:r>
        <w:rPr>
          <w:rFonts w:hint="default" w:ascii="Times New Roman" w:hAnsi="Times New Roman" w:eastAsia="方正仿宋_GBK" w:cs="Times New Roman"/>
          <w:sz w:val="32"/>
          <w:szCs w:val="32"/>
          <w:lang w:eastAsia="zh-CN"/>
        </w:rPr>
        <w:t>开展乡村振兴，工程项目增加，支出增加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）交通运输支出147.91万元，占3.28%，较年初预算数增加147.91万元，增长100.00%，主要原因是</w:t>
      </w:r>
      <w:r>
        <w:rPr>
          <w:rFonts w:hint="default" w:ascii="Times New Roman" w:hAnsi="Times New Roman" w:eastAsia="方正仿宋_GBK" w:cs="Times New Roman"/>
          <w:sz w:val="32"/>
          <w:szCs w:val="32"/>
          <w:lang w:eastAsia="zh-CN"/>
        </w:rPr>
        <w:t>年初预算不含交通运输内容，增加了工程项目投资支出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）住房保障支出141.19万元，占3.13%，较年初预算数增加14.38万元，增长11.34%，主要原因是</w:t>
      </w:r>
      <w:r>
        <w:rPr>
          <w:rFonts w:hint="default" w:ascii="Times New Roman" w:hAnsi="Times New Roman" w:eastAsia="方正仿宋_GBK" w:cs="Times New Roman"/>
          <w:sz w:val="32"/>
          <w:szCs w:val="32"/>
          <w:lang w:eastAsia="zh-CN"/>
        </w:rPr>
        <w:t>年初预算不含此项支出，增加了农村危房改造项目支出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）灾害防治及应急管理支出128.24万元，占2.84%，较年初预算数增加27.30万元，增长27.05%，主要原因是</w:t>
      </w:r>
      <w:r>
        <w:rPr>
          <w:rFonts w:hint="default" w:ascii="Times New Roman" w:hAnsi="Times New Roman" w:eastAsia="方正仿宋_GBK" w:cs="Times New Roman"/>
          <w:sz w:val="32"/>
          <w:szCs w:val="32"/>
          <w:lang w:eastAsia="zh-CN"/>
        </w:rPr>
        <w:t>年初预算不含此项，增加了自然灾害防治救治、应急管理等支出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2023年度一般公共财政拨款基本支出2287.55万元。其中：人员经费2106.86万元，较上年决算数增加49.62万元，增长2.41%，主要原因是</w:t>
      </w:r>
      <w:r>
        <w:rPr>
          <w:rFonts w:hint="default" w:ascii="Times New Roman" w:hAnsi="Times New Roman" w:eastAsia="方正仿宋_GBK" w:cs="Times New Roman"/>
          <w:sz w:val="32"/>
          <w:szCs w:val="32"/>
          <w:lang w:eastAsia="zh-CN"/>
        </w:rPr>
        <w:t>人员工资和福利的政策性增加</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eastAsia="zh-CN"/>
        </w:rPr>
        <w:t>基本工资、津贴补贴、资金、绩效工资、基本养老保险缴费、基本医疗保险缴费、职业年金缴费、其他社会保障缴费、住房公积金、超额绩效、其他工资福利支出等</w:t>
      </w:r>
      <w:r>
        <w:rPr>
          <w:rFonts w:hint="default" w:ascii="Times New Roman" w:hAnsi="Times New Roman" w:eastAsia="方正仿宋_GBK" w:cs="Times New Roman"/>
          <w:sz w:val="32"/>
          <w:szCs w:val="32"/>
        </w:rPr>
        <w:t>。公用经费180.69万元，较上年决算数减少97.21万元，下降34.98%，主要原因是</w:t>
      </w:r>
      <w:r>
        <w:rPr>
          <w:rFonts w:hint="default" w:ascii="Times New Roman" w:hAnsi="Times New Roman" w:eastAsia="方正仿宋_GBK" w:cs="Times New Roman"/>
          <w:sz w:val="32"/>
          <w:szCs w:val="32"/>
          <w:lang w:eastAsia="zh-CN"/>
        </w:rPr>
        <w:t>政府提倡过紧日子，压减行政支出</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eastAsia="zh-CN"/>
        </w:rPr>
        <w:t>办公费、印刷费、水费、电费、邮电费、差旅费、会议费、培训费、劳务费、公务接待费、公务用车运行维护费、维修（护）费、工会经费、其他交通费用、其他商品和服务支出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2023年度政府性基金预算财政拨款年初结转结余0.00万元，年末结转结余0.00万元。本年收入853.66万元，较上年决算数减少489.80万元，下降36.46%，主要原因是</w:t>
      </w:r>
      <w:r>
        <w:rPr>
          <w:rFonts w:hint="default" w:ascii="Times New Roman" w:hAnsi="Times New Roman" w:eastAsia="方正仿宋_GBK" w:cs="Times New Roman"/>
          <w:sz w:val="32"/>
          <w:szCs w:val="32"/>
          <w:lang w:eastAsia="zh-CN"/>
        </w:rPr>
        <w:t>由政府性基金投资的工程项目减少</w:t>
      </w:r>
      <w:r>
        <w:rPr>
          <w:rFonts w:hint="default" w:ascii="Times New Roman" w:hAnsi="Times New Roman" w:eastAsia="方正仿宋_GBK" w:cs="Times New Roman"/>
          <w:sz w:val="32"/>
          <w:szCs w:val="32"/>
        </w:rPr>
        <w:t>。本年支出853.66万元，较上年决算数减少489.80万元，下降36.46%，主要原因是</w:t>
      </w:r>
      <w:r>
        <w:rPr>
          <w:rFonts w:hint="default" w:ascii="Times New Roman" w:hAnsi="Times New Roman" w:eastAsia="方正仿宋_GBK" w:cs="Times New Roman"/>
          <w:sz w:val="32"/>
          <w:szCs w:val="32"/>
          <w:lang w:eastAsia="zh-CN"/>
        </w:rPr>
        <w:t>由政府性基金投资的工程项目减少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2023年度“三公”经费支出共计12.35万元，较年初预算数减少0.15万元，下降1.20%，主要原因是</w:t>
      </w:r>
      <w:r>
        <w:rPr>
          <w:rFonts w:hint="default" w:ascii="Times New Roman" w:hAnsi="Times New Roman" w:eastAsia="方正仿宋_GBK" w:cs="Times New Roman"/>
          <w:sz w:val="32"/>
          <w:szCs w:val="32"/>
          <w:lang w:eastAsia="zh-CN"/>
        </w:rPr>
        <w:t>响应过紧日子要求，压减公用经费支出</w:t>
      </w:r>
      <w:r>
        <w:rPr>
          <w:rFonts w:hint="default" w:ascii="Times New Roman" w:hAnsi="Times New Roman" w:eastAsia="方正仿宋_GBK" w:cs="Times New Roman"/>
          <w:sz w:val="32"/>
          <w:szCs w:val="32"/>
        </w:rPr>
        <w:t>。较上年支出数减少0.31万元，下降2.45%，主要原因是</w:t>
      </w:r>
      <w:r>
        <w:rPr>
          <w:rFonts w:hint="default" w:ascii="Times New Roman" w:hAnsi="Times New Roman" w:eastAsia="方正仿宋_GBK" w:cs="Times New Roman"/>
          <w:sz w:val="32"/>
          <w:szCs w:val="32"/>
          <w:lang w:eastAsia="zh-CN"/>
        </w:rPr>
        <w:t>响应过紧日子要求，压减公用经费支出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公务车运行维护费3.96万元，主要用于</w:t>
      </w:r>
      <w:r>
        <w:rPr>
          <w:rFonts w:hint="default" w:ascii="Times New Roman" w:hAnsi="Times New Roman" w:eastAsia="方正仿宋_GBK" w:cs="Times New Roman"/>
          <w:sz w:val="32"/>
          <w:szCs w:val="32"/>
          <w:lang w:eastAsia="zh-CN"/>
        </w:rPr>
        <w:t>公务车加油、公务车维修、公务车保险</w:t>
      </w:r>
      <w:r>
        <w:rPr>
          <w:rFonts w:hint="default" w:ascii="Times New Roman" w:hAnsi="Times New Roman" w:eastAsia="方正仿宋_GBK" w:cs="Times New Roman"/>
          <w:sz w:val="32"/>
          <w:szCs w:val="32"/>
        </w:rPr>
        <w:t>。费用支出较年初预算数减少0.04万元，下降1.00%，主要原因是</w:t>
      </w:r>
      <w:r>
        <w:rPr>
          <w:rFonts w:hint="default" w:ascii="Times New Roman" w:hAnsi="Times New Roman" w:eastAsia="方正仿宋_GBK" w:cs="Times New Roman"/>
          <w:sz w:val="32"/>
          <w:szCs w:val="32"/>
          <w:lang w:eastAsia="zh-CN"/>
        </w:rPr>
        <w:t>公务车加油减少</w:t>
      </w:r>
      <w:r>
        <w:rPr>
          <w:rFonts w:hint="default" w:ascii="Times New Roman" w:hAnsi="Times New Roman" w:eastAsia="方正仿宋_GBK" w:cs="Times New Roman"/>
          <w:sz w:val="32"/>
          <w:szCs w:val="32"/>
        </w:rPr>
        <w:t>。较上年支出数减少0.06万元，下降1.49%，主要原因是</w:t>
      </w:r>
      <w:r>
        <w:rPr>
          <w:rFonts w:hint="default" w:ascii="Times New Roman" w:hAnsi="Times New Roman" w:eastAsia="方正仿宋_GBK" w:cs="Times New Roman"/>
          <w:sz w:val="32"/>
          <w:szCs w:val="32"/>
          <w:lang w:eastAsia="zh-CN"/>
        </w:rPr>
        <w:t>公务车加油减少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公务接待费8.39万元，主要用于接待</w:t>
      </w:r>
      <w:r>
        <w:rPr>
          <w:rFonts w:hint="default" w:ascii="Times New Roman" w:hAnsi="Times New Roman" w:eastAsia="方正仿宋_GBK" w:cs="Times New Roman"/>
          <w:sz w:val="32"/>
          <w:szCs w:val="32"/>
          <w:lang w:eastAsia="zh-CN"/>
        </w:rPr>
        <w:t>上级来人检查和指导工作、对口支援对接工作、招商引资工作等的接待</w:t>
      </w:r>
      <w:r>
        <w:rPr>
          <w:rFonts w:hint="default" w:ascii="Times New Roman" w:hAnsi="Times New Roman" w:eastAsia="方正仿宋_GBK" w:cs="Times New Roman"/>
          <w:sz w:val="32"/>
          <w:szCs w:val="32"/>
        </w:rPr>
        <w:t>。费用支出较年初预算数减少0.11万元，下降1.29%，主要原因是</w:t>
      </w:r>
      <w:r>
        <w:rPr>
          <w:rFonts w:hint="default" w:ascii="Times New Roman" w:hAnsi="Times New Roman" w:eastAsia="方正仿宋_GBK" w:cs="Times New Roman"/>
          <w:sz w:val="32"/>
          <w:szCs w:val="32"/>
          <w:lang w:eastAsia="zh-CN"/>
        </w:rPr>
        <w:t>响应政府过紧日子，压减接待支出</w:t>
      </w:r>
      <w:r>
        <w:rPr>
          <w:rFonts w:hint="default" w:ascii="Times New Roman" w:hAnsi="Times New Roman" w:eastAsia="方正仿宋_GBK" w:cs="Times New Roman"/>
          <w:sz w:val="32"/>
          <w:szCs w:val="32"/>
        </w:rPr>
        <w:t>。较上年支出数减少0.25万元，下降2.89%，主要原因是</w:t>
      </w:r>
      <w:r>
        <w:rPr>
          <w:rFonts w:hint="default" w:ascii="Times New Roman" w:hAnsi="Times New Roman" w:eastAsia="方正仿宋_GBK" w:cs="Times New Roman"/>
          <w:sz w:val="32"/>
          <w:szCs w:val="32"/>
          <w:lang w:eastAsia="zh-CN"/>
        </w:rPr>
        <w:t>响应政府过紧日子，压减接待支出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公务用车购置0辆，公务车保有量为2辆；国内公务接待56批次1120人，其中：国内外事接待0批次，0人；国（境）外公务接待0批次，0人。2023年本部门人均接待费74.91元，车均购置费0万元，车均维护费1.98万元。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本年度会议费支出4.31万元，较上年决算数减少1.11万元，下降20.48%，主要原因是</w:t>
      </w:r>
      <w:r>
        <w:rPr>
          <w:rFonts w:hint="default" w:ascii="Times New Roman" w:hAnsi="Times New Roman" w:eastAsia="方正仿宋_GBK" w:cs="Times New Roman"/>
          <w:sz w:val="32"/>
          <w:szCs w:val="32"/>
          <w:lang w:eastAsia="zh-CN"/>
        </w:rPr>
        <w:t>响应政府过紧日子，减少会议召开频次，压减会议支出。</w:t>
      </w:r>
      <w:r>
        <w:rPr>
          <w:rFonts w:hint="default" w:ascii="Times New Roman" w:hAnsi="Times New Roman" w:eastAsia="方正仿宋_GBK" w:cs="Times New Roman"/>
          <w:sz w:val="32"/>
          <w:szCs w:val="32"/>
        </w:rPr>
        <w:t>本年度培训费支出5.51万元，较上年决算数减少1.36万元，下降19.80%，主要原因是</w:t>
      </w:r>
      <w:r>
        <w:rPr>
          <w:rFonts w:hint="default" w:ascii="Times New Roman" w:hAnsi="Times New Roman" w:eastAsia="方正仿宋_GBK" w:cs="Times New Roman"/>
          <w:sz w:val="32"/>
          <w:szCs w:val="32"/>
          <w:lang w:eastAsia="zh-CN"/>
        </w:rPr>
        <w:t>响应政府过紧日子，减少不必要的培训，培训费支出减少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2023年度本部门机关运行经费支出114.03万元，机关运行经费主要用于开支</w:t>
      </w:r>
      <w:r>
        <w:rPr>
          <w:rFonts w:hint="default" w:ascii="Times New Roman" w:hAnsi="Times New Roman" w:eastAsia="方正仿宋_GBK" w:cs="Times New Roman"/>
          <w:sz w:val="32"/>
          <w:szCs w:val="32"/>
          <w:lang w:eastAsia="zh-CN"/>
        </w:rPr>
        <w:t>办公费、印刷费、邮电费、差旅费、会议费、福利费、日常维修费、专用材料及一般设备购置费、水电费、公务车运行维修费、培训遇、公务接待费等</w:t>
      </w:r>
      <w:r>
        <w:rPr>
          <w:rFonts w:hint="default" w:ascii="Times New Roman" w:hAnsi="Times New Roman" w:eastAsia="方正仿宋_GBK" w:cs="Times New Roman"/>
          <w:sz w:val="32"/>
          <w:szCs w:val="32"/>
        </w:rPr>
        <w:t>。机关运行经费较上年支出数减少55.44万元，下降32.71%，主要原因是</w:t>
      </w:r>
      <w:r>
        <w:rPr>
          <w:rFonts w:hint="default" w:ascii="Times New Roman" w:hAnsi="Times New Roman" w:eastAsia="方正仿宋_GBK" w:cs="Times New Roman"/>
          <w:sz w:val="32"/>
          <w:szCs w:val="32"/>
          <w:lang w:eastAsia="zh-CN"/>
        </w:rPr>
        <w:t>响应政府过紧日子要求，减少会议、接待、培训、公务用车等支出减少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截至2023年12月31日，本部门共有车辆2辆，其中，应急保障用车2辆</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871.68万元，其中：政府采购工程支出871.68万元。授予中小企业合同金额871.68万元，占政府采购支出总额的100.00%，其中：授予小微企业合同金额871.68万元，占政府采购支出总额的100.00 %。主要用于采购</w:t>
      </w:r>
      <w:r>
        <w:rPr>
          <w:rFonts w:hint="default" w:ascii="Times New Roman" w:hAnsi="Times New Roman" w:eastAsia="方正仿宋_GBK" w:cs="Times New Roman"/>
          <w:sz w:val="32"/>
          <w:szCs w:val="32"/>
          <w:lang w:eastAsia="zh-CN"/>
        </w:rPr>
        <w:t>工程项目的承建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（一）部门自评情况</w:t>
      </w:r>
    </w:p>
    <w:tbl>
      <w:tblPr>
        <w:tblStyle w:val="3"/>
        <w:tblW w:w="9540" w:type="dxa"/>
        <w:tblInd w:w="91" w:type="dxa"/>
        <w:tblLayout w:type="fixed"/>
        <w:tblCellMar>
          <w:top w:w="0" w:type="dxa"/>
          <w:left w:w="108" w:type="dxa"/>
          <w:bottom w:w="0" w:type="dxa"/>
          <w:right w:w="108" w:type="dxa"/>
        </w:tblCellMar>
      </w:tblPr>
      <w:tblGrid>
        <w:gridCol w:w="954"/>
        <w:gridCol w:w="1640"/>
        <w:gridCol w:w="398"/>
        <w:gridCol w:w="12"/>
        <w:gridCol w:w="175"/>
        <w:gridCol w:w="88"/>
        <w:gridCol w:w="527"/>
        <w:gridCol w:w="123"/>
        <w:gridCol w:w="552"/>
        <w:gridCol w:w="690"/>
        <w:gridCol w:w="570"/>
        <w:gridCol w:w="175"/>
        <w:gridCol w:w="485"/>
        <w:gridCol w:w="928"/>
        <w:gridCol w:w="167"/>
        <w:gridCol w:w="508"/>
        <w:gridCol w:w="632"/>
        <w:gridCol w:w="30"/>
        <w:gridCol w:w="886"/>
      </w:tblGrid>
      <w:tr>
        <w:trPr>
          <w:trHeight w:val="552" w:hRule="atLeast"/>
        </w:trPr>
        <w:tc>
          <w:tcPr>
            <w:tcW w:w="9540" w:type="dxa"/>
            <w:gridSpan w:val="19"/>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kern w:val="0"/>
                <w:sz w:val="36"/>
                <w:szCs w:val="36"/>
                <w:lang w:eastAsia="zh-CN" w:bidi="ar"/>
              </w:rPr>
              <w:t>甘宁镇</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年度部门整体绩效自评表</w:t>
            </w:r>
          </w:p>
        </w:tc>
      </w:tr>
      <w:tr>
        <w:tblPrEx>
          <w:tblCellMar>
            <w:top w:w="0" w:type="dxa"/>
            <w:left w:w="108" w:type="dxa"/>
            <w:bottom w:w="0" w:type="dxa"/>
            <w:right w:w="108" w:type="dxa"/>
          </w:tblCellMar>
        </w:tblPrEx>
        <w:trPr>
          <w:trHeight w:val="529" w:hRule="atLeast"/>
        </w:trPr>
        <w:tc>
          <w:tcPr>
            <w:tcW w:w="9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主管部门</w:t>
            </w:r>
          </w:p>
        </w:tc>
        <w:tc>
          <w:tcPr>
            <w:tcW w:w="2225" w:type="dxa"/>
            <w:gridSpan w:val="4"/>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eastAsia="zh-CN"/>
              </w:rPr>
            </w:pPr>
            <w:r>
              <w:rPr>
                <w:rFonts w:hint="default" w:ascii="Times New Roman" w:hAnsi="Times New Roman" w:cs="Times New Roman"/>
                <w:color w:val="000000"/>
                <w:sz w:val="20"/>
                <w:szCs w:val="20"/>
                <w:lang w:eastAsia="zh-CN"/>
              </w:rPr>
              <w:t>重庆市万州区甘宁镇人民政府</w:t>
            </w:r>
          </w:p>
        </w:tc>
        <w:tc>
          <w:tcPr>
            <w:tcW w:w="738" w:type="dxa"/>
            <w:gridSpan w:val="3"/>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部门编码</w:t>
            </w:r>
          </w:p>
        </w:tc>
        <w:tc>
          <w:tcPr>
            <w:tcW w:w="1987" w:type="dxa"/>
            <w:gridSpan w:val="4"/>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801</w:t>
            </w:r>
          </w:p>
        </w:tc>
        <w:tc>
          <w:tcPr>
            <w:tcW w:w="1413"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自评总分（分）</w:t>
            </w:r>
          </w:p>
        </w:tc>
        <w:tc>
          <w:tcPr>
            <w:tcW w:w="2223" w:type="dxa"/>
            <w:gridSpan w:val="5"/>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98.34</w:t>
            </w:r>
          </w:p>
        </w:tc>
      </w:tr>
      <w:tr>
        <w:tblPrEx>
          <w:tblCellMar>
            <w:top w:w="0" w:type="dxa"/>
            <w:left w:w="108" w:type="dxa"/>
            <w:bottom w:w="0" w:type="dxa"/>
            <w:right w:w="108" w:type="dxa"/>
          </w:tblCellMar>
        </w:tblPrEx>
        <w:trPr>
          <w:trHeight w:val="195"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eastAsia="方正仿宋_GBK" w:cs="Times New Roman"/>
                <w:color w:val="000000"/>
                <w:kern w:val="0"/>
                <w:szCs w:val="18"/>
                <w:lang w:bidi="ar"/>
              </w:rPr>
            </w:pPr>
            <w:r>
              <w:rPr>
                <w:rFonts w:hint="default" w:ascii="Times New Roman" w:hAnsi="Times New Roman" w:cs="Times New Roman"/>
              </w:rPr>
              <w:t>部门</w:t>
            </w:r>
            <w:r>
              <w:rPr>
                <w:rFonts w:hint="default" w:ascii="Times New Roman" w:hAnsi="Times New Roman" w:cs="Times New Roman"/>
              </w:rPr>
              <w:br w:type="textWrapping"/>
            </w:r>
            <w:r>
              <w:rPr>
                <w:rFonts w:hint="default" w:ascii="Times New Roman" w:hAnsi="Times New Roman" w:cs="Times New Roman"/>
              </w:rPr>
              <w:t>联系人</w:t>
            </w:r>
          </w:p>
        </w:tc>
        <w:tc>
          <w:tcPr>
            <w:tcW w:w="4950" w:type="dxa"/>
            <w:gridSpan w:val="11"/>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eastAsia="zh-CN"/>
              </w:rPr>
            </w:pPr>
            <w:r>
              <w:rPr>
                <w:rFonts w:hint="default" w:ascii="Times New Roman" w:hAnsi="Times New Roman" w:cs="Times New Roman"/>
                <w:color w:val="000000"/>
                <w:sz w:val="20"/>
                <w:szCs w:val="20"/>
                <w:lang w:eastAsia="zh-CN"/>
              </w:rPr>
              <w:t>李达忠</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联系电话</w:t>
            </w:r>
          </w:p>
        </w:tc>
        <w:tc>
          <w:tcPr>
            <w:tcW w:w="2223"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17323662917</w:t>
            </w:r>
          </w:p>
        </w:tc>
      </w:tr>
      <w:tr>
        <w:tblPrEx>
          <w:tblCellMar>
            <w:top w:w="0" w:type="dxa"/>
            <w:left w:w="108" w:type="dxa"/>
            <w:bottom w:w="0" w:type="dxa"/>
            <w:right w:w="108" w:type="dxa"/>
          </w:tblCellMar>
        </w:tblPrEx>
        <w:trPr>
          <w:trHeight w:val="79"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p>
        </w:tc>
        <w:tc>
          <w:tcPr>
            <w:tcW w:w="2050"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20"/>
                <w:szCs w:val="20"/>
                <w:lang w:eastAsia="zh-CN"/>
              </w:rPr>
            </w:pPr>
            <w:r>
              <w:rPr>
                <w:rFonts w:hint="default" w:ascii="Times New Roman" w:hAnsi="Times New Roman" w:cs="Times New Roman"/>
                <w:color w:val="000000"/>
                <w:sz w:val="20"/>
                <w:szCs w:val="20"/>
                <w:lang w:eastAsia="zh-CN"/>
              </w:rPr>
              <w:t>年初预算数</w:t>
            </w:r>
          </w:p>
        </w:tc>
        <w:tc>
          <w:tcPr>
            <w:tcW w:w="2900" w:type="dxa"/>
            <w:gridSpan w:val="8"/>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全年（调整）</w:t>
            </w:r>
            <w:r>
              <w:rPr>
                <w:rFonts w:hint="default" w:ascii="Times New Roman" w:hAnsi="Times New Roman" w:eastAsia="方正仿宋_GBK" w:cs="Times New Roman"/>
                <w:color w:val="000000"/>
                <w:kern w:val="0"/>
                <w:sz w:val="18"/>
                <w:szCs w:val="18"/>
                <w:lang w:eastAsia="zh-CN" w:bidi="ar"/>
              </w:rPr>
              <w:t>预算数</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eastAsia="方正仿宋_GBK" w:cs="Times New Roman"/>
                <w:color w:val="000000"/>
                <w:kern w:val="0"/>
                <w:sz w:val="18"/>
                <w:szCs w:val="18"/>
                <w:lang w:bidi="ar"/>
              </w:rPr>
              <w:t>全年</w:t>
            </w:r>
            <w:r>
              <w:rPr>
                <w:rFonts w:hint="default" w:ascii="Times New Roman" w:hAnsi="Times New Roman" w:eastAsia="方正仿宋_GBK" w:cs="Times New Roman"/>
                <w:color w:val="000000"/>
                <w:kern w:val="0"/>
                <w:sz w:val="18"/>
                <w:szCs w:val="18"/>
                <w:lang w:eastAsia="zh-CN" w:bidi="ar"/>
              </w:rPr>
              <w:t>执行数</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执行率（</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lang w:eastAsia="zh-CN"/>
              </w:rPr>
              <w:t>）</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执行率权重</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执行率等分（分）</w:t>
            </w:r>
          </w:p>
        </w:tc>
      </w:tr>
      <w:tr>
        <w:tblPrEx>
          <w:tblCellMar>
            <w:top w:w="0" w:type="dxa"/>
            <w:left w:w="108" w:type="dxa"/>
            <w:bottom w:w="0" w:type="dxa"/>
            <w:right w:w="108" w:type="dxa"/>
          </w:tblCellMar>
        </w:tblPrEx>
        <w:trPr>
          <w:trHeight w:val="164"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cs="Times New Roman"/>
                <w:lang w:eastAsia="zh-CN"/>
              </w:rPr>
              <w:t>年度总金额</w:t>
            </w:r>
          </w:p>
        </w:tc>
        <w:tc>
          <w:tcPr>
            <w:tcW w:w="2038"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34362294.48元</w:t>
            </w:r>
          </w:p>
        </w:tc>
        <w:tc>
          <w:tcPr>
            <w:tcW w:w="2912"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63118193.13元</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val="en-US" w:eastAsia="zh-CN" w:bidi="ar"/>
              </w:rPr>
            </w:pPr>
            <w:r>
              <w:rPr>
                <w:rFonts w:hint="default" w:ascii="Times New Roman" w:hAnsi="Times New Roman" w:eastAsia="方正仿宋_GBK" w:cs="Times New Roman"/>
                <w:color w:val="000000"/>
                <w:kern w:val="0"/>
                <w:sz w:val="15"/>
                <w:szCs w:val="15"/>
                <w:lang w:val="en-US" w:eastAsia="zh-CN" w:bidi="ar"/>
              </w:rPr>
              <w:t>55808774.63元</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w:t>
            </w:r>
          </w:p>
        </w:tc>
      </w:tr>
      <w:tr>
        <w:tblPrEx>
          <w:tblCellMar>
            <w:top w:w="0" w:type="dxa"/>
            <w:left w:w="108" w:type="dxa"/>
            <w:bottom w:w="0" w:type="dxa"/>
            <w:right w:w="108" w:type="dxa"/>
          </w:tblCellMar>
        </w:tblPrEx>
        <w:trPr>
          <w:trHeight w:val="158"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cs="Times New Roman"/>
                <w:lang w:eastAsia="zh-CN"/>
              </w:rPr>
              <w:t>其中：财政拨款</w:t>
            </w:r>
          </w:p>
        </w:tc>
        <w:tc>
          <w:tcPr>
            <w:tcW w:w="2038"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31486683.94元</w:t>
            </w:r>
          </w:p>
        </w:tc>
        <w:tc>
          <w:tcPr>
            <w:tcW w:w="2912"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59247563.26元</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val="en-US" w:eastAsia="zh-CN" w:bidi="ar"/>
              </w:rPr>
            </w:pPr>
            <w:r>
              <w:rPr>
                <w:rFonts w:hint="default" w:ascii="Times New Roman" w:hAnsi="Times New Roman" w:eastAsia="方正仿宋_GBK" w:cs="Times New Roman"/>
                <w:color w:val="000000"/>
                <w:kern w:val="0"/>
                <w:sz w:val="18"/>
                <w:szCs w:val="18"/>
                <w:lang w:val="en-US" w:eastAsia="zh-CN" w:bidi="ar"/>
              </w:rPr>
              <w:t>5</w:t>
            </w:r>
            <w:r>
              <w:rPr>
                <w:rFonts w:hint="default" w:ascii="Times New Roman" w:hAnsi="Times New Roman" w:eastAsia="方正仿宋_GBK" w:cs="Times New Roman"/>
                <w:color w:val="000000"/>
                <w:kern w:val="0"/>
                <w:sz w:val="15"/>
                <w:szCs w:val="15"/>
                <w:lang w:val="en-US" w:eastAsia="zh-CN" w:bidi="ar"/>
              </w:rPr>
              <w:t>3228610.00元</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16"/>
                <w:szCs w:val="16"/>
                <w:lang w:val="en-US" w:eastAsia="zh-CN"/>
              </w:rPr>
              <w:t>89.94</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100%</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8.98</w:t>
            </w:r>
          </w:p>
        </w:tc>
      </w:tr>
      <w:tr>
        <w:tblPrEx>
          <w:tblCellMar>
            <w:top w:w="0" w:type="dxa"/>
            <w:left w:w="108" w:type="dxa"/>
            <w:bottom w:w="0" w:type="dxa"/>
            <w:right w:w="108" w:type="dxa"/>
          </w:tblCellMar>
        </w:tblPrEx>
        <w:trPr>
          <w:trHeight w:val="171"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eastAsia="方正仿宋_GBK" w:cs="Times New Roman"/>
                <w:color w:val="000000"/>
                <w:kern w:val="0"/>
                <w:sz w:val="15"/>
                <w:szCs w:val="15"/>
                <w:lang w:eastAsia="zh-CN" w:bidi="ar"/>
              </w:rPr>
              <w:t>一般公共预算</w:t>
            </w:r>
          </w:p>
        </w:tc>
        <w:tc>
          <w:tcPr>
            <w:tcW w:w="2038"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30421900.00元</w:t>
            </w:r>
          </w:p>
        </w:tc>
        <w:tc>
          <w:tcPr>
            <w:tcW w:w="2912"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47290977.86元</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val="en-US" w:eastAsia="zh-CN" w:bidi="ar"/>
              </w:rPr>
            </w:pPr>
            <w:r>
              <w:rPr>
                <w:rFonts w:hint="default" w:ascii="Times New Roman" w:hAnsi="Times New Roman" w:eastAsia="方正仿宋_GBK" w:cs="Times New Roman"/>
                <w:color w:val="000000"/>
                <w:kern w:val="0"/>
                <w:sz w:val="15"/>
                <w:szCs w:val="15"/>
                <w:lang w:val="en-US" w:eastAsia="zh-CN" w:bidi="ar"/>
              </w:rPr>
              <w:t>43297037.34元</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w:t>
            </w:r>
          </w:p>
        </w:tc>
      </w:tr>
      <w:tr>
        <w:tblPrEx>
          <w:tblCellMar>
            <w:top w:w="0" w:type="dxa"/>
            <w:left w:w="108" w:type="dxa"/>
            <w:bottom w:w="0" w:type="dxa"/>
            <w:right w:w="108" w:type="dxa"/>
          </w:tblCellMar>
        </w:tblPrEx>
        <w:trPr>
          <w:trHeight w:val="450" w:hRule="atLeast"/>
        </w:trPr>
        <w:tc>
          <w:tcPr>
            <w:tcW w:w="954"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当年绩效</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目标</w:t>
            </w:r>
          </w:p>
        </w:tc>
        <w:tc>
          <w:tcPr>
            <w:tcW w:w="2313" w:type="dxa"/>
            <w:gridSpan w:val="5"/>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年初绩效目标</w:t>
            </w:r>
          </w:p>
        </w:tc>
        <w:tc>
          <w:tcPr>
            <w:tcW w:w="2637" w:type="dxa"/>
            <w:gridSpan w:val="6"/>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全年（调整）绩效目标</w:t>
            </w:r>
          </w:p>
        </w:tc>
        <w:tc>
          <w:tcPr>
            <w:tcW w:w="3636" w:type="dxa"/>
            <w:gridSpan w:val="7"/>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2313"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1、保障干部职工的工资待遇按时足额发放；保障党委、人大、政府、群团及各事业站所的正常运转；保障村居人员工资待遇按时足额发放，以及村居办公及服务群众工作正常开展。</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2、加强社会管理，维护辖区安全稳定，为社会治安综合治理、安全生产监督管理、公共应急事件处置及灾害防治等方面提供资金保障。</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3、加大招商引资力度，促进辖区经济社会发展，加强村镇规划建设、镇容环境管理，维护良好人居环境。</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5"/>
                <w:szCs w:val="15"/>
              </w:rPr>
              <w:t>4、按时完成区委区府决策的重点事项。</w:t>
            </w:r>
          </w:p>
        </w:tc>
        <w:tc>
          <w:tcPr>
            <w:tcW w:w="2637" w:type="dxa"/>
            <w:gridSpan w:val="6"/>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3636"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1、保障干部职工的工资待遇按时足额发放；保障党委、人大、政府、群团及各事业站所的正常运转；保障村居人员工资待遇按时足额发放，以及村居办公及服务群众工作正常开展。</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2、加强社会管理，维护辖区安全稳定，为社会治安综合治理、安全生产监督管理、公共应急事件处置及灾害防治等方面提供资金保障。</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3、加大招商引资力度，促进辖区经济社会发展，加强村镇规划建设、镇容环境管理，维护良好人居环境。</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5"/>
                <w:szCs w:val="15"/>
              </w:rPr>
              <w:t>4、按时完成区委区府决策的重点事项。</w:t>
            </w:r>
          </w:p>
        </w:tc>
      </w:tr>
      <w:tr>
        <w:tblPrEx>
          <w:tblCellMar>
            <w:top w:w="0" w:type="dxa"/>
            <w:left w:w="108" w:type="dxa"/>
            <w:bottom w:w="0" w:type="dxa"/>
            <w:right w:w="108" w:type="dxa"/>
          </w:tblCellMar>
        </w:tblPrEx>
        <w:trPr>
          <w:trHeight w:val="879" w:hRule="atLeast"/>
        </w:trPr>
        <w:tc>
          <w:tcPr>
            <w:tcW w:w="95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绩效指标</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指标名称</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计量</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单位</w:t>
            </w:r>
          </w:p>
        </w:tc>
        <w:tc>
          <w:tcPr>
            <w:tcW w:w="61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性质</w:t>
            </w:r>
          </w:p>
        </w:tc>
        <w:tc>
          <w:tcPr>
            <w:tcW w:w="675"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指标值</w:t>
            </w:r>
          </w:p>
        </w:tc>
        <w:tc>
          <w:tcPr>
            <w:tcW w:w="69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全年</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完成值</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kern w:val="0"/>
                <w:sz w:val="15"/>
                <w:szCs w:val="15"/>
                <w:lang w:eastAsia="zh-CN" w:bidi="ar"/>
              </w:rPr>
              <w:t>偏离度（</w:t>
            </w:r>
            <w:r>
              <w:rPr>
                <w:rFonts w:hint="default" w:ascii="Times New Roman" w:hAnsi="Times New Roman" w:eastAsia="方正仿宋_GBK" w:cs="Times New Roman"/>
                <w:color w:val="000000"/>
                <w:kern w:val="0"/>
                <w:sz w:val="15"/>
                <w:szCs w:val="15"/>
                <w:lang w:val="en-US" w:eastAsia="zh-CN" w:bidi="ar"/>
              </w:rPr>
              <w:t>%</w:t>
            </w:r>
            <w:r>
              <w:rPr>
                <w:rFonts w:hint="default" w:ascii="Times New Roman" w:hAnsi="Times New Roman" w:eastAsia="方正仿宋_GBK" w:cs="Times New Roman"/>
                <w:color w:val="000000"/>
                <w:kern w:val="0"/>
                <w:sz w:val="15"/>
                <w:szCs w:val="15"/>
                <w:lang w:eastAsia="zh-CN" w:bidi="ar"/>
              </w:rPr>
              <w:t>）</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kern w:val="0"/>
                <w:sz w:val="15"/>
                <w:szCs w:val="15"/>
                <w:lang w:eastAsia="zh-CN" w:bidi="ar"/>
              </w:rPr>
              <w:t>等分系数（</w:t>
            </w:r>
            <w:r>
              <w:rPr>
                <w:rFonts w:hint="default" w:ascii="Times New Roman" w:hAnsi="Times New Roman" w:eastAsia="方正仿宋_GBK" w:cs="Times New Roman"/>
                <w:color w:val="000000"/>
                <w:kern w:val="0"/>
                <w:sz w:val="15"/>
                <w:szCs w:val="15"/>
                <w:lang w:val="en-US" w:eastAsia="zh-CN" w:bidi="ar"/>
              </w:rPr>
              <w:t>%</w:t>
            </w:r>
            <w:r>
              <w:rPr>
                <w:rFonts w:hint="default" w:ascii="Times New Roman" w:hAnsi="Times New Roman" w:eastAsia="方正仿宋_GBK" w:cs="Times New Roman"/>
                <w:color w:val="000000"/>
                <w:kern w:val="0"/>
                <w:sz w:val="15"/>
                <w:szCs w:val="15"/>
                <w:lang w:eastAsia="zh-CN" w:bidi="ar"/>
              </w:rPr>
              <w:t>）</w:t>
            </w:r>
          </w:p>
        </w:tc>
        <w:tc>
          <w:tcPr>
            <w:tcW w:w="109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指标权重</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（分）</w:t>
            </w:r>
          </w:p>
        </w:tc>
        <w:tc>
          <w:tcPr>
            <w:tcW w:w="114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指标得分</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（分）</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说明</w:t>
            </w: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信访办结次数</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次</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预算执行率</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89</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1.11</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88.9</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13.34</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基础设施等管护质量</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3"/>
                <w:szCs w:val="13"/>
                <w:lang w:eastAsia="zh-CN"/>
              </w:rPr>
              <w:t>定性</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3"/>
                <w:szCs w:val="13"/>
                <w:lang w:eastAsia="zh-CN"/>
              </w:rPr>
              <w:t>高中低</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3"/>
                <w:szCs w:val="13"/>
                <w:lang w:eastAsia="zh-CN"/>
              </w:rPr>
              <w:t>按区委区府决策重点事项按时完成率</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人居环境</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定性</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高中低</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社会安全稳定情况</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定性</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高中低</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辖区群众地政府工作满意度</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公务车辆年增色运行费用</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万元</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宋体"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机关食堂日均运行费用</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元</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宋体"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5"/>
                <w:szCs w:val="15"/>
                <w:lang w:val="en-US" w:eastAsia="zh-CN"/>
              </w:rPr>
              <w:t>3000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3000</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总体说明</w:t>
            </w:r>
          </w:p>
        </w:tc>
        <w:tc>
          <w:tcPr>
            <w:tcW w:w="8586"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bl>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项目支出绩效自评表（一级项目）</w:t>
      </w:r>
    </w:p>
    <w:tbl>
      <w:tblPr>
        <w:tblStyle w:val="3"/>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kern w:val="0"/>
                <w:sz w:val="36"/>
                <w:szCs w:val="36"/>
                <w:lang w:eastAsia="zh-CN" w:bidi="ar"/>
              </w:rPr>
              <w:t>甘宁镇</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w:t>
            </w:r>
            <w:r>
              <w:rPr>
                <w:rFonts w:hint="default" w:ascii="Times New Roman" w:hAnsi="Times New Roman" w:eastAsia="方正小标宋_GBK" w:cs="Times New Roman"/>
                <w:color w:val="000000"/>
                <w:kern w:val="0"/>
                <w:sz w:val="36"/>
                <w:szCs w:val="36"/>
                <w:lang w:eastAsia="zh-CN" w:bidi="ar"/>
              </w:rPr>
              <w:t>一般性</w:t>
            </w:r>
            <w:r>
              <w:rPr>
                <w:rFonts w:hint="default" w:ascii="Times New Roman" w:hAnsi="Times New Roman" w:eastAsia="方正小标宋_GBK" w:cs="Times New Roman"/>
                <w:color w:val="000000"/>
                <w:kern w:val="0"/>
                <w:sz w:val="36"/>
                <w:szCs w:val="36"/>
                <w:lang w:bidi="ar"/>
              </w:rPr>
              <w:t>项目支出绩效自评表</w:t>
            </w:r>
          </w:p>
        </w:tc>
      </w:tr>
      <w:tr>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2"/>
                <w:lang w:eastAsia="zh-CN"/>
              </w:rPr>
            </w:pPr>
            <w:r>
              <w:rPr>
                <w:rFonts w:hint="default" w:ascii="Times New Roman" w:hAnsi="Times New Roman" w:cs="Times New Roman"/>
                <w:color w:val="000000"/>
                <w:sz w:val="22"/>
                <w:lang w:eastAsia="zh-CN"/>
              </w:rPr>
              <w:t>政府专职消防队运行</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2"/>
                <w:lang w:val="en-US" w:eastAsia="zh-CN"/>
              </w:rPr>
            </w:pPr>
            <w:r>
              <w:rPr>
                <w:rFonts w:hint="default" w:ascii="Times New Roman" w:hAnsi="Times New Roman" w:cs="Times New Roman"/>
                <w:color w:val="000000"/>
                <w:sz w:val="22"/>
                <w:lang w:val="en-US" w:eastAsia="zh-CN"/>
              </w:rPr>
              <w:t>92.47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2"/>
                <w:lang w:val="en-US" w:eastAsia="zh-CN"/>
              </w:rPr>
            </w:pPr>
            <w:r>
              <w:rPr>
                <w:rFonts w:hint="default" w:ascii="Times New Roman" w:hAnsi="Times New Roman" w:cs="Times New Roman"/>
                <w:color w:val="000000"/>
                <w:sz w:val="22"/>
                <w:lang w:val="en-US" w:eastAsia="zh-CN"/>
              </w:rPr>
              <w:t>9.25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bl>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（二）部门绩效评价情况</w:t>
      </w:r>
    </w:p>
    <w:p>
      <w:pPr>
        <w:keepNext w:val="0"/>
        <w:keepLines w:val="0"/>
        <w:pageBreakBefore w:val="0"/>
        <w:kinsoku/>
        <w:wordWrap/>
        <w:overflowPunct/>
        <w:topLinePunct w:val="0"/>
        <w:autoSpaceDE/>
        <w:autoSpaceDN/>
        <w:bidi w:val="0"/>
        <w:adjustRightInd/>
        <w:snapToGrid/>
        <w:spacing w:afterAutospacing="0" w:line="56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我部门未组织开展绩效评价。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（三）财政绩效评价情况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区财政局未委托第三方对我部门开展绩效评价。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以下为常见专业名词解释目录，仅供参考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（三）经营收入：指事业单位在专业业务活动及其辅助活动之外开展非独立核算经营活动取得的现金流入。</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（六）年初结转和结余：指单位上年结转本年使用的基本支出结转、项目支出结转和结余、经营结余。</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（七）结余分配：指单位按照国家有关规定，缴纳所得税、提取专用基金、转入非财政拨款结余等当年结余的分配情况。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（八）年末结转和结余：指单位结转下年的基本支出结转、项目支出结转和结余、经营结余。</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lang w:val="en-US" w:eastAsia="zh-CN"/>
        </w:rPr>
        <w:t>873688580@qq.com</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eastAsia="方正仿宋_GBK" w:cs="Times New Roman"/>
          <w:sz w:val="32"/>
          <w:szCs w:val="32"/>
        </w:rPr>
      </w:pPr>
    </w:p>
    <w:sectPr>
      <w:pgSz w:w="11906" w:h="16838"/>
      <w:pgMar w:top="1440" w:right="1406"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42D4B"/>
    <w:rsid w:val="09DC6521"/>
    <w:rsid w:val="0AF42D4B"/>
    <w:rsid w:val="0E8D424A"/>
    <w:rsid w:val="3FD74BC5"/>
    <w:rsid w:val="5528030C"/>
    <w:rsid w:val="64F5EAF8"/>
    <w:rsid w:val="660449D0"/>
    <w:rsid w:val="7EF4C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甘宁镇</Company>
  <Pages>1</Pages>
  <Words>0</Words>
  <Characters>0</Characters>
  <Lines>0</Lines>
  <Paragraphs>0</Paragraphs>
  <TotalTime>46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2024-11-07T00:50:00Z</dcterms:created>
  <dc:creator>Administrator</dc:creator>
  <cp:lastModifiedBy>user</cp:lastModifiedBy>
  <dcterms:modified xsi:type="dcterms:W3CDTF">2025-05-09T09:06:33Z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