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重庆市万州区</w:t>
      </w:r>
      <w:r>
        <w:rPr>
          <w:rFonts w:hint="eastAsia" w:eastAsia="方正小标宋_GBK" w:cs="Times New Roman"/>
          <w:sz w:val="44"/>
          <w:szCs w:val="44"/>
          <w:lang w:val="en-US" w:eastAsia="zh-CN"/>
        </w:rPr>
        <w:t>甘宁镇人民政府</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eastAsia" w:eastAsia="方正小标宋_GBK" w:cs="Times New Roman"/>
          <w:sz w:val="44"/>
          <w:szCs w:val="44"/>
          <w:lang w:val="en-US" w:eastAsia="zh-CN"/>
        </w:rPr>
        <w:t>年</w:t>
      </w:r>
      <w:r>
        <w:rPr>
          <w:rFonts w:hint="default" w:ascii="Times New Roman" w:hAnsi="Times New Roman" w:eastAsia="方正小标宋_GBK" w:cs="Times New Roman"/>
          <w:sz w:val="44"/>
          <w:szCs w:val="44"/>
        </w:rPr>
        <w:t>部门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决算</w:t>
      </w:r>
      <w:r>
        <w:rPr>
          <w:rFonts w:hint="default" w:ascii="Times New Roman" w:hAnsi="Times New Roman" w:eastAsia="方正小标宋_GBK" w:cs="Times New Roman"/>
          <w:sz w:val="44"/>
          <w:szCs w:val="44"/>
          <w:lang w:val="en-US" w:eastAsia="zh-CN"/>
        </w:rPr>
        <w:t>情况说明</w:t>
      </w:r>
    </w:p>
    <w:p>
      <w:pPr>
        <w:bidi w:val="0"/>
        <w:rPr>
          <w:rFonts w:hint="default"/>
          <w:lang w:eastAsia="zh-CN"/>
        </w:rPr>
      </w:pPr>
      <w:bookmarkStart w:id="0" w:name="_GoBack"/>
      <w:bookmarkEnd w:id="0"/>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ind w:firstLine="640" w:firstLineChars="200"/>
        <w:rPr>
          <w:rFonts w:ascii="方正仿宋_GBK" w:eastAsia="方正仿宋_GBK"/>
          <w:sz w:val="32"/>
          <w:szCs w:val="32"/>
        </w:rPr>
      </w:pPr>
      <w:r>
        <w:rPr>
          <w:rFonts w:hint="eastAsia" w:ascii="方正仿宋_GBK" w:eastAsia="方正仿宋_GBK"/>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left="640" w:firstLine="0" w:firstLineChars="0"/>
        <w:jc w:val="both"/>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一</w:t>
      </w:r>
      <w:r>
        <w:rPr>
          <w:rFonts w:hint="eastAsia" w:ascii="方正楷体_GBK" w:hAnsi="方正楷体_GBK" w:eastAsia="方正楷体_GBK" w:cs="方正楷体_GBK"/>
          <w:sz w:val="32"/>
        </w:rPr>
        <w:t>）单位构成</w:t>
      </w:r>
    </w:p>
    <w:p>
      <w:pPr>
        <w:spacing w:line="600" w:lineRule="exact"/>
        <w:ind w:firstLine="640" w:firstLineChars="200"/>
        <w:rPr>
          <w:rFonts w:ascii="方正仿宋_GBK" w:eastAsia="方正仿宋_GBK"/>
          <w:sz w:val="32"/>
          <w:szCs w:val="32"/>
        </w:rPr>
      </w:pPr>
      <w:r>
        <w:rPr>
          <w:rFonts w:hint="eastAsia" w:ascii="Times New Roman" w:hAnsi="Times New Roman" w:eastAsia="方正仿宋_GBK" w:cs="方正仿宋_GBK"/>
          <w:sz w:val="32"/>
          <w:szCs w:val="32"/>
          <w:lang w:val="en-US" w:eastAsia="zh-CN"/>
        </w:rPr>
        <w:t>1.</w:t>
      </w:r>
      <w:r>
        <w:rPr>
          <w:rFonts w:hint="eastAsia" w:ascii="方正仿宋_GBK" w:eastAsia="方正仿宋_GBK"/>
          <w:sz w:val="32"/>
          <w:szCs w:val="32"/>
        </w:rPr>
        <w:t>遵循精简、统一、效能原则，设置综合办事机构</w:t>
      </w:r>
      <w:r>
        <w:rPr>
          <w:rFonts w:hint="eastAsia" w:eastAsia="方正仿宋_GBK"/>
          <w:sz w:val="32"/>
          <w:szCs w:val="32"/>
        </w:rPr>
        <w:t>9</w:t>
      </w:r>
      <w:r>
        <w:rPr>
          <w:rFonts w:hint="eastAsia" w:ascii="方正仿宋_GBK" w:eastAsia="方正仿宋_GBK"/>
          <w:sz w:val="32"/>
          <w:szCs w:val="32"/>
        </w:rPr>
        <w:t>个，机构规格为正科级。分别是：党政办公室、党群工作办公室、</w:t>
      </w:r>
      <w:r>
        <w:rPr>
          <w:rFonts w:hint="eastAsia" w:eastAsia="方正仿宋_GBK"/>
          <w:sz w:val="32"/>
          <w:szCs w:val="32"/>
        </w:rPr>
        <w:t>经济发展办公室（挂统计办公室、农村经营管理办公室牌子）、</w:t>
      </w:r>
      <w:r>
        <w:rPr>
          <w:rFonts w:hint="eastAsia" w:ascii="方正仿宋_GBK" w:eastAsia="方正仿宋_GBK"/>
          <w:sz w:val="32"/>
          <w:szCs w:val="32"/>
        </w:rPr>
        <w:t>民政和社会事务办公室（挂卫生健康办公室牌子）、平安建设办公室、</w:t>
      </w:r>
      <w:r>
        <w:rPr>
          <w:rFonts w:hint="eastAsia" w:eastAsia="方正仿宋_GBK"/>
          <w:sz w:val="32"/>
          <w:szCs w:val="32"/>
        </w:rPr>
        <w:t>规划建设管理环保办公室、财政办公室、应急管理办公室、</w:t>
      </w:r>
      <w:r>
        <w:rPr>
          <w:rFonts w:hint="eastAsia" w:ascii="方正仿宋_GBK" w:eastAsia="方正仿宋_GBK"/>
          <w:sz w:val="32"/>
          <w:szCs w:val="32"/>
        </w:rPr>
        <w:t>综合行政执法办公室。</w:t>
      </w:r>
    </w:p>
    <w:p>
      <w:pPr>
        <w:ind w:firstLine="640" w:firstLineChars="200"/>
        <w:rPr>
          <w:rFonts w:ascii="方正仿宋_GBK" w:eastAsia="方正仿宋_GBK"/>
          <w:sz w:val="32"/>
          <w:szCs w:val="32"/>
        </w:rPr>
      </w:pPr>
      <w:r>
        <w:rPr>
          <w:rFonts w:hint="eastAsia" w:ascii="方正仿宋_GBK" w:eastAsia="方正仿宋_GBK"/>
          <w:sz w:val="32"/>
          <w:szCs w:val="32"/>
        </w:rPr>
        <w:t>镇人大办公室、纪委、武装部按照有关规定设置，人大办公室配备</w:t>
      </w:r>
      <w:r>
        <w:rPr>
          <w:rFonts w:hint="eastAsia" w:eastAsia="方正仿宋_GBK"/>
          <w:sz w:val="32"/>
          <w:szCs w:val="32"/>
        </w:rPr>
        <w:t>1</w:t>
      </w:r>
      <w:r>
        <w:rPr>
          <w:rFonts w:hint="eastAsia" w:ascii="方正仿宋_GBK" w:eastAsia="方正仿宋_GBK"/>
          <w:sz w:val="32"/>
          <w:szCs w:val="32"/>
        </w:rPr>
        <w:t>名专职工作人员。工会、团委、妇联等群团按章程设置，具体工作由党群工作办公室明确</w:t>
      </w:r>
      <w:r>
        <w:rPr>
          <w:rFonts w:hint="eastAsia"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sz w:val="32"/>
          <w:szCs w:val="32"/>
        </w:rPr>
        <w:t>名群团工作综合岗位承担。</w:t>
      </w:r>
    </w:p>
    <w:p>
      <w:pPr>
        <w:ind w:firstLine="640" w:firstLineChars="200"/>
        <w:rPr>
          <w:rFonts w:ascii="方正仿宋_GBK" w:eastAsia="方正仿宋_GBK"/>
          <w:sz w:val="32"/>
          <w:szCs w:val="32"/>
        </w:rPr>
      </w:pPr>
      <w:r>
        <w:rPr>
          <w:rFonts w:hint="eastAsia" w:ascii="Times New Roman" w:hAnsi="Times New Roman" w:eastAsia="方正仿宋_GBK" w:cs="方正仿宋_GBK"/>
          <w:sz w:val="32"/>
          <w:szCs w:val="32"/>
          <w:lang w:val="en-US" w:eastAsia="zh-CN"/>
        </w:rPr>
        <w:t>2.</w:t>
      </w:r>
      <w:r>
        <w:rPr>
          <w:rFonts w:hint="eastAsia" w:ascii="方正仿宋_GBK" w:eastAsia="方正仿宋_GBK"/>
          <w:sz w:val="32"/>
          <w:szCs w:val="32"/>
        </w:rPr>
        <w:t>设置事业站所</w:t>
      </w:r>
      <w:r>
        <w:rPr>
          <w:rFonts w:hint="eastAsia" w:eastAsia="方正仿宋_GBK"/>
          <w:sz w:val="32"/>
          <w:szCs w:val="32"/>
        </w:rPr>
        <w:t>6</w:t>
      </w:r>
      <w:r>
        <w:rPr>
          <w:rFonts w:hint="eastAsia" w:ascii="方正仿宋_GBK" w:eastAsia="方正仿宋_GBK"/>
          <w:sz w:val="32"/>
          <w:szCs w:val="32"/>
        </w:rPr>
        <w:t>个，机构规格为正科级。分别是：农业服务中心、文化服务中心、劳动就业和社会保障服务所、村镇建设环保服务中心、退役军人服务站、综合行政执法大队。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年一般公共预算财政拨款收入</w:t>
      </w:r>
      <w:r>
        <w:rPr>
          <w:rFonts w:hint="eastAsia" w:cs="Times New Roman"/>
          <w:color w:val="000000" w:themeColor="text1"/>
          <w:sz w:val="32"/>
          <w:szCs w:val="32"/>
          <w:lang w:val="en-US" w:eastAsia="zh-CN"/>
          <w14:textFill>
            <w14:solidFill>
              <w14:schemeClr w14:val="tx1"/>
            </w14:solidFill>
          </w14:textFill>
        </w:rPr>
        <w:t>6518.30</w:t>
      </w:r>
      <w:r>
        <w:rPr>
          <w:rFonts w:hint="default" w:ascii="Times New Roman" w:hAnsi="Times New Roman" w:eastAsia="方正仿宋_GBK" w:cs="Times New Roman"/>
          <w:color w:val="000000" w:themeColor="text1"/>
          <w:sz w:val="32"/>
          <w:szCs w:val="32"/>
          <w14:textFill>
            <w14:solidFill>
              <w14:schemeClr w14:val="tx1"/>
            </w14:solidFill>
          </w14:textFill>
        </w:rPr>
        <w:t>万元，一般公共预算财政拨款支出</w:t>
      </w:r>
      <w:r>
        <w:rPr>
          <w:rFonts w:hint="eastAsia" w:cs="Times New Roman"/>
          <w:color w:val="000000" w:themeColor="text1"/>
          <w:sz w:val="32"/>
          <w:szCs w:val="32"/>
          <w:lang w:val="en-US" w:eastAsia="zh-CN"/>
          <w14:textFill>
            <w14:solidFill>
              <w14:schemeClr w14:val="tx1"/>
            </w14:solidFill>
          </w14:textFill>
        </w:rPr>
        <w:t>6518.30</w:t>
      </w:r>
      <w:r>
        <w:rPr>
          <w:rFonts w:hint="default" w:ascii="Times New Roman" w:hAnsi="Times New Roman" w:eastAsia="方正仿宋_GBK" w:cs="Times New Roman"/>
          <w:color w:val="000000" w:themeColor="text1"/>
          <w:sz w:val="32"/>
          <w:szCs w:val="32"/>
          <w14:textFill>
            <w14:solidFill>
              <w14:schemeClr w14:val="tx1"/>
            </w14:solidFill>
          </w14:textFill>
        </w:rPr>
        <w:t>万元，比20</w:t>
      </w:r>
      <w:r>
        <w:rPr>
          <w:rFonts w:hint="eastAsia"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eastAsia="zh-CN"/>
          <w14:textFill>
            <w14:solidFill>
              <w14:schemeClr w14:val="tx1"/>
            </w14:solidFill>
          </w14:textFill>
        </w:rPr>
        <w:t>减少</w:t>
      </w:r>
      <w:r>
        <w:rPr>
          <w:rFonts w:hint="eastAsia" w:cs="Times New Roman"/>
          <w:color w:val="000000" w:themeColor="text1"/>
          <w:sz w:val="32"/>
          <w:szCs w:val="32"/>
          <w:lang w:val="en-US" w:eastAsia="zh-CN"/>
          <w14:textFill>
            <w14:solidFill>
              <w14:schemeClr w14:val="tx1"/>
            </w14:solidFill>
          </w14:textFill>
        </w:rPr>
        <w:t>1752.24</w:t>
      </w:r>
      <w:r>
        <w:rPr>
          <w:rFonts w:hint="default" w:ascii="Times New Roman" w:hAnsi="Times New Roman" w:eastAsia="方正仿宋_GBK" w:cs="Times New Roman"/>
          <w:color w:val="000000" w:themeColor="text1"/>
          <w:sz w:val="32"/>
          <w:szCs w:val="32"/>
          <w14:textFill>
            <w14:solidFill>
              <w14:schemeClr w14:val="tx1"/>
            </w14:solidFill>
          </w14:textFill>
        </w:rPr>
        <w:t>万元。其中：基本支出</w:t>
      </w:r>
      <w:r>
        <w:rPr>
          <w:rFonts w:hint="eastAsia" w:cs="Times New Roman"/>
          <w:color w:val="000000" w:themeColor="text1"/>
          <w:sz w:val="32"/>
          <w:szCs w:val="32"/>
          <w:lang w:val="en-US" w:eastAsia="zh-CN"/>
          <w14:textFill>
            <w14:solidFill>
              <w14:schemeClr w14:val="tx1"/>
            </w14:solidFill>
          </w14:textFill>
        </w:rPr>
        <w:t>2512.09</w:t>
      </w:r>
      <w:r>
        <w:rPr>
          <w:rFonts w:hint="default" w:ascii="Times New Roman" w:hAnsi="Times New Roman" w:eastAsia="方正仿宋_GBK" w:cs="Times New Roman"/>
          <w:color w:val="000000" w:themeColor="text1"/>
          <w:sz w:val="32"/>
          <w:szCs w:val="32"/>
          <w14:textFill>
            <w14:solidFill>
              <w14:schemeClr w14:val="tx1"/>
            </w14:solidFill>
          </w14:textFill>
        </w:rPr>
        <w:t>万元，比</w:t>
      </w:r>
      <w:r>
        <w:rPr>
          <w:rFonts w:hint="eastAsia" w:cs="Times New Roman"/>
          <w:color w:val="000000" w:themeColor="text1"/>
          <w:sz w:val="32"/>
          <w:szCs w:val="32"/>
          <w:lang w:val="en-US" w:eastAsia="zh-CN"/>
          <w14:textFill>
            <w14:solidFill>
              <w14:schemeClr w14:val="tx1"/>
            </w14:solidFill>
          </w14:textFill>
        </w:rPr>
        <w:t>2019</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eastAsia="zh-CN"/>
          <w14:textFill>
            <w14:solidFill>
              <w14:schemeClr w14:val="tx1"/>
            </w14:solidFill>
          </w14:textFill>
        </w:rPr>
        <w:t>增加</w:t>
      </w:r>
      <w:r>
        <w:rPr>
          <w:rFonts w:hint="eastAsia" w:cs="Times New Roman"/>
          <w:color w:val="000000" w:themeColor="text1"/>
          <w:sz w:val="32"/>
          <w:szCs w:val="32"/>
          <w:lang w:val="en-US" w:eastAsia="zh-CN"/>
          <w14:textFill>
            <w14:solidFill>
              <w14:schemeClr w14:val="tx1"/>
            </w14:solidFill>
          </w14:textFill>
        </w:rPr>
        <w:t>132.96</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万元，主要原因是单位职工</w:t>
      </w:r>
      <w:r>
        <w:rPr>
          <w:rFonts w:hint="eastAsia" w:cs="Times New Roman"/>
          <w:color w:val="000000" w:themeColor="text1"/>
          <w:sz w:val="32"/>
          <w:szCs w:val="32"/>
          <w:lang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14:textFill>
            <w14:solidFill>
              <w14:schemeClr w14:val="tx1"/>
            </w14:solidFill>
          </w14:textFill>
        </w:rPr>
        <w:t>，基本支出主要用于保障机关事业单位在职人员工资福利及社会保险缴费，离休人员离休费，退休人员补助等，保障机关事业单位正常运</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转的各项商品服务支出；项目支出</w:t>
      </w:r>
      <w:r>
        <w:rPr>
          <w:rFonts w:hint="eastAsia" w:cs="Times New Roman"/>
          <w:color w:val="000000" w:themeColor="text1"/>
          <w:sz w:val="32"/>
          <w:szCs w:val="32"/>
          <w:highlight w:val="none"/>
          <w:lang w:val="en-US" w:eastAsia="zh-CN"/>
          <w14:textFill>
            <w14:solidFill>
              <w14:schemeClr w14:val="tx1"/>
            </w14:solidFill>
          </w14:textFill>
        </w:rPr>
        <w:t>4006.21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万元，比20</w:t>
      </w:r>
      <w:r>
        <w:rPr>
          <w:rFonts w:hint="eastAsia"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cs="Times New Roman"/>
          <w:color w:val="000000" w:themeColor="text1"/>
          <w:sz w:val="32"/>
          <w:szCs w:val="32"/>
          <w:highlight w:val="none"/>
          <w:lang w:eastAsia="zh-CN"/>
          <w14:textFill>
            <w14:solidFill>
              <w14:schemeClr w14:val="tx1"/>
            </w14:solidFill>
          </w14:textFill>
        </w:rPr>
        <w:t>减少</w:t>
      </w:r>
      <w:r>
        <w:rPr>
          <w:rFonts w:hint="eastAsia" w:cs="Times New Roman"/>
          <w:color w:val="000000" w:themeColor="text1"/>
          <w:sz w:val="32"/>
          <w:szCs w:val="32"/>
          <w:highlight w:val="none"/>
          <w:lang w:val="en-US" w:eastAsia="zh-CN"/>
          <w14:textFill>
            <w14:solidFill>
              <w14:schemeClr w14:val="tx1"/>
            </w14:solidFill>
          </w14:textFill>
        </w:rPr>
        <w:t>1885.2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万元，主要原因是小城镇基础设施建设支出</w:t>
      </w:r>
      <w:r>
        <w:rPr>
          <w:rFonts w:hint="eastAsia" w:cs="Times New Roman"/>
          <w:color w:val="000000" w:themeColor="text1"/>
          <w:sz w:val="32"/>
          <w:szCs w:val="32"/>
          <w:highlight w:val="none"/>
          <w:lang w:eastAsia="zh-CN"/>
          <w14:textFill>
            <w14:solidFill>
              <w14:schemeClr w14:val="tx1"/>
            </w14:solidFill>
          </w14:textFill>
        </w:rPr>
        <w:t>和其他城乡社区公共设施支出减少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年政府性基金</w:t>
      </w:r>
      <w:r>
        <w:rPr>
          <w:rFonts w:hint="eastAsia" w:cs="Times New Roman"/>
          <w:color w:val="000000" w:themeColor="text1"/>
          <w:sz w:val="32"/>
          <w:szCs w:val="32"/>
          <w:lang w:eastAsia="zh-CN"/>
          <w14:textFill>
            <w14:solidFill>
              <w14:schemeClr w14:val="tx1"/>
            </w14:solidFill>
          </w14:textFill>
        </w:rPr>
        <w:t>决算</w:t>
      </w:r>
      <w:r>
        <w:rPr>
          <w:rFonts w:hint="default" w:ascii="Times New Roman" w:hAnsi="Times New Roman" w:eastAsia="方正仿宋_GBK" w:cs="Times New Roman"/>
          <w:color w:val="000000" w:themeColor="text1"/>
          <w:sz w:val="32"/>
          <w:szCs w:val="32"/>
          <w14:textFill>
            <w14:solidFill>
              <w14:schemeClr w14:val="tx1"/>
            </w14:solidFill>
          </w14:textFill>
        </w:rPr>
        <w:t>收入</w:t>
      </w:r>
      <w:r>
        <w:rPr>
          <w:rFonts w:hint="eastAsia" w:cs="Times New Roman"/>
          <w:color w:val="000000" w:themeColor="text1"/>
          <w:sz w:val="32"/>
          <w:szCs w:val="32"/>
          <w:lang w:val="en-US" w:eastAsia="zh-CN"/>
          <w14:textFill>
            <w14:solidFill>
              <w14:schemeClr w14:val="tx1"/>
            </w14:solidFill>
          </w14:textFill>
        </w:rPr>
        <w:t>3291.61</w:t>
      </w:r>
      <w:r>
        <w:rPr>
          <w:rFonts w:hint="default" w:ascii="Times New Roman" w:hAnsi="Times New Roman" w:eastAsia="方正仿宋_GBK" w:cs="Times New Roman"/>
          <w:color w:val="000000" w:themeColor="text1"/>
          <w:sz w:val="32"/>
          <w:szCs w:val="32"/>
          <w14:textFill>
            <w14:solidFill>
              <w14:schemeClr w14:val="tx1"/>
            </w14:solidFill>
          </w14:textFill>
        </w:rPr>
        <w:t>万元，政府性基金预算支出</w:t>
      </w:r>
      <w:r>
        <w:rPr>
          <w:rFonts w:hint="eastAsia" w:cs="Times New Roman"/>
          <w:color w:val="000000" w:themeColor="text1"/>
          <w:sz w:val="32"/>
          <w:szCs w:val="32"/>
          <w:lang w:val="en-US" w:eastAsia="zh-CN"/>
          <w14:textFill>
            <w14:solidFill>
              <w14:schemeClr w14:val="tx1"/>
            </w14:solidFill>
          </w14:textFill>
        </w:rPr>
        <w:t>3291.61</w:t>
      </w:r>
      <w:r>
        <w:rPr>
          <w:rFonts w:hint="default" w:ascii="Times New Roman" w:hAnsi="Times New Roman" w:eastAsia="方正仿宋_GBK" w:cs="Times New Roman"/>
          <w:color w:val="000000" w:themeColor="text1"/>
          <w:sz w:val="32"/>
          <w:szCs w:val="32"/>
          <w14:textFill>
            <w14:solidFill>
              <w14:schemeClr w14:val="tx1"/>
            </w14:solidFill>
          </w14:textFill>
        </w:rPr>
        <w:t>万元，比20</w:t>
      </w:r>
      <w:r>
        <w:rPr>
          <w:rFonts w:hint="eastAsia"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年增加</w:t>
      </w:r>
      <w:r>
        <w:rPr>
          <w:rFonts w:hint="eastAsia" w:cs="Times New Roman"/>
          <w:color w:val="000000" w:themeColor="text1"/>
          <w:sz w:val="32"/>
          <w:szCs w:val="32"/>
          <w:lang w:val="en-US" w:eastAsia="zh-CN"/>
          <w14:textFill>
            <w14:solidFill>
              <w14:schemeClr w14:val="tx1"/>
            </w14:solidFill>
          </w14:textFill>
        </w:rPr>
        <w:t>1750.93</w:t>
      </w:r>
      <w:r>
        <w:rPr>
          <w:rFonts w:hint="default" w:ascii="Times New Roman" w:hAnsi="Times New Roman" w:eastAsia="方正仿宋_GBK" w:cs="Times New Roman"/>
          <w:color w:val="000000" w:themeColor="text1"/>
          <w:sz w:val="32"/>
          <w:szCs w:val="32"/>
          <w14:textFill>
            <w14:solidFill>
              <w14:schemeClr w14:val="tx1"/>
            </w14:solidFill>
          </w14:textFill>
        </w:rPr>
        <w:t>万元，主要原因是基础设施建设和经济发展</w:t>
      </w:r>
      <w:r>
        <w:rPr>
          <w:rFonts w:hint="eastAsia" w:cs="Times New Roman"/>
          <w:color w:val="000000" w:themeColor="text1"/>
          <w:sz w:val="32"/>
          <w:szCs w:val="32"/>
          <w:lang w:eastAsia="zh-CN"/>
          <w14:textFill>
            <w14:solidFill>
              <w14:schemeClr w14:val="tx1"/>
            </w14:solidFill>
          </w14:textFill>
        </w:rPr>
        <w:t>、城市基础设施配套费安排的支出、农林水支出</w:t>
      </w:r>
      <w:r>
        <w:rPr>
          <w:rFonts w:hint="default" w:ascii="Times New Roman" w:hAnsi="Times New Roman" w:eastAsia="方正仿宋_GBK" w:cs="Times New Roman"/>
          <w:color w:val="000000" w:themeColor="text1"/>
          <w:sz w:val="32"/>
          <w:szCs w:val="32"/>
          <w14:textFill>
            <w14:solidFill>
              <w14:schemeClr w14:val="tx1"/>
            </w14:solidFill>
          </w14:textFill>
        </w:rPr>
        <w:t>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kern w:val="2"/>
          <w:sz w:val="32"/>
          <w:szCs w:val="22"/>
          <w:lang w:val="en-US" w:eastAsia="zh-CN" w:bidi="ar-SA"/>
        </w:rPr>
        <w:t>（一）“三公”经费支出情况。</w:t>
      </w:r>
      <w:r>
        <w:rPr>
          <w:rFonts w:hint="eastAsia" w:ascii="Times New Roman" w:hAnsi="Times New Roman" w:eastAsia="方正仿宋_GBK" w:cs="仿宋_GB2312"/>
          <w:color w:val="000000" w:themeColor="text1"/>
          <w:kern w:val="0"/>
          <w:sz w:val="32"/>
          <w:szCs w:val="20"/>
          <w14:textFill>
            <w14:solidFill>
              <w14:schemeClr w14:val="tx1"/>
            </w14:solidFill>
          </w14:textFill>
        </w:rPr>
        <w:t>202</w:t>
      </w:r>
      <w:r>
        <w:rPr>
          <w:rFonts w:hint="eastAsia" w:ascii="Times New Roman" w:hAnsi="Times New Roman" w:cs="仿宋_GB2312"/>
          <w:color w:val="000000" w:themeColor="text1"/>
          <w:kern w:val="0"/>
          <w:sz w:val="32"/>
          <w:szCs w:val="20"/>
          <w:lang w:val="en-US" w:eastAsia="zh-CN"/>
          <w14:textFill>
            <w14:solidFill>
              <w14:schemeClr w14:val="tx1"/>
            </w14:solidFill>
          </w14:textFill>
        </w:rPr>
        <w:t>0</w:t>
      </w:r>
      <w:r>
        <w:rPr>
          <w:rFonts w:hint="eastAsia" w:ascii="Times New Roman" w:hAnsi="Times New Roman" w:eastAsia="方正仿宋_GBK" w:cs="仿宋_GB2312"/>
          <w:color w:val="000000" w:themeColor="text1"/>
          <w:kern w:val="0"/>
          <w:sz w:val="32"/>
          <w:szCs w:val="20"/>
          <w14:textFill>
            <w14:solidFill>
              <w14:schemeClr w14:val="tx1"/>
            </w14:solidFill>
          </w14:textFill>
        </w:rPr>
        <w:t>年“三公”经费预算</w:t>
      </w:r>
      <w:r>
        <w:rPr>
          <w:rFonts w:hint="eastAsia" w:ascii="Times New Roman" w:hAnsi="Times New Roman" w:cs="仿宋_GB2312"/>
          <w:color w:val="000000" w:themeColor="text1"/>
          <w:kern w:val="0"/>
          <w:sz w:val="32"/>
          <w:szCs w:val="20"/>
          <w:lang w:val="en-US" w:eastAsia="zh-CN"/>
          <w14:textFill>
            <w14:solidFill>
              <w14:schemeClr w14:val="tx1"/>
            </w14:solidFill>
          </w14:textFill>
        </w:rPr>
        <w:t>20.85</w:t>
      </w:r>
      <w:r>
        <w:rPr>
          <w:rFonts w:hint="eastAsia" w:ascii="Times New Roman" w:hAnsi="Times New Roman" w:eastAsia="方正仿宋_GBK" w:cs="仿宋_GB2312"/>
          <w:color w:val="000000" w:themeColor="text1"/>
          <w:kern w:val="0"/>
          <w:sz w:val="32"/>
          <w:szCs w:val="20"/>
          <w14:textFill>
            <w14:solidFill>
              <w14:schemeClr w14:val="tx1"/>
            </w14:solidFill>
          </w14:textFill>
        </w:rPr>
        <w:t>万元，</w:t>
      </w:r>
      <w:r>
        <w:rPr>
          <w:rFonts w:hint="eastAsia" w:ascii="Times New Roman" w:hAnsi="Times New Roman" w:cs="仿宋_GB2312"/>
          <w:color w:val="000000" w:themeColor="text1"/>
          <w:kern w:val="0"/>
          <w:sz w:val="32"/>
          <w:szCs w:val="20"/>
          <w:lang w:eastAsia="zh-CN"/>
          <w14:textFill>
            <w14:solidFill>
              <w14:schemeClr w14:val="tx1"/>
            </w14:solidFill>
          </w14:textFill>
        </w:rPr>
        <w:t>实际“三公”经费支出总额</w:t>
      </w:r>
      <w:r>
        <w:rPr>
          <w:rFonts w:hint="eastAsia" w:ascii="Times New Roman" w:hAnsi="Times New Roman" w:cs="仿宋_GB2312"/>
          <w:color w:val="000000" w:themeColor="text1"/>
          <w:kern w:val="0"/>
          <w:sz w:val="32"/>
          <w:szCs w:val="20"/>
          <w:lang w:val="en-US" w:eastAsia="zh-CN"/>
          <w14:textFill>
            <w14:solidFill>
              <w14:schemeClr w14:val="tx1"/>
            </w14:solidFill>
          </w14:textFill>
        </w:rPr>
        <w:t>17.03万元，比去年决算少0.17万元</w:t>
      </w:r>
      <w:r>
        <w:rPr>
          <w:rFonts w:hint="eastAsia" w:ascii="Times New Roman" w:hAnsi="Times New Roman" w:eastAsia="方正仿宋_GBK" w:cs="仿宋_GB2312"/>
          <w:color w:val="000000" w:themeColor="text1"/>
          <w:kern w:val="0"/>
          <w:sz w:val="32"/>
          <w:szCs w:val="20"/>
          <w14:textFill>
            <w14:solidFill>
              <w14:schemeClr w14:val="tx1"/>
            </w14:solidFill>
          </w14:textFill>
        </w:rPr>
        <w:t>。其中：公务接待费</w:t>
      </w:r>
      <w:r>
        <w:rPr>
          <w:rFonts w:hint="eastAsia" w:ascii="Times New Roman" w:hAnsi="Times New Roman" w:cs="仿宋_GB2312"/>
          <w:color w:val="000000" w:themeColor="text1"/>
          <w:kern w:val="0"/>
          <w:sz w:val="32"/>
          <w:szCs w:val="20"/>
          <w:lang w:val="en-US" w:eastAsia="zh-CN"/>
          <w14:textFill>
            <w14:solidFill>
              <w14:schemeClr w14:val="tx1"/>
            </w14:solidFill>
          </w14:textFill>
        </w:rPr>
        <w:t>12.94</w:t>
      </w:r>
      <w:r>
        <w:rPr>
          <w:rFonts w:hint="eastAsia" w:ascii="Times New Roman" w:hAnsi="Times New Roman" w:eastAsia="方正仿宋_GBK" w:cs="仿宋_GB2312"/>
          <w:color w:val="000000" w:themeColor="text1"/>
          <w:kern w:val="0"/>
          <w:sz w:val="32"/>
          <w:szCs w:val="20"/>
          <w14:textFill>
            <w14:solidFill>
              <w14:schemeClr w14:val="tx1"/>
            </w14:solidFill>
          </w14:textFill>
        </w:rPr>
        <w:t>万元，比</w:t>
      </w:r>
      <w:r>
        <w:rPr>
          <w:rFonts w:hint="eastAsia" w:ascii="Times New Roman" w:hAnsi="Times New Roman" w:cs="仿宋_GB2312"/>
          <w:color w:val="000000" w:themeColor="text1"/>
          <w:kern w:val="0"/>
          <w:sz w:val="32"/>
          <w:szCs w:val="20"/>
          <w:lang w:eastAsia="zh-CN"/>
          <w14:textFill>
            <w14:solidFill>
              <w14:schemeClr w14:val="tx1"/>
            </w14:solidFill>
          </w14:textFill>
        </w:rPr>
        <w:t>去年决算</w:t>
      </w:r>
      <w:r>
        <w:rPr>
          <w:rFonts w:hint="eastAsia" w:ascii="Times New Roman" w:hAnsi="Times New Roman" w:eastAsia="方正仿宋_GBK" w:cs="仿宋_GB2312"/>
          <w:color w:val="000000" w:themeColor="text1"/>
          <w:kern w:val="0"/>
          <w:sz w:val="32"/>
          <w:szCs w:val="20"/>
          <w14:textFill>
            <w14:solidFill>
              <w14:schemeClr w14:val="tx1"/>
            </w14:solidFill>
          </w14:textFill>
        </w:rPr>
        <w:t>减少</w:t>
      </w:r>
      <w:r>
        <w:rPr>
          <w:rFonts w:hint="eastAsia" w:ascii="Times New Roman" w:hAnsi="Times New Roman" w:cs="仿宋_GB2312"/>
          <w:color w:val="000000" w:themeColor="text1"/>
          <w:kern w:val="0"/>
          <w:sz w:val="32"/>
          <w:szCs w:val="20"/>
          <w:lang w:val="en-US" w:eastAsia="zh-CN"/>
          <w14:textFill>
            <w14:solidFill>
              <w14:schemeClr w14:val="tx1"/>
            </w14:solidFill>
          </w14:textFill>
        </w:rPr>
        <w:t>0.0</w:t>
      </w:r>
      <w:r>
        <w:rPr>
          <w:rFonts w:hint="eastAsia" w:ascii="Times New Roman" w:hAnsi="Times New Roman" w:eastAsia="方正仿宋_GBK" w:cs="仿宋_GB2312"/>
          <w:color w:val="000000" w:themeColor="text1"/>
          <w:kern w:val="0"/>
          <w:sz w:val="32"/>
          <w:szCs w:val="20"/>
          <w:lang w:val="en-US" w:eastAsia="zh-CN"/>
          <w14:textFill>
            <w14:solidFill>
              <w14:schemeClr w14:val="tx1"/>
            </w14:solidFill>
          </w14:textFill>
        </w:rPr>
        <w:t>6</w:t>
      </w:r>
      <w:r>
        <w:rPr>
          <w:rFonts w:hint="eastAsia" w:ascii="Times New Roman" w:hAnsi="Times New Roman" w:eastAsia="方正仿宋_GBK" w:cs="仿宋_GB2312"/>
          <w:color w:val="000000" w:themeColor="text1"/>
          <w:kern w:val="0"/>
          <w:sz w:val="32"/>
          <w:szCs w:val="20"/>
          <w14:textFill>
            <w14:solidFill>
              <w14:schemeClr w14:val="tx1"/>
            </w14:solidFill>
          </w14:textFill>
        </w:rPr>
        <w:t>万元；公务用车运行维护费</w:t>
      </w:r>
      <w:r>
        <w:rPr>
          <w:rFonts w:hint="eastAsia" w:ascii="Times New Roman" w:hAnsi="Times New Roman" w:cs="仿宋_GB2312"/>
          <w:color w:val="000000" w:themeColor="text1"/>
          <w:kern w:val="0"/>
          <w:sz w:val="32"/>
          <w:szCs w:val="20"/>
          <w:lang w:val="en-US" w:eastAsia="zh-CN"/>
          <w14:textFill>
            <w14:solidFill>
              <w14:schemeClr w14:val="tx1"/>
            </w14:solidFill>
          </w14:textFill>
        </w:rPr>
        <w:t>4.09</w:t>
      </w:r>
      <w:r>
        <w:rPr>
          <w:rFonts w:hint="eastAsia" w:ascii="Times New Roman" w:hAnsi="Times New Roman" w:eastAsia="方正仿宋_GBK" w:cs="仿宋_GB2312"/>
          <w:color w:val="000000" w:themeColor="text1"/>
          <w:kern w:val="0"/>
          <w:sz w:val="32"/>
          <w:szCs w:val="20"/>
          <w14:textFill>
            <w14:solidFill>
              <w14:schemeClr w14:val="tx1"/>
            </w14:solidFill>
          </w14:textFill>
        </w:rPr>
        <w:t>万元，比</w:t>
      </w:r>
      <w:r>
        <w:rPr>
          <w:rFonts w:hint="eastAsia" w:ascii="Times New Roman" w:hAnsi="Times New Roman" w:cs="仿宋_GB2312"/>
          <w:color w:val="000000" w:themeColor="text1"/>
          <w:kern w:val="0"/>
          <w:sz w:val="32"/>
          <w:szCs w:val="20"/>
          <w:lang w:eastAsia="zh-CN"/>
          <w14:textFill>
            <w14:solidFill>
              <w14:schemeClr w14:val="tx1"/>
            </w14:solidFill>
          </w14:textFill>
        </w:rPr>
        <w:t>去年决算</w:t>
      </w:r>
      <w:r>
        <w:rPr>
          <w:rFonts w:hint="eastAsia" w:ascii="Times New Roman" w:hAnsi="Times New Roman" w:eastAsia="方正仿宋_GBK" w:cs="仿宋_GB2312"/>
          <w:color w:val="000000" w:themeColor="text1"/>
          <w:kern w:val="0"/>
          <w:sz w:val="32"/>
          <w:szCs w:val="20"/>
          <w14:textFill>
            <w14:solidFill>
              <w14:schemeClr w14:val="tx1"/>
            </w14:solidFill>
          </w14:textFill>
        </w:rPr>
        <w:t>减少</w:t>
      </w:r>
      <w:r>
        <w:rPr>
          <w:rFonts w:hint="eastAsia" w:ascii="Times New Roman" w:hAnsi="Times New Roman" w:cs="仿宋_GB2312"/>
          <w:color w:val="000000" w:themeColor="text1"/>
          <w:kern w:val="0"/>
          <w:sz w:val="32"/>
          <w:szCs w:val="20"/>
          <w:lang w:val="en-US" w:eastAsia="zh-CN"/>
          <w14:textFill>
            <w14:solidFill>
              <w14:schemeClr w14:val="tx1"/>
            </w14:solidFill>
          </w14:textFill>
        </w:rPr>
        <w:t>0.11</w:t>
      </w:r>
      <w:r>
        <w:rPr>
          <w:rFonts w:hint="eastAsia" w:ascii="Times New Roman" w:hAnsi="Times New Roman" w:eastAsia="方正仿宋_GBK" w:cs="仿宋_GB2312"/>
          <w:color w:val="000000" w:themeColor="text1"/>
          <w:kern w:val="0"/>
          <w:sz w:val="32"/>
          <w:szCs w:val="20"/>
          <w14:textFill>
            <w14:solidFill>
              <w14:schemeClr w14:val="tx1"/>
            </w14:solidFill>
          </w14:textFill>
        </w:rPr>
        <w:t>万元</w:t>
      </w:r>
      <w:r>
        <w:rPr>
          <w:rFonts w:hint="eastAsia" w:ascii="Times New Roman" w:hAnsi="Times New Roman" w:eastAsia="方正仿宋_GBK" w:cs="仿宋_GB2312"/>
          <w:color w:val="000000" w:themeColor="text1"/>
          <w:kern w:val="0"/>
          <w:sz w:val="32"/>
          <w:szCs w:val="20"/>
          <w:lang w:eastAsia="zh-CN"/>
          <w14:textFill>
            <w14:solidFill>
              <w14:schemeClr w14:val="tx1"/>
            </w14:solidFill>
          </w14:textFill>
        </w:rPr>
        <w:t>。“三公”经费减少的</w:t>
      </w:r>
      <w:r>
        <w:rPr>
          <w:rFonts w:hint="eastAsia" w:ascii="Times New Roman" w:hAnsi="Times New Roman" w:eastAsia="方正仿宋_GBK" w:cs="仿宋_GB2312"/>
          <w:color w:val="000000" w:themeColor="text1"/>
          <w:kern w:val="0"/>
          <w:sz w:val="32"/>
          <w:szCs w:val="20"/>
          <w14:textFill>
            <w14:solidFill>
              <w14:schemeClr w14:val="tx1"/>
            </w14:solidFill>
          </w14:textFill>
        </w:rPr>
        <w:t>主要原因是贯彻</w:t>
      </w:r>
      <w:r>
        <w:rPr>
          <w:rFonts w:hint="eastAsia" w:ascii="Times New Roman" w:hAnsi="Times New Roman" w:eastAsia="方正仿宋_GBK" w:cs="仿宋_GB2312"/>
          <w:color w:val="000000" w:themeColor="text1"/>
          <w:kern w:val="0"/>
          <w:sz w:val="32"/>
          <w:szCs w:val="20"/>
          <w:lang w:eastAsia="zh-CN"/>
          <w14:textFill>
            <w14:solidFill>
              <w14:schemeClr w14:val="tx1"/>
            </w14:solidFill>
          </w14:textFill>
        </w:rPr>
        <w:t>落实</w:t>
      </w:r>
      <w:r>
        <w:rPr>
          <w:rFonts w:hint="eastAsia" w:ascii="Times New Roman" w:hAnsi="Times New Roman" w:eastAsia="方正仿宋_GBK" w:cs="仿宋_GB2312"/>
          <w:color w:val="000000" w:themeColor="text1"/>
          <w:kern w:val="0"/>
          <w:sz w:val="32"/>
          <w:szCs w:val="20"/>
          <w14:textFill>
            <w14:solidFill>
              <w14:schemeClr w14:val="tx1"/>
            </w14:solidFill>
          </w14:textFill>
        </w:rPr>
        <w:t>中央八项规定精神</w:t>
      </w:r>
      <w:r>
        <w:rPr>
          <w:rFonts w:hint="eastAsia" w:ascii="Times New Roman" w:hAnsi="Times New Roman" w:eastAsia="方正仿宋_GBK" w:cs="仿宋_GB2312"/>
          <w:color w:val="000000" w:themeColor="text1"/>
          <w:kern w:val="0"/>
          <w:sz w:val="32"/>
          <w:szCs w:val="20"/>
          <w:lang w:eastAsia="zh-CN"/>
          <w14:textFill>
            <w14:solidFill>
              <w14:schemeClr w14:val="tx1"/>
            </w14:solidFill>
          </w14:textFill>
        </w:rPr>
        <w:t>、</w:t>
      </w:r>
      <w:r>
        <w:rPr>
          <w:rFonts w:hint="eastAsia" w:ascii="Times New Roman" w:hAnsi="Times New Roman" w:eastAsia="方正仿宋_GBK" w:cs="仿宋_GB2312"/>
          <w:color w:val="000000" w:themeColor="text1"/>
          <w:kern w:val="0"/>
          <w:sz w:val="32"/>
          <w:szCs w:val="20"/>
          <w14:textFill>
            <w14:solidFill>
              <w14:schemeClr w14:val="tx1"/>
            </w14:solidFill>
          </w14:textFill>
        </w:rPr>
        <w:t>厉行节约</w:t>
      </w:r>
      <w:r>
        <w:rPr>
          <w:rFonts w:hint="eastAsia" w:ascii="Times New Roman" w:hAnsi="Times New Roman" w:eastAsia="方正仿宋_GBK" w:cs="仿宋_GB2312"/>
          <w:color w:val="000000" w:themeColor="text1"/>
          <w:kern w:val="0"/>
          <w:sz w:val="32"/>
          <w:szCs w:val="20"/>
          <w:lang w:eastAsia="zh-CN"/>
          <w14:textFill>
            <w14:solidFill>
              <w14:schemeClr w14:val="tx1"/>
            </w14:solidFill>
          </w14:textFill>
        </w:rPr>
        <w:t>，</w:t>
      </w:r>
      <w:r>
        <w:rPr>
          <w:rFonts w:hint="eastAsia" w:ascii="Times New Roman" w:hAnsi="Times New Roman" w:eastAsia="方正仿宋_GBK" w:cs="仿宋_GB2312"/>
          <w:color w:val="000000" w:themeColor="text1"/>
          <w:kern w:val="0"/>
          <w:sz w:val="32"/>
          <w:szCs w:val="20"/>
          <w14:textFill>
            <w14:solidFill>
              <w14:schemeClr w14:val="tx1"/>
            </w14:solidFill>
          </w14:textFill>
        </w:rPr>
        <w:t>严格控制“三公”经费支出</w:t>
      </w:r>
      <w:r>
        <w:rPr>
          <w:rFonts w:hint="eastAsia" w:ascii="Times New Roman" w:hAnsi="Times New Roman" w:eastAsia="方正仿宋_GBK" w:cs="仿宋_GB2312"/>
          <w:color w:val="000000" w:themeColor="text1"/>
          <w:kern w:val="0"/>
          <w:sz w:val="32"/>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333333"/>
          <w:sz w:val="32"/>
          <w:szCs w:val="32"/>
          <w:lang w:val="en-US" w:eastAsia="zh-CN"/>
        </w:rPr>
      </w:pPr>
      <w:r>
        <w:rPr>
          <w:rFonts w:hint="default" w:ascii="方正楷体_GBK" w:hAnsi="方正楷体_GBK" w:eastAsia="方正楷体_GBK" w:cs="方正楷体_GBK"/>
          <w:kern w:val="2"/>
          <w:sz w:val="32"/>
          <w:szCs w:val="22"/>
          <w:lang w:val="en-US" w:eastAsia="zh-CN" w:bidi="ar-SA"/>
        </w:rPr>
        <w:t>（二）“三公”经费实物量情况。</w:t>
      </w:r>
      <w:r>
        <w:rPr>
          <w:rFonts w:hint="default" w:ascii="Times New Roman" w:hAnsi="Times New Roman" w:eastAsia="方正仿宋_GBK" w:cs="Times New Roman"/>
          <w:color w:val="333333"/>
          <w:sz w:val="32"/>
          <w:szCs w:val="32"/>
        </w:rPr>
        <w:t>因公出国（境）团组数</w:t>
      </w:r>
      <w:r>
        <w:rPr>
          <w:rFonts w:hint="eastAsia" w:ascii="Times New Roman" w:hAnsi="Times New Roman" w:cs="Times New Roman"/>
          <w:color w:val="333333"/>
          <w:sz w:val="32"/>
          <w:szCs w:val="32"/>
          <w:lang w:eastAsia="zh-CN"/>
        </w:rPr>
        <w:t>为</w:t>
      </w:r>
      <w:r>
        <w:rPr>
          <w:rFonts w:hint="eastAsia" w:ascii="Times New Roman" w:hAnsi="Times New Roman" w:cs="Times New Roman"/>
          <w:color w:val="333333"/>
          <w:sz w:val="32"/>
          <w:szCs w:val="32"/>
          <w:lang w:val="en-US" w:eastAsia="zh-CN"/>
        </w:rPr>
        <w:t>0，</w:t>
      </w:r>
      <w:r>
        <w:rPr>
          <w:rFonts w:hint="default" w:ascii="Times New Roman" w:hAnsi="Times New Roman" w:eastAsia="方正仿宋_GBK" w:cs="Times New Roman"/>
          <w:color w:val="333333"/>
          <w:sz w:val="32"/>
          <w:szCs w:val="32"/>
        </w:rPr>
        <w:t>公务用车购置数</w:t>
      </w:r>
      <w:r>
        <w:rPr>
          <w:rFonts w:hint="eastAsia" w:ascii="Times New Roman" w:hAnsi="Times New Roman" w:cs="Times New Roman"/>
          <w:color w:val="333333"/>
          <w:sz w:val="32"/>
          <w:szCs w:val="32"/>
          <w:lang w:val="en-US" w:eastAsia="zh-CN"/>
        </w:rPr>
        <w:t>3辆，</w:t>
      </w:r>
      <w:r>
        <w:rPr>
          <w:rFonts w:hint="default" w:ascii="Times New Roman" w:hAnsi="Times New Roman" w:eastAsia="方正仿宋_GBK" w:cs="Times New Roman"/>
          <w:color w:val="333333"/>
          <w:sz w:val="32"/>
          <w:szCs w:val="32"/>
        </w:rPr>
        <w:t>国内公务接待</w:t>
      </w:r>
      <w:r>
        <w:rPr>
          <w:rFonts w:hint="eastAsia" w:ascii="Times New Roman" w:hAnsi="Times New Roman" w:cs="Times New Roman"/>
          <w:color w:val="333333"/>
          <w:sz w:val="32"/>
          <w:szCs w:val="32"/>
          <w:lang w:val="en-US" w:eastAsia="zh-CN"/>
        </w:rPr>
        <w:t>23</w:t>
      </w:r>
      <w:r>
        <w:rPr>
          <w:rFonts w:hint="default" w:ascii="Times New Roman" w:hAnsi="Times New Roman" w:eastAsia="方正仿宋_GBK" w:cs="Times New Roman"/>
          <w:color w:val="333333"/>
          <w:sz w:val="32"/>
          <w:szCs w:val="32"/>
        </w:rPr>
        <w:t>批</w:t>
      </w:r>
      <w:r>
        <w:rPr>
          <w:rFonts w:hint="eastAsia" w:ascii="Times New Roman" w:hAnsi="Times New Roman" w:cs="Times New Roman"/>
          <w:color w:val="33333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方正楷体_GBK" w:hAnsi="方正楷体_GBK" w:eastAsia="方正楷体_GBK" w:cs="方正楷体_GBK"/>
          <w:kern w:val="2"/>
          <w:sz w:val="32"/>
          <w:szCs w:val="22"/>
          <w:lang w:val="en-US" w:eastAsia="zh-CN" w:bidi="ar-SA"/>
        </w:rPr>
        <w:t>（一）机关运行经费情况说明。</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2020年度本单位机关运行经费支出</w:t>
      </w:r>
      <w:r>
        <w:rPr>
          <w:rFonts w:hint="eastAsia" w:cs="Times New Roman"/>
          <w:color w:val="000000" w:themeColor="text1"/>
          <w:kern w:val="0"/>
          <w:sz w:val="32"/>
          <w:szCs w:val="32"/>
          <w:highlight w:val="none"/>
          <w:lang w:val="en-US" w:eastAsia="zh-CN"/>
          <w14:textFill>
            <w14:solidFill>
              <w14:schemeClr w14:val="tx1"/>
            </w14:solidFill>
          </w14:textFill>
        </w:rPr>
        <w:t>301.38</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万元，比2019年度</w:t>
      </w:r>
      <w:r>
        <w:rPr>
          <w:rFonts w:hint="eastAsia" w:cs="Times New Roman"/>
          <w:color w:val="000000" w:themeColor="text1"/>
          <w:kern w:val="0"/>
          <w:sz w:val="32"/>
          <w:szCs w:val="32"/>
          <w:highlight w:val="none"/>
          <w:lang w:eastAsia="zh-CN"/>
          <w14:textFill>
            <w14:solidFill>
              <w14:schemeClr w14:val="tx1"/>
            </w14:solidFill>
          </w14:textFill>
        </w:rPr>
        <w:t>减少</w:t>
      </w:r>
      <w:r>
        <w:rPr>
          <w:rFonts w:hint="eastAsia" w:cs="Times New Roman"/>
          <w:color w:val="000000" w:themeColor="text1"/>
          <w:kern w:val="0"/>
          <w:sz w:val="32"/>
          <w:szCs w:val="32"/>
          <w:highlight w:val="none"/>
          <w:lang w:val="en-US" w:eastAsia="zh-CN"/>
          <w14:textFill>
            <w14:solidFill>
              <w14:schemeClr w14:val="tx1"/>
            </w14:solidFill>
          </w14:textFill>
        </w:rPr>
        <w:t>44.38</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万元，</w:t>
      </w:r>
      <w:r>
        <w:rPr>
          <w:rFonts w:hint="eastAsia" w:cs="Times New Roman"/>
          <w:color w:val="000000" w:themeColor="text1"/>
          <w:kern w:val="0"/>
          <w:sz w:val="32"/>
          <w:szCs w:val="32"/>
          <w:highlight w:val="none"/>
          <w:lang w:eastAsia="zh-CN"/>
          <w14:textFill>
            <w14:solidFill>
              <w14:schemeClr w14:val="tx1"/>
            </w14:solidFill>
          </w14:textFill>
        </w:rPr>
        <w:t>下降12.84</w:t>
      </w:r>
      <w:r>
        <w:rPr>
          <w:rFonts w:hint="eastAsia"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，主要原因是</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贯彻</w:t>
      </w:r>
      <w:r>
        <w:rPr>
          <w:rFonts w:hint="eastAsia" w:ascii="方正仿宋_GBK" w:hAnsi="仿宋_GB2312" w:eastAsia="方正仿宋_GBK" w:cs="仿宋_GB2312"/>
          <w:color w:val="000000" w:themeColor="text1"/>
          <w:kern w:val="0"/>
          <w:sz w:val="32"/>
          <w:szCs w:val="20"/>
          <w:highlight w:val="none"/>
          <w:lang w:eastAsia="zh-CN"/>
          <w14:textFill>
            <w14:solidFill>
              <w14:schemeClr w14:val="tx1"/>
            </w14:solidFill>
          </w14:textFill>
        </w:rPr>
        <w:t>落实</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中央八项规定精神</w:t>
      </w:r>
      <w:r>
        <w:rPr>
          <w:rFonts w:hint="eastAsia" w:ascii="方正仿宋_GBK" w:hAnsi="仿宋_GB2312" w:cs="仿宋_GB2312"/>
          <w:color w:val="000000" w:themeColor="text1"/>
          <w:kern w:val="0"/>
          <w:sz w:val="32"/>
          <w:szCs w:val="20"/>
          <w:highlight w:val="none"/>
          <w:lang w:eastAsia="zh-CN"/>
          <w14:textFill>
            <w14:solidFill>
              <w14:schemeClr w14:val="tx1"/>
            </w14:solidFill>
          </w14:textFill>
        </w:rPr>
        <w:t>、</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厉行节约</w:t>
      </w:r>
      <w:r>
        <w:rPr>
          <w:rFonts w:hint="eastAsia" w:ascii="方正仿宋_GBK" w:hAnsi="仿宋_GB2312" w:eastAsia="方正仿宋_GBK" w:cs="仿宋_GB2312"/>
          <w:color w:val="000000" w:themeColor="text1"/>
          <w:kern w:val="0"/>
          <w:sz w:val="32"/>
          <w:szCs w:val="20"/>
          <w:highlight w:val="none"/>
          <w:lang w:eastAsia="zh-CN"/>
          <w14:textFill>
            <w14:solidFill>
              <w14:schemeClr w14:val="tx1"/>
            </w14:solidFill>
          </w14:textFill>
        </w:rPr>
        <w:t>，</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严格控制</w:t>
      </w:r>
      <w:r>
        <w:rPr>
          <w:rFonts w:hint="eastAsia" w:ascii="方正仿宋_GBK" w:hAnsi="仿宋_GB2312" w:cs="仿宋_GB2312"/>
          <w:color w:val="000000" w:themeColor="text1"/>
          <w:kern w:val="0"/>
          <w:sz w:val="32"/>
          <w:szCs w:val="20"/>
          <w:highlight w:val="none"/>
          <w:lang w:eastAsia="zh-CN"/>
          <w14:textFill>
            <w14:solidFill>
              <w14:schemeClr w14:val="tx1"/>
            </w14:solidFill>
          </w14:textFill>
        </w:rPr>
        <w:t>机关运行</w:t>
      </w:r>
      <w:r>
        <w:rPr>
          <w:rFonts w:hint="eastAsia" w:ascii="方正仿宋_GBK" w:hAnsi="仿宋_GB2312" w:eastAsia="方正仿宋_GBK" w:cs="仿宋_GB2312"/>
          <w:color w:val="000000" w:themeColor="text1"/>
          <w:kern w:val="0"/>
          <w:sz w:val="32"/>
          <w:szCs w:val="20"/>
          <w:highlight w:val="none"/>
          <w14:textFill>
            <w14:solidFill>
              <w14:schemeClr w14:val="tx1"/>
            </w14:solidFill>
          </w14:textFill>
        </w:rPr>
        <w:t>经费支出</w:t>
      </w:r>
      <w:r>
        <w:rPr>
          <w:rFonts w:hint="eastAsia" w:ascii="方正仿宋_GBK" w:hAnsi="仿宋_GB2312" w:eastAsia="方正仿宋_GBK" w:cs="仿宋_GB2312"/>
          <w:color w:val="000000" w:themeColor="text1"/>
          <w:kern w:val="0"/>
          <w:sz w:val="32"/>
          <w:szCs w:val="20"/>
          <w:highlight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2"/>
          <w:sz w:val="32"/>
          <w:szCs w:val="22"/>
          <w:lang w:val="en-US" w:eastAsia="zh-CN" w:bidi="ar-SA"/>
        </w:rPr>
        <w:t>国有资产占用情况说明。</w:t>
      </w:r>
      <w:r>
        <w:rPr>
          <w:rFonts w:hint="eastAsia" w:ascii="Times New Roman" w:hAnsi="Times New Roman" w:eastAsia="方正仿宋_GBK" w:cs="Times New Roman"/>
          <w:color w:val="000000" w:themeColor="text1"/>
          <w:kern w:val="0"/>
          <w:sz w:val="32"/>
          <w:szCs w:val="32"/>
          <w:highlight w:val="none"/>
          <w14:textFill>
            <w14:solidFill>
              <w14:schemeClr w14:val="tx1"/>
            </w14:solidFill>
          </w14:textFill>
        </w:rPr>
        <w:t>截至2020年12月31日，本部门共有车辆3辆。其中：副部（省）级及以上领导用车0辆，主要领导干部用车0辆，机要通信用车0辆，应急保障用车2辆，执法执勤用车0辆，特种专业技术用车0辆，离退休干部用车0辆，其他用车0辆。其他</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一般公务用车</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1辆</w:t>
      </w:r>
      <w:r>
        <w:rPr>
          <w:rFonts w:hint="eastAsia" w:ascii="Times New Roman" w:hAnsi="Times New Roman" w:eastAsia="方正仿宋_GBK" w:cs="Times New Roman"/>
          <w:color w:val="000000" w:themeColor="text1"/>
          <w:kern w:val="0"/>
          <w:sz w:val="32"/>
          <w:szCs w:val="32"/>
          <w:highlight w:val="none"/>
          <w14:textFill>
            <w14:solidFill>
              <w14:schemeClr w14:val="tx1"/>
            </w14:solidFill>
          </w14:textFill>
        </w:rPr>
        <w:t>。</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eastAsia="zh-CN"/>
        </w:rPr>
        <w:t>五</w:t>
      </w:r>
      <w:r>
        <w:rPr>
          <w:rFonts w:hint="default" w:ascii="Times New Roman" w:hAnsi="Times New Roman" w:eastAsia="方正黑体_GBK" w:cs="Times New Roman"/>
          <w:sz w:val="32"/>
          <w:szCs w:val="32"/>
        </w:rPr>
        <w:t>、专业名词解释</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cs="Times New Roman"/>
          <w:sz w:val="32"/>
          <w:szCs w:val="32"/>
        </w:rPr>
        <w:t>指本年度从本级财政部门取得的财政拨款，包括一般公共预算财政拨款和政府性基金预算财政拨款。</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rPr>
        <w:t>（二）其他收入：</w:t>
      </w:r>
      <w:r>
        <w:rPr>
          <w:rFonts w:hint="eastAsia" w:ascii="方正仿宋_GBK" w:eastAsia="方正仿宋_GBK" w:cs="Times New Roman"/>
          <w:sz w:val="32"/>
          <w:szCs w:val="32"/>
        </w:rPr>
        <w:t>指单位取得的除“财政拨款收入”、“事业收入”、“经营收入”等以外的收入。</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rPr>
        <w:t>（三）基本支出：</w:t>
      </w:r>
      <w:r>
        <w:rPr>
          <w:rFonts w:hint="eastAsia" w:ascii="方正仿宋_GBK" w:eastAsia="方正仿宋_GBK" w:cs="Times New Roman"/>
          <w:sz w:val="32"/>
          <w:szCs w:val="32"/>
        </w:rPr>
        <w:t>指为保障机构正常运转、完成日常工作任务而发生的人员经费和公用经费。</w:t>
      </w:r>
    </w:p>
    <w:p>
      <w:pPr>
        <w:pStyle w:val="7"/>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rPr>
        <w:t>（四）项目支出：</w:t>
      </w:r>
      <w:r>
        <w:rPr>
          <w:rFonts w:hint="eastAsia" w:ascii="方正仿宋_GBK"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Times New Roman" w:eastAsia="方正仿宋_GBK" w:cs="Times New Roman"/>
          <w:kern w:val="0"/>
          <w:sz w:val="32"/>
          <w:szCs w:val="32"/>
        </w:rPr>
      </w:pPr>
      <w:r>
        <w:rPr>
          <w:rFonts w:hint="eastAsia" w:ascii="方正楷体_GBK" w:hAnsi="方正楷体_GBK" w:eastAsia="方正楷体_GBK" w:cs="方正楷体_GBK"/>
          <w:kern w:val="2"/>
          <w:sz w:val="32"/>
          <w:szCs w:val="22"/>
          <w:lang w:val="en-US" w:eastAsia="zh-CN" w:bidi="ar-SA"/>
        </w:rPr>
        <w:t>（五）“三公”经费：</w:t>
      </w:r>
      <w:r>
        <w:rPr>
          <w:rFonts w:hint="eastAsia" w:ascii="方正仿宋_GBK" w:hAnsi="Times New Roman" w:eastAsia="方正仿宋_GBK" w:cs="Times New Roman"/>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Times New Roman" w:eastAsia="方正仿宋_GBK" w:cs="Times New Roman"/>
          <w:kern w:val="0"/>
          <w:sz w:val="32"/>
          <w:szCs w:val="32"/>
        </w:rPr>
      </w:pPr>
      <w:r>
        <w:rPr>
          <w:rFonts w:hint="eastAsia" w:ascii="方正楷体_GBK" w:hAnsi="方正楷体_GBK" w:eastAsia="方正楷体_GBK" w:cs="方正楷体_GBK"/>
          <w:kern w:val="2"/>
          <w:sz w:val="32"/>
          <w:szCs w:val="22"/>
          <w:lang w:val="en-US" w:eastAsia="zh-CN" w:bidi="ar-SA"/>
        </w:rPr>
        <w:t>（六）机关运行经费：</w:t>
      </w:r>
      <w:r>
        <w:rPr>
          <w:rFonts w:hint="eastAsia" w:ascii="方正仿宋_GBK" w:hAnsi="Times New Roman" w:eastAsia="方正仿宋_GBK" w:cs="Times New Roman"/>
          <w:kern w:val="0"/>
          <w:sz w:val="32"/>
          <w:szCs w:val="32"/>
        </w:rPr>
        <w:t>指行政单位和参照公务员法管理的事业单位使用一般公共预算安排的基本支出中的日常公用经费支出。</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方正黑体_GBK" w:cs="Times New Roman"/>
          <w:sz w:val="32"/>
          <w:szCs w:val="32"/>
        </w:rPr>
      </w:pPr>
      <w:r>
        <w:rPr>
          <w:rFonts w:hint="eastAsia" w:eastAsia="方正黑体_GBK" w:cs="Times New Roman"/>
          <w:sz w:val="32"/>
          <w:szCs w:val="32"/>
          <w:lang w:eastAsia="zh-CN"/>
        </w:rPr>
        <w:t>六</w:t>
      </w:r>
      <w:r>
        <w:rPr>
          <w:rFonts w:hint="default" w:ascii="Times New Roman" w:hAnsi="Times New Roman" w:eastAsia="方正黑体_GBK" w:cs="Times New Roman"/>
          <w:sz w:val="32"/>
          <w:szCs w:val="32"/>
        </w:rPr>
        <w:t>、决算公开联系方式</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eastAsia="zh-CN"/>
        </w:rPr>
        <w:t>决算</w:t>
      </w:r>
      <w:r>
        <w:rPr>
          <w:rFonts w:hint="eastAsia" w:ascii="Times New Roman" w:hAnsi="Times New Roman" w:eastAsia="方正仿宋_GBK" w:cs="Times New Roman"/>
          <w:sz w:val="32"/>
          <w:szCs w:val="32"/>
        </w:rPr>
        <w:t>公开联系人：</w:t>
      </w:r>
      <w:r>
        <w:rPr>
          <w:rFonts w:hint="eastAsia" w:ascii="Times New Roman" w:hAnsi="Times New Roman" w:eastAsia="方正仿宋_GBK" w:cs="Times New Roman"/>
          <w:sz w:val="32"/>
          <w:szCs w:val="32"/>
          <w:lang w:eastAsia="zh-CN"/>
        </w:rPr>
        <w:t>李达忠</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023-58700363</w:t>
      </w:r>
    </w:p>
    <w:sectPr>
      <w:footerReference r:id="rId5"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46066"/>
    <w:multiLevelType w:val="singleLevel"/>
    <w:tmpl w:val="30A460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1806D81"/>
    <w:rsid w:val="01A655EC"/>
    <w:rsid w:val="02356CFC"/>
    <w:rsid w:val="026D3363"/>
    <w:rsid w:val="03483378"/>
    <w:rsid w:val="04D53BEF"/>
    <w:rsid w:val="05826A24"/>
    <w:rsid w:val="06CE4881"/>
    <w:rsid w:val="06EB5AFF"/>
    <w:rsid w:val="095D70C8"/>
    <w:rsid w:val="09A447EA"/>
    <w:rsid w:val="0A387B45"/>
    <w:rsid w:val="0A90650D"/>
    <w:rsid w:val="0B881444"/>
    <w:rsid w:val="0C3E06B9"/>
    <w:rsid w:val="0CE10BDD"/>
    <w:rsid w:val="0D7A2D6A"/>
    <w:rsid w:val="0D874F2A"/>
    <w:rsid w:val="0E462F36"/>
    <w:rsid w:val="0E7E6AD3"/>
    <w:rsid w:val="0E7F1753"/>
    <w:rsid w:val="108801DA"/>
    <w:rsid w:val="117D2299"/>
    <w:rsid w:val="122C582A"/>
    <w:rsid w:val="126E157F"/>
    <w:rsid w:val="13103BB0"/>
    <w:rsid w:val="13A63113"/>
    <w:rsid w:val="153D3761"/>
    <w:rsid w:val="163F66AE"/>
    <w:rsid w:val="16756CD4"/>
    <w:rsid w:val="168926D3"/>
    <w:rsid w:val="16E062AF"/>
    <w:rsid w:val="17014E5E"/>
    <w:rsid w:val="18103DF8"/>
    <w:rsid w:val="190B0C80"/>
    <w:rsid w:val="19C033AE"/>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AA84C29"/>
    <w:rsid w:val="2BBF06FD"/>
    <w:rsid w:val="2BC937CF"/>
    <w:rsid w:val="2C270A39"/>
    <w:rsid w:val="2C7129FC"/>
    <w:rsid w:val="2CB94EB2"/>
    <w:rsid w:val="2D2E2D7E"/>
    <w:rsid w:val="319C39DF"/>
    <w:rsid w:val="31C57554"/>
    <w:rsid w:val="33391C8E"/>
    <w:rsid w:val="345A76DF"/>
    <w:rsid w:val="352F4AAB"/>
    <w:rsid w:val="356D2148"/>
    <w:rsid w:val="3583406C"/>
    <w:rsid w:val="364E327C"/>
    <w:rsid w:val="36776800"/>
    <w:rsid w:val="378F009A"/>
    <w:rsid w:val="382B51A8"/>
    <w:rsid w:val="3985333E"/>
    <w:rsid w:val="398E3B00"/>
    <w:rsid w:val="39D6258F"/>
    <w:rsid w:val="3A691188"/>
    <w:rsid w:val="3A7E4AE2"/>
    <w:rsid w:val="3AAE5809"/>
    <w:rsid w:val="3ADC7039"/>
    <w:rsid w:val="3B1A6EB9"/>
    <w:rsid w:val="3B670912"/>
    <w:rsid w:val="3BE56E26"/>
    <w:rsid w:val="3C66310B"/>
    <w:rsid w:val="3C783E72"/>
    <w:rsid w:val="3D1D7069"/>
    <w:rsid w:val="3D87699E"/>
    <w:rsid w:val="3EA326DE"/>
    <w:rsid w:val="3EF6139C"/>
    <w:rsid w:val="40281FFC"/>
    <w:rsid w:val="40315C58"/>
    <w:rsid w:val="411314FB"/>
    <w:rsid w:val="41722396"/>
    <w:rsid w:val="41C856DD"/>
    <w:rsid w:val="42014921"/>
    <w:rsid w:val="430054D8"/>
    <w:rsid w:val="43892913"/>
    <w:rsid w:val="44BA1F1D"/>
    <w:rsid w:val="455326A3"/>
    <w:rsid w:val="46596C11"/>
    <w:rsid w:val="46D6525F"/>
    <w:rsid w:val="476B3399"/>
    <w:rsid w:val="47C06BB9"/>
    <w:rsid w:val="47CE5B03"/>
    <w:rsid w:val="48406B08"/>
    <w:rsid w:val="48861842"/>
    <w:rsid w:val="496E3698"/>
    <w:rsid w:val="496F10DE"/>
    <w:rsid w:val="49D602C5"/>
    <w:rsid w:val="4AC8460B"/>
    <w:rsid w:val="4B667CB4"/>
    <w:rsid w:val="4CD07BC6"/>
    <w:rsid w:val="4D4F49FC"/>
    <w:rsid w:val="4E195C47"/>
    <w:rsid w:val="506F3616"/>
    <w:rsid w:val="52421C31"/>
    <w:rsid w:val="52A427B6"/>
    <w:rsid w:val="52F25B90"/>
    <w:rsid w:val="53670BC4"/>
    <w:rsid w:val="53D447AB"/>
    <w:rsid w:val="540D7BCE"/>
    <w:rsid w:val="560F2545"/>
    <w:rsid w:val="56172954"/>
    <w:rsid w:val="56D9076F"/>
    <w:rsid w:val="57131783"/>
    <w:rsid w:val="58450EAE"/>
    <w:rsid w:val="58563A03"/>
    <w:rsid w:val="58981CB2"/>
    <w:rsid w:val="595128EA"/>
    <w:rsid w:val="59D94699"/>
    <w:rsid w:val="5A5E128E"/>
    <w:rsid w:val="5B992DA7"/>
    <w:rsid w:val="5BDE372A"/>
    <w:rsid w:val="5C2C50A0"/>
    <w:rsid w:val="5CBD02B1"/>
    <w:rsid w:val="5D8E0E1D"/>
    <w:rsid w:val="5D9C59A0"/>
    <w:rsid w:val="5DEB6652"/>
    <w:rsid w:val="60333493"/>
    <w:rsid w:val="604D2A30"/>
    <w:rsid w:val="60DC245A"/>
    <w:rsid w:val="610F2FF6"/>
    <w:rsid w:val="61935AF5"/>
    <w:rsid w:val="628D5173"/>
    <w:rsid w:val="62F74F9E"/>
    <w:rsid w:val="634203B0"/>
    <w:rsid w:val="634C6ABE"/>
    <w:rsid w:val="636F5754"/>
    <w:rsid w:val="63744B02"/>
    <w:rsid w:val="63826FEC"/>
    <w:rsid w:val="64492EB3"/>
    <w:rsid w:val="64794AE6"/>
    <w:rsid w:val="64C2339D"/>
    <w:rsid w:val="64F741DA"/>
    <w:rsid w:val="657633A5"/>
    <w:rsid w:val="66DA3C2B"/>
    <w:rsid w:val="67163CB8"/>
    <w:rsid w:val="677F3993"/>
    <w:rsid w:val="67C17FA1"/>
    <w:rsid w:val="68295010"/>
    <w:rsid w:val="688A6957"/>
    <w:rsid w:val="68A206D6"/>
    <w:rsid w:val="68EE6070"/>
    <w:rsid w:val="691A1FA9"/>
    <w:rsid w:val="69247AB6"/>
    <w:rsid w:val="692F20E7"/>
    <w:rsid w:val="69DA3F19"/>
    <w:rsid w:val="6B3A39D4"/>
    <w:rsid w:val="6B865E2E"/>
    <w:rsid w:val="6B8C1C4C"/>
    <w:rsid w:val="6BAD4CEC"/>
    <w:rsid w:val="6DDA6878"/>
    <w:rsid w:val="6E6B0B15"/>
    <w:rsid w:val="6EC259AA"/>
    <w:rsid w:val="70085DA4"/>
    <w:rsid w:val="70760E92"/>
    <w:rsid w:val="71004A80"/>
    <w:rsid w:val="72065C93"/>
    <w:rsid w:val="755E52AA"/>
    <w:rsid w:val="75772B29"/>
    <w:rsid w:val="75BC7B77"/>
    <w:rsid w:val="76FB4042"/>
    <w:rsid w:val="771D5F27"/>
    <w:rsid w:val="776611C7"/>
    <w:rsid w:val="776A0DAA"/>
    <w:rsid w:val="778C0EA9"/>
    <w:rsid w:val="7801310F"/>
    <w:rsid w:val="791A0FC5"/>
    <w:rsid w:val="79CE244C"/>
    <w:rsid w:val="79DF2FD0"/>
    <w:rsid w:val="7B341E31"/>
    <w:rsid w:val="7B4E5914"/>
    <w:rsid w:val="7B83471E"/>
    <w:rsid w:val="7C967920"/>
    <w:rsid w:val="7D1028BA"/>
    <w:rsid w:val="7D8064B5"/>
    <w:rsid w:val="7E894654"/>
    <w:rsid w:val="7E9A1E5D"/>
    <w:rsid w:val="7F884012"/>
    <w:rsid w:val="7FC85298"/>
    <w:rsid w:val="CAFB09E8"/>
    <w:rsid w:val="D99BE19A"/>
    <w:rsid w:val="DFB7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 w:type="paragraph" w:styleId="7">
    <w:name w:val="List Paragraph"/>
    <w:basedOn w:val="1"/>
    <w:qFormat/>
    <w:uiPriority w:val="34"/>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51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2021-08-26T23:53:00Z</dcterms:created>
  <dc:creator>acer</dc:creator>
  <cp:lastModifiedBy>user</cp:lastModifiedBy>
  <cp:lastPrinted>2021-09-09T18:04:00Z</cp:lastPrinted>
  <dcterms:modified xsi:type="dcterms:W3CDTF">2022-08-29T16:43:10Z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4FD8AA1A5CC64EEFB901DA710814DFCB</vt:lpwstr>
  </property>
</Properties>
</file>