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重庆市万州区高峰街道办事处</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eastAsia" w:eastAsia="方正小标宋_GBK" w:cs="Times New Roman"/>
          <w:sz w:val="44"/>
          <w:szCs w:val="44"/>
          <w:lang w:val="en-US" w:eastAsia="zh-CN"/>
        </w:rPr>
        <w:t>年</w:t>
      </w:r>
      <w:r>
        <w:rPr>
          <w:rFonts w:hint="default" w:ascii="Times New Roman" w:hAnsi="Times New Roman" w:eastAsia="方正小标宋_GBK" w:cs="Times New Roman"/>
          <w:sz w:val="44"/>
          <w:szCs w:val="44"/>
        </w:rPr>
        <w:t>部门决算</w:t>
      </w:r>
      <w:r>
        <w:rPr>
          <w:rFonts w:hint="default" w:ascii="Times New Roman" w:hAnsi="Times New Roman" w:eastAsia="方正小标宋_GBK" w:cs="Times New Roman"/>
          <w:sz w:val="44"/>
          <w:szCs w:val="44"/>
          <w:lang w:val="en-US" w:eastAsia="zh-CN"/>
        </w:rPr>
        <w:t>情况说明</w:t>
      </w:r>
    </w:p>
    <w:p>
      <w:pPr>
        <w:bidi w:val="0"/>
        <w:rPr>
          <w:rFonts w:hint="default" w:ascii="Times New Roman" w:hAnsi="Times New Roman" w:cs="Times New Roman"/>
          <w:lang w:eastAsia="zh-CN"/>
        </w:rPr>
      </w:pP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综合办事机构、事业站所设置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（一）党政办公室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职责任务：主要负责纪检、宣传、统战、法制、武装、民宗侨台以及综合协调、文秘等职责。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（二）党群工作办公室（挂人大办公室牌子）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职责任务：主要负责党的建设、编制、人事、群团等职责。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（三）经济发展办公室（挂统计办公室、农村经营管理办公室牌子）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职责任务：主要负责经济发展规划、农村经营管理、经济社会统计及贯彻执行扶贫开发方针政策、扶贫开发工作的统筹协调、产业扶贫指导、扶贫政策法规及相关技能培训的指导管理等职责。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（四）民政和社会事务办公室（挂卫生健康办公室牌子）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职责任务：主要负责民政、教育、卫生、计生、文化、体育、社会救助、残疾人事业、劳动就业、社会保障、老龄事业发展等职责。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（五）平安建设办公室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职责任务：主要负责信访、人民调解、社会治安综合治理、防范和处理邪教等职责。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（六）规划建设管理环保办公室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职责任务：主要负责村镇规划、村镇建设、市政公用、市容环卫、环境保护等职责。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（七）财政办公室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职责任务：主要负责财政收支、预决算、总会计、支农惠民资金兑付、财政资金监督检查、绩效评价、村（社区）级财务管理等职责。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（八）应急管理办公室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职责任务：主要负责应急管理和安全生产综合监管，协助开展煤矿、非煤矿山、危险化学品、烟花爆竹等安全生产日常监管工作。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（九）征地服务办公室</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职责任务：主要负责辖区征地政策的宣传，征地安置补偿的组织实施、监督管理等具体事务性工作和协调处理征地开发相关问题职责。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（十）农业服务中心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（十一）文化服务中心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职责任务：主要负责文化、宣传、广播电视、体育、科技培训等方面工作。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（十二）劳动就业和社会保障服务所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职责任务：主要负责劳动和社会保障、就业、再就业及农村富余劳动力转移工作；下岗失业人员的就业指导、培训、介绍以及流动人口的就业服务管理；负责低保对象的审核；负责优抚救济、社会互助等工作。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（十三）村镇建设环保服务中心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职责任务：主要负责辖区规划建设、环境保护等工作。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（十四）退役军人服务站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职责任务：主要负责退役军人的关系转接、联络接待、困难帮扶、信息采集、情况反映、立功喜报、悬挂光荣牌和“八一”、春节等节日以及重大变故走访慰问等具体事务。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（十五）综合行政执法大队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微软雅黑" w:cs="Times New Roman"/>
          <w:color w:val="333333"/>
          <w:sz w:val="21"/>
          <w:szCs w:val="21"/>
        </w:rPr>
      </w:pPr>
      <w:r>
        <w:rPr>
          <w:rFonts w:hint="default" w:ascii="Times New Roman" w:hAnsi="Times New Roman" w:eastAsia="方正仿宋_GBK" w:cs="Times New Roman"/>
          <w:sz w:val="32"/>
          <w:szCs w:val="32"/>
          <w:lang w:eastAsia="zh-CN"/>
        </w:rPr>
        <w:t>职责任务：主要负责集中行使依法授权或委托的农林水利、规划建设、环境保护、卫生计生、文化旅游、民政管理、城市管理等领域的行政执法权。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（一）本年收入</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2020年本年收入合计7523.99万元。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二</w:t>
      </w:r>
      <w:r>
        <w:rPr>
          <w:rFonts w:hint="default" w:ascii="Times New Roman" w:hAnsi="Times New Roman" w:eastAsia="方正仿宋_GBK" w:cs="Times New Roman"/>
          <w:sz w:val="32"/>
          <w:szCs w:val="32"/>
          <w:lang w:eastAsia="zh-CN"/>
        </w:rPr>
        <w:t>）本年支出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2020年本年支出合计7762.93万元。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cs="Times New Roman"/>
          <w:lang w:eastAsia="zh-CN"/>
        </w:rPr>
        <w:t>结转结余：上年结转结余</w:t>
      </w:r>
      <w:r>
        <w:rPr>
          <w:rFonts w:hint="default" w:ascii="Times New Roman" w:hAnsi="Times New Roman" w:eastAsia="方正仿宋_GBK" w:cs="Times New Roman"/>
          <w:kern w:val="2"/>
          <w:sz w:val="32"/>
          <w:szCs w:val="32"/>
          <w:lang w:val="en-US" w:eastAsia="zh-CN" w:bidi="ar-SA"/>
        </w:rPr>
        <w:t>3227.21</w:t>
      </w:r>
      <w:r>
        <w:rPr>
          <w:rFonts w:hint="default" w:ascii="Times New Roman" w:hAnsi="Times New Roman" w:cs="Times New Roman"/>
          <w:kern w:val="2"/>
          <w:sz w:val="32"/>
          <w:szCs w:val="32"/>
          <w:lang w:val="en-US" w:eastAsia="zh-CN" w:bidi="ar-SA"/>
        </w:rPr>
        <w:t>万元，本年结转和结余2988.27万元。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0"/>
          <w:sz w:val="32"/>
          <w:szCs w:val="32"/>
        </w:rPr>
        <w:t>本部门本年度一般公共预算财政拨款收入</w:t>
      </w:r>
      <w:r>
        <w:rPr>
          <w:rFonts w:hint="default" w:ascii="Times New Roman" w:hAnsi="Times New Roman" w:cs="Times New Roman"/>
          <w:kern w:val="0"/>
          <w:sz w:val="32"/>
          <w:szCs w:val="32"/>
          <w:lang w:val="en-US" w:eastAsia="zh-CN"/>
        </w:rPr>
        <w:t>3942.72</w:t>
      </w:r>
      <w:r>
        <w:rPr>
          <w:rFonts w:hint="default" w:ascii="Times New Roman" w:hAnsi="Times New Roman" w:eastAsia="方正仿宋_GBK" w:cs="Times New Roman"/>
          <w:kern w:val="0"/>
          <w:sz w:val="32"/>
          <w:szCs w:val="32"/>
        </w:rPr>
        <w:t>万元</w:t>
      </w:r>
      <w:r>
        <w:rPr>
          <w:rFonts w:hint="default" w:ascii="Times New Roman" w:hAnsi="Times New Roman" w:cs="Times New Roman"/>
          <w:kern w:val="0"/>
          <w:sz w:val="32"/>
          <w:szCs w:val="32"/>
          <w:lang w:eastAsia="zh-CN"/>
        </w:rPr>
        <w:t>，较上年度</w:t>
      </w:r>
      <w:r>
        <w:rPr>
          <w:rFonts w:hint="eastAsia" w:ascii="Times New Roman" w:hAnsi="Times New Roman" w:cs="Times New Roman"/>
          <w:kern w:val="0"/>
          <w:sz w:val="32"/>
          <w:szCs w:val="32"/>
          <w:lang w:eastAsia="zh-CN"/>
        </w:rPr>
        <w:t>增加</w:t>
      </w:r>
      <w:r>
        <w:rPr>
          <w:rFonts w:hint="default" w:ascii="Times New Roman" w:hAnsi="Times New Roman" w:cs="Times New Roman"/>
          <w:kern w:val="0"/>
          <w:sz w:val="32"/>
          <w:szCs w:val="32"/>
          <w:lang w:val="en-US" w:eastAsia="zh-CN"/>
        </w:rPr>
        <w:t>116.57万元，</w:t>
      </w:r>
      <w:r>
        <w:rPr>
          <w:rFonts w:hint="default" w:ascii="Times New Roman" w:hAnsi="Times New Roman" w:cs="Times New Roman"/>
          <w:kern w:val="0"/>
          <w:sz w:val="32"/>
          <w:szCs w:val="32"/>
          <w:lang w:eastAsia="zh-CN"/>
        </w:rPr>
        <w:t>增加</w:t>
      </w:r>
      <w:r>
        <w:rPr>
          <w:rFonts w:hint="default" w:ascii="Times New Roman" w:hAnsi="Times New Roman" w:cs="Times New Roman"/>
          <w:kern w:val="0"/>
          <w:sz w:val="32"/>
          <w:szCs w:val="32"/>
          <w:lang w:val="en-US" w:eastAsia="zh-CN"/>
        </w:rPr>
        <w:t>3.05%</w:t>
      </w:r>
      <w:r>
        <w:rPr>
          <w:rFonts w:hint="default" w:ascii="Times New Roman" w:hAnsi="Times New Roman" w:eastAsia="方正仿宋_GBK" w:cs="Times New Roman"/>
          <w:kern w:val="0"/>
          <w:sz w:val="32"/>
          <w:szCs w:val="32"/>
        </w:rPr>
        <w:t>。本部门本年度政府性基金预算</w:t>
      </w:r>
      <w:r>
        <w:rPr>
          <w:rFonts w:hint="eastAsia" w:ascii="Times New Roman" w:cs="Times New Roman"/>
          <w:kern w:val="0"/>
          <w:sz w:val="32"/>
          <w:szCs w:val="32"/>
          <w:lang w:eastAsia="zh-CN"/>
        </w:rPr>
        <w:t>财政</w:t>
      </w:r>
      <w:r>
        <w:rPr>
          <w:rFonts w:hint="default" w:ascii="Times New Roman" w:hAnsi="Times New Roman" w:eastAsia="方正仿宋_GBK" w:cs="Times New Roman"/>
          <w:kern w:val="0"/>
          <w:sz w:val="32"/>
          <w:szCs w:val="32"/>
        </w:rPr>
        <w:t>拨款收入</w:t>
      </w:r>
      <w:r>
        <w:rPr>
          <w:rFonts w:hint="default" w:ascii="Times New Roman" w:hAnsi="Times New Roman" w:cs="Times New Roman"/>
          <w:kern w:val="0"/>
          <w:sz w:val="32"/>
          <w:szCs w:val="32"/>
          <w:lang w:val="en-US" w:eastAsia="zh-CN"/>
        </w:rPr>
        <w:t>2746.83</w:t>
      </w:r>
      <w:r>
        <w:rPr>
          <w:rFonts w:hint="default" w:ascii="Times New Roman" w:hAnsi="Times New Roman" w:eastAsia="方正仿宋_GBK" w:cs="Times New Roman"/>
          <w:kern w:val="0"/>
          <w:sz w:val="32"/>
          <w:szCs w:val="32"/>
        </w:rPr>
        <w:t>万元</w:t>
      </w:r>
      <w:r>
        <w:rPr>
          <w:rFonts w:hint="default" w:ascii="Times New Roman" w:hAnsi="Times New Roman" w:cs="Times New Roman"/>
          <w:kern w:val="0"/>
          <w:sz w:val="32"/>
          <w:szCs w:val="32"/>
          <w:lang w:eastAsia="zh-CN"/>
        </w:rPr>
        <w:t>，较上年度</w:t>
      </w:r>
      <w:r>
        <w:rPr>
          <w:rFonts w:hint="eastAsia" w:ascii="Times New Roman" w:hAnsi="Times New Roman" w:cs="Times New Roman"/>
          <w:kern w:val="0"/>
          <w:sz w:val="32"/>
          <w:szCs w:val="32"/>
          <w:lang w:eastAsia="zh-CN"/>
        </w:rPr>
        <w:t>增加</w:t>
      </w:r>
      <w:r>
        <w:rPr>
          <w:rFonts w:hint="default" w:ascii="Times New Roman" w:hAnsi="Times New Roman" w:cs="Times New Roman"/>
          <w:kern w:val="0"/>
          <w:sz w:val="32"/>
          <w:szCs w:val="32"/>
          <w:lang w:val="en-US" w:eastAsia="zh-CN"/>
        </w:rPr>
        <w:t>2102.61万元，</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326.38%</w:t>
      </w:r>
      <w:r>
        <w:rPr>
          <w:rFonts w:hint="default" w:ascii="Times New Roman" w:hAnsi="Times New Roman" w:eastAsia="方正仿宋_GBK" w:cs="Times New Roman"/>
          <w:kern w:val="0"/>
          <w:sz w:val="32"/>
          <w:szCs w:val="32"/>
        </w:rPr>
        <w:t>。本部门本年度一般公共预算财政拨款</w:t>
      </w:r>
      <w:r>
        <w:rPr>
          <w:rFonts w:hint="default" w:ascii="Times New Roman" w:hAnsi="Times New Roman" w:cs="Times New Roman"/>
          <w:kern w:val="0"/>
          <w:sz w:val="32"/>
          <w:szCs w:val="32"/>
          <w:lang w:eastAsia="zh-CN"/>
        </w:rPr>
        <w:t>支出</w:t>
      </w:r>
      <w:r>
        <w:rPr>
          <w:rFonts w:hint="default" w:ascii="Times New Roman" w:hAnsi="Times New Roman" w:cs="Times New Roman"/>
          <w:kern w:val="0"/>
          <w:sz w:val="32"/>
          <w:szCs w:val="32"/>
          <w:lang w:val="en-US" w:eastAsia="zh-CN"/>
        </w:rPr>
        <w:t>3942.72万元，</w:t>
      </w:r>
      <w:r>
        <w:rPr>
          <w:rFonts w:hint="default" w:ascii="Times New Roman" w:hAnsi="Times New Roman" w:cs="Times New Roman"/>
          <w:kern w:val="0"/>
          <w:sz w:val="32"/>
          <w:szCs w:val="32"/>
          <w:lang w:eastAsia="zh-CN"/>
        </w:rPr>
        <w:t>较上年度</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116.57万元，</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3.05%。本年基本支出2344.48万元，</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222.62万元，</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10.49%（其中人员经费支出1844.73万元，</w:t>
      </w:r>
      <w:r>
        <w:rPr>
          <w:rFonts w:hint="eastAsia" w:ascii="Times New Roman" w:hAnsi="Times New Roman" w:cs="Times New Roman"/>
          <w:kern w:val="0"/>
          <w:sz w:val="32"/>
          <w:szCs w:val="32"/>
          <w:lang w:val="en-US" w:eastAsia="zh-CN"/>
        </w:rPr>
        <w:t>增加</w:t>
      </w:r>
      <w:r>
        <w:rPr>
          <w:rFonts w:hint="default" w:ascii="Times New Roman" w:hAnsi="Times New Roman" w:cs="Times New Roman"/>
          <w:kern w:val="0"/>
          <w:sz w:val="32"/>
          <w:szCs w:val="32"/>
          <w:lang w:val="en-US" w:eastAsia="zh-CN"/>
        </w:rPr>
        <w:t>133.05万元，增加7.77%；公用经费支出499.75万元，增加89.47万元，增加21.81%）。本年项目支出1598.24万元，较上年度减少105.95万元，减少6.22%。本年度实行收支平衡。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“三公”经费情况说明 </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default" w:ascii="Times New Roman" w:hAnsi="Times New Roman" w:eastAsia="仿宋_GB2312" w:cs="Times New Roman"/>
          <w:color w:val="000000"/>
        </w:rPr>
      </w:pPr>
      <w:r>
        <w:rPr>
          <w:rFonts w:hint="default" w:ascii="Times New Roman" w:hAnsi="Times New Roman" w:eastAsia="方正楷体_GBK" w:cs="Times New Roman"/>
          <w:color w:val="333333"/>
          <w:sz w:val="32"/>
          <w:szCs w:val="32"/>
        </w:rPr>
        <w:t>（一）“三公”经费支出情况。</w:t>
      </w:r>
      <w:r>
        <w:rPr>
          <w:rFonts w:hint="default" w:ascii="Times New Roman" w:hAnsi="Times New Roman" w:eastAsia="仿宋_GB2312" w:cs="Times New Roman"/>
          <w:bCs/>
        </w:rPr>
        <w:t>201</w:t>
      </w:r>
      <w:r>
        <w:rPr>
          <w:rFonts w:hint="default" w:ascii="Times New Roman" w:hAnsi="Times New Roman" w:eastAsia="仿宋_GB2312" w:cs="Times New Roman"/>
          <w:bCs/>
          <w:lang w:val="en-US" w:eastAsia="zh-CN"/>
        </w:rPr>
        <w:t>9</w:t>
      </w:r>
      <w:r>
        <w:rPr>
          <w:rFonts w:hint="default" w:ascii="Times New Roman" w:hAnsi="Times New Roman" w:eastAsia="仿宋_GB2312" w:cs="Times New Roman"/>
          <w:bCs/>
        </w:rPr>
        <w:t>年“三公”经费</w:t>
      </w:r>
      <w:r>
        <w:rPr>
          <w:rFonts w:hint="default" w:ascii="Times New Roman" w:hAnsi="Times New Roman" w:eastAsia="仿宋_GB2312" w:cs="Times New Roman"/>
          <w:bCs/>
          <w:lang w:val="en-US" w:eastAsia="zh-CN"/>
        </w:rPr>
        <w:t>20.92</w:t>
      </w:r>
      <w:r>
        <w:rPr>
          <w:rFonts w:hint="default" w:ascii="Times New Roman" w:hAnsi="Times New Roman" w:eastAsia="仿宋_GB2312" w:cs="Times New Roman"/>
          <w:bCs/>
        </w:rPr>
        <w:t>万元，其中公务接待费</w:t>
      </w:r>
      <w:r>
        <w:rPr>
          <w:rFonts w:hint="default" w:ascii="Times New Roman" w:hAnsi="Times New Roman" w:eastAsia="仿宋_GB2312" w:cs="Times New Roman"/>
          <w:bCs/>
          <w:lang w:val="en-US" w:eastAsia="zh-CN"/>
        </w:rPr>
        <w:t>2.8</w:t>
      </w:r>
      <w:r>
        <w:rPr>
          <w:rFonts w:hint="default" w:ascii="Times New Roman" w:hAnsi="Times New Roman" w:eastAsia="仿宋_GB2312" w:cs="Times New Roman"/>
          <w:bCs/>
        </w:rPr>
        <w:t>万元，公务用车运行维护费</w:t>
      </w:r>
      <w:r>
        <w:rPr>
          <w:rFonts w:hint="default" w:ascii="Times New Roman" w:hAnsi="Times New Roman" w:eastAsia="仿宋_GB2312" w:cs="Times New Roman"/>
          <w:bCs/>
          <w:lang w:val="en-US" w:eastAsia="zh-CN"/>
        </w:rPr>
        <w:t>18.12</w:t>
      </w:r>
      <w:r>
        <w:rPr>
          <w:rFonts w:hint="default" w:ascii="Times New Roman" w:hAnsi="Times New Roman" w:eastAsia="仿宋_GB2312" w:cs="Times New Roman"/>
          <w:bCs/>
        </w:rPr>
        <w:t>万元。20</w:t>
      </w:r>
      <w:r>
        <w:rPr>
          <w:rFonts w:hint="default" w:ascii="Times New Roman" w:hAnsi="Times New Roman" w:eastAsia="仿宋_GB2312" w:cs="Times New Roman"/>
          <w:bCs/>
          <w:lang w:val="en-US" w:eastAsia="zh-CN"/>
        </w:rPr>
        <w:t>20</w:t>
      </w:r>
      <w:r>
        <w:rPr>
          <w:rFonts w:hint="default" w:ascii="Times New Roman" w:hAnsi="Times New Roman" w:eastAsia="仿宋_GB2312" w:cs="Times New Roman"/>
          <w:bCs/>
        </w:rPr>
        <w:t>年“三公”经费</w:t>
      </w:r>
      <w:r>
        <w:rPr>
          <w:rFonts w:hint="default" w:ascii="Times New Roman" w:hAnsi="Times New Roman" w:eastAsia="仿宋_GB2312" w:cs="Times New Roman"/>
          <w:bCs/>
          <w:lang w:val="en-US" w:eastAsia="zh-CN"/>
        </w:rPr>
        <w:t>15.87</w:t>
      </w:r>
      <w:r>
        <w:rPr>
          <w:rFonts w:hint="default" w:ascii="Times New Roman" w:hAnsi="Times New Roman" w:eastAsia="仿宋_GB2312" w:cs="Times New Roman"/>
          <w:bCs/>
        </w:rPr>
        <w:t>万元，其中公务接待费</w:t>
      </w:r>
      <w:r>
        <w:rPr>
          <w:rFonts w:hint="default" w:ascii="Times New Roman" w:hAnsi="Times New Roman" w:eastAsia="仿宋_GB2312" w:cs="Times New Roman"/>
          <w:bCs/>
          <w:lang w:val="en-US" w:eastAsia="zh-CN"/>
        </w:rPr>
        <w:t>2.49</w:t>
      </w:r>
      <w:r>
        <w:rPr>
          <w:rFonts w:hint="default" w:ascii="Times New Roman" w:hAnsi="Times New Roman" w:eastAsia="仿宋_GB2312" w:cs="Times New Roman"/>
          <w:bCs/>
        </w:rPr>
        <w:t>万元，接待信访维稳及脱贫攻坚</w:t>
      </w:r>
      <w:r>
        <w:rPr>
          <w:rFonts w:hint="default" w:ascii="Times New Roman" w:hAnsi="Times New Roman" w:eastAsia="仿宋_GB2312" w:cs="Times New Roman"/>
          <w:bCs/>
          <w:lang w:eastAsia="zh-CN"/>
        </w:rPr>
        <w:t>共</w:t>
      </w:r>
      <w:r>
        <w:rPr>
          <w:rFonts w:hint="default" w:ascii="Times New Roman" w:hAnsi="Times New Roman" w:eastAsia="仿宋_GB2312" w:cs="Times New Roman"/>
          <w:bCs/>
          <w:color w:val="auto"/>
          <w:lang w:val="en-US" w:eastAsia="zh-CN"/>
        </w:rPr>
        <w:t>65</w:t>
      </w:r>
      <w:r>
        <w:rPr>
          <w:rFonts w:hint="default" w:ascii="Times New Roman" w:hAnsi="Times New Roman" w:eastAsia="仿宋_GB2312" w:cs="Times New Roman"/>
          <w:bCs/>
          <w:color w:val="auto"/>
        </w:rPr>
        <w:t>次，</w:t>
      </w:r>
      <w:r>
        <w:rPr>
          <w:rFonts w:hint="default" w:ascii="Times New Roman" w:hAnsi="Times New Roman" w:eastAsia="仿宋_GB2312" w:cs="Times New Roman"/>
          <w:bCs/>
          <w:color w:val="auto"/>
          <w:lang w:val="en-US" w:eastAsia="zh-CN"/>
        </w:rPr>
        <w:t>280</w:t>
      </w:r>
      <w:r>
        <w:rPr>
          <w:rFonts w:hint="default" w:ascii="Times New Roman" w:hAnsi="Times New Roman" w:eastAsia="仿宋_GB2312" w:cs="Times New Roman"/>
          <w:bCs/>
          <w:color w:val="auto"/>
        </w:rPr>
        <w:t>人次</w:t>
      </w:r>
      <w:r>
        <w:rPr>
          <w:rFonts w:hint="default" w:ascii="Times New Roman" w:hAnsi="Times New Roman" w:eastAsia="仿宋_GB2312" w:cs="Times New Roman"/>
          <w:bCs/>
        </w:rPr>
        <w:t>，公务用车运行维护费</w:t>
      </w:r>
      <w:r>
        <w:rPr>
          <w:rFonts w:hint="default" w:ascii="Times New Roman" w:hAnsi="Times New Roman" w:eastAsia="仿宋_GB2312" w:cs="Times New Roman"/>
          <w:bCs/>
          <w:lang w:val="en-US" w:eastAsia="zh-CN"/>
        </w:rPr>
        <w:t>13.38</w:t>
      </w:r>
      <w:r>
        <w:rPr>
          <w:rFonts w:hint="default" w:ascii="Times New Roman" w:hAnsi="Times New Roman" w:eastAsia="仿宋_GB2312" w:cs="Times New Roman"/>
          <w:bCs/>
        </w:rPr>
        <w:t>万元。同期比较减少</w:t>
      </w:r>
      <w:r>
        <w:rPr>
          <w:rFonts w:hint="default" w:ascii="Times New Roman" w:hAnsi="Times New Roman" w:eastAsia="仿宋_GB2312" w:cs="Times New Roman"/>
          <w:bCs/>
          <w:lang w:val="en-US" w:eastAsia="zh-CN"/>
        </w:rPr>
        <w:t>4.74</w:t>
      </w:r>
      <w:r>
        <w:rPr>
          <w:rFonts w:hint="default" w:ascii="Times New Roman" w:hAnsi="Times New Roman" w:eastAsia="仿宋_GB2312" w:cs="Times New Roman"/>
          <w:bCs/>
        </w:rPr>
        <w:t>万元，主要是</w:t>
      </w:r>
      <w:r>
        <w:rPr>
          <w:rFonts w:hint="eastAsia" w:ascii="Times New Roman" w:hAnsi="Times New Roman" w:eastAsia="仿宋_GB2312" w:cs="Times New Roman"/>
          <w:bCs/>
          <w:lang w:eastAsia="zh-CN"/>
        </w:rPr>
        <w:t>继续从严</w:t>
      </w:r>
      <w:r>
        <w:rPr>
          <w:rFonts w:hint="default" w:ascii="Times New Roman" w:hAnsi="Times New Roman" w:eastAsia="仿宋_GB2312" w:cs="Times New Roman"/>
          <w:bCs/>
        </w:rPr>
        <w:t>控制公务接待及车辆运行等开支。无外事接待。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方正楷体_GBK" w:cs="Times New Roman"/>
          <w:color w:val="333333"/>
          <w:sz w:val="32"/>
          <w:szCs w:val="32"/>
        </w:rPr>
        <w:t>（</w:t>
      </w:r>
      <w:r>
        <w:rPr>
          <w:rFonts w:hint="eastAsia" w:eastAsia="方正楷体_GBK" w:cs="Times New Roman"/>
          <w:color w:val="333333"/>
          <w:sz w:val="32"/>
          <w:szCs w:val="32"/>
          <w:lang w:eastAsia="zh-CN"/>
        </w:rPr>
        <w:t>二</w:t>
      </w:r>
      <w:r>
        <w:rPr>
          <w:rFonts w:hint="default" w:ascii="Times New Roman" w:hAnsi="Times New Roman" w:eastAsia="方正楷体_GBK" w:cs="Times New Roman"/>
          <w:color w:val="333333"/>
          <w:sz w:val="32"/>
          <w:szCs w:val="32"/>
        </w:rPr>
        <w:t>）“三公”经费实物量情况</w:t>
      </w:r>
      <w:r>
        <w:rPr>
          <w:rFonts w:hint="default" w:ascii="Times New Roman" w:hAnsi="Times New Roman" w:eastAsia="方正仿宋_GBK" w:cs="Times New Roman"/>
          <w:color w:val="333333"/>
          <w:sz w:val="32"/>
          <w:szCs w:val="32"/>
        </w:rPr>
        <w:t>。</w:t>
      </w:r>
      <w:r>
        <w:rPr>
          <w:rFonts w:hint="default" w:ascii="Times New Roman" w:hAnsi="Times New Roman" w:eastAsia="仿宋_GB2312" w:cs="Times New Roman"/>
          <w:bCs/>
        </w:rPr>
        <w:t>本部门“三公”经费在</w:t>
      </w:r>
      <w:bookmarkStart w:id="0" w:name="_GoBack"/>
      <w:bookmarkEnd w:id="0"/>
      <w:r>
        <w:rPr>
          <w:rFonts w:hint="default" w:ascii="Times New Roman" w:hAnsi="Times New Roman" w:eastAsia="仿宋_GB2312" w:cs="Times New Roman"/>
          <w:bCs/>
        </w:rPr>
        <w:t>上年基础上保持一致，车辆保有量</w:t>
      </w:r>
      <w:r>
        <w:rPr>
          <w:rFonts w:hint="default" w:ascii="Times New Roman" w:hAnsi="Times New Roman" w:eastAsia="仿宋_GB2312" w:cs="Times New Roman"/>
          <w:bCs/>
          <w:lang w:val="en-US" w:eastAsia="zh-CN"/>
        </w:rPr>
        <w:t>5</w:t>
      </w:r>
      <w:r>
        <w:rPr>
          <w:rFonts w:hint="default" w:ascii="Times New Roman" w:hAnsi="Times New Roman" w:eastAsia="仿宋_GB2312" w:cs="Times New Roman"/>
          <w:bCs/>
        </w:rPr>
        <w:t>辆</w:t>
      </w:r>
      <w:r>
        <w:rPr>
          <w:rFonts w:hint="default" w:ascii="Times New Roman" w:hAnsi="Times New Roman" w:eastAsia="仿宋_GB2312" w:cs="Times New Roman"/>
          <w:bCs/>
          <w:lang w:eastAsia="zh-CN"/>
        </w:rPr>
        <w:t>，较上年无变化</w:t>
      </w:r>
      <w:r>
        <w:rPr>
          <w:rFonts w:hint="default" w:ascii="Times New Roman" w:hAnsi="Times New Roman" w:eastAsia="仿宋_GB2312" w:cs="Times New Roman"/>
          <w:bCs/>
        </w:rPr>
        <w:t>。</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333333"/>
          <w:sz w:val="32"/>
          <w:szCs w:val="32"/>
        </w:rPr>
        <w:t>机关运行经费情况说明。</w:t>
      </w:r>
      <w:r>
        <w:rPr>
          <w:rFonts w:hint="default" w:ascii="Times New Roman" w:hAnsi="Times New Roman" w:eastAsia="方正仿宋_GBK" w:cs="Times New Roman"/>
          <w:kern w:val="0"/>
          <w:sz w:val="32"/>
          <w:szCs w:val="32"/>
        </w:rPr>
        <w:t>2020年度本</w:t>
      </w:r>
      <w:r>
        <w:rPr>
          <w:rFonts w:hint="default" w:ascii="Times New Roman" w:hAnsi="Times New Roman" w:cs="Times New Roman"/>
          <w:kern w:val="0"/>
          <w:sz w:val="32"/>
          <w:szCs w:val="32"/>
          <w:lang w:eastAsia="zh-CN"/>
        </w:rPr>
        <w:t>部门</w:t>
      </w:r>
      <w:r>
        <w:rPr>
          <w:rFonts w:hint="default" w:ascii="Times New Roman" w:hAnsi="Times New Roman" w:eastAsia="方正仿宋_GBK" w:cs="Times New Roman"/>
          <w:kern w:val="0"/>
          <w:sz w:val="32"/>
          <w:szCs w:val="32"/>
        </w:rPr>
        <w:t>机关运行经费支出</w:t>
      </w:r>
      <w:r>
        <w:rPr>
          <w:rFonts w:hint="default" w:ascii="Times New Roman" w:hAnsi="Times New Roman" w:cs="Times New Roman"/>
          <w:kern w:val="0"/>
          <w:sz w:val="32"/>
          <w:szCs w:val="32"/>
          <w:lang w:val="en-US" w:eastAsia="zh-CN"/>
        </w:rPr>
        <w:t>410.21</w:t>
      </w:r>
      <w:r>
        <w:rPr>
          <w:rFonts w:hint="default" w:ascii="Times New Roman" w:hAnsi="Times New Roman" w:eastAsia="方正仿宋_GBK" w:cs="Times New Roman"/>
          <w:kern w:val="0"/>
          <w:sz w:val="32"/>
          <w:szCs w:val="32"/>
        </w:rPr>
        <w:t>万元，比2019年度</w:t>
      </w:r>
      <w:r>
        <w:rPr>
          <w:rFonts w:hint="eastAsia" w:ascii="Times New Roman" w:hAnsi="Times New Roman" w:cs="Times New Roman"/>
          <w:kern w:val="0"/>
          <w:sz w:val="32"/>
          <w:szCs w:val="32"/>
          <w:lang w:eastAsia="zh-CN"/>
        </w:rPr>
        <w:t>减少</w:t>
      </w:r>
      <w:r>
        <w:rPr>
          <w:rFonts w:hint="default" w:ascii="Times New Roman" w:hAnsi="Times New Roman" w:cs="Times New Roman"/>
          <w:kern w:val="0"/>
          <w:sz w:val="32"/>
          <w:szCs w:val="32"/>
          <w:lang w:val="en-US" w:eastAsia="zh-CN"/>
        </w:rPr>
        <w:t>0.07</w:t>
      </w:r>
      <w:r>
        <w:rPr>
          <w:rFonts w:hint="default" w:ascii="Times New Roman" w:hAnsi="Times New Roman" w:eastAsia="方正仿宋_GBK" w:cs="Times New Roman"/>
          <w:kern w:val="0"/>
          <w:sz w:val="32"/>
          <w:szCs w:val="32"/>
        </w:rPr>
        <w:t>万元，下降</w:t>
      </w:r>
      <w:r>
        <w:rPr>
          <w:rFonts w:hint="default" w:ascii="Times New Roman" w:hAnsi="Times New Roman" w:cs="Times New Roman"/>
          <w:kern w:val="0"/>
          <w:sz w:val="32"/>
          <w:szCs w:val="32"/>
          <w:lang w:val="en-US" w:eastAsia="zh-CN"/>
        </w:rPr>
        <w:t>0.02</w:t>
      </w:r>
      <w:r>
        <w:rPr>
          <w:rFonts w:hint="default" w:ascii="Times New Roman" w:hAnsi="Times New Roman" w:eastAsia="方正仿宋_GBK" w:cs="Times New Roman"/>
          <w:kern w:val="0"/>
          <w:sz w:val="32"/>
          <w:szCs w:val="32"/>
        </w:rPr>
        <w:t>%，主要原因是</w:t>
      </w:r>
      <w:r>
        <w:rPr>
          <w:rFonts w:hint="eastAsia" w:cs="Times New Roman"/>
          <w:kern w:val="0"/>
          <w:sz w:val="32"/>
          <w:szCs w:val="32"/>
          <w:lang w:eastAsia="zh-CN"/>
        </w:rPr>
        <w:t>响应</w:t>
      </w:r>
      <w:r>
        <w:rPr>
          <w:rFonts w:hint="default" w:ascii="Times New Roman" w:hAnsi="Times New Roman" w:cs="Times New Roman"/>
          <w:kern w:val="0"/>
          <w:sz w:val="32"/>
          <w:szCs w:val="32"/>
          <w:lang w:eastAsia="zh-CN"/>
        </w:rPr>
        <w:t>号召，节省开支。</w:t>
      </w:r>
      <w:r>
        <w:rPr>
          <w:rFonts w:hint="default" w:ascii="Times New Roman" w:hAnsi="Times New Roman" w:eastAsia="方正仿宋_GBK" w:cs="Times New Roman"/>
          <w:kern w:val="0"/>
          <w:sz w:val="32"/>
          <w:szCs w:val="32"/>
        </w:rPr>
        <w:t>机关运行经费主要用于</w:t>
      </w:r>
      <w:r>
        <w:rPr>
          <w:rFonts w:hint="default" w:ascii="Times New Roman" w:hAnsi="Times New Roman" w:cs="Times New Roman"/>
          <w:kern w:val="0"/>
          <w:sz w:val="32"/>
          <w:szCs w:val="32"/>
          <w:lang w:eastAsia="zh-CN"/>
        </w:rPr>
        <w:t>办公费、会议费、培训费以及维修费等</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本年度会议费支出</w:t>
      </w:r>
      <w:r>
        <w:rPr>
          <w:rFonts w:hint="default" w:ascii="Times New Roman" w:hAnsi="Times New Roman" w:cs="Times New Roman"/>
          <w:kern w:val="0"/>
          <w:sz w:val="32"/>
          <w:szCs w:val="32"/>
          <w:lang w:val="en-US" w:eastAsia="zh-CN"/>
        </w:rPr>
        <w:t>8.5</w:t>
      </w:r>
      <w:r>
        <w:rPr>
          <w:rFonts w:hint="default" w:ascii="Times New Roman" w:hAnsi="Times New Roman" w:eastAsia="方正仿宋_GBK" w:cs="Times New Roman"/>
          <w:kern w:val="0"/>
          <w:sz w:val="32"/>
          <w:szCs w:val="32"/>
        </w:rPr>
        <w:t>万元，较上年决算数增加</w:t>
      </w:r>
      <w:r>
        <w:rPr>
          <w:rFonts w:hint="default" w:ascii="Times New Roman" w:hAnsi="Times New Roman" w:cs="Times New Roman"/>
          <w:kern w:val="0"/>
          <w:sz w:val="32"/>
          <w:szCs w:val="32"/>
          <w:lang w:val="en-US" w:eastAsia="zh-CN"/>
        </w:rPr>
        <w:t>2.5</w:t>
      </w:r>
      <w:r>
        <w:rPr>
          <w:rFonts w:hint="default" w:ascii="Times New Roman" w:hAnsi="Times New Roman" w:eastAsia="方正仿宋_GBK" w:cs="Times New Roman"/>
          <w:kern w:val="0"/>
          <w:sz w:val="32"/>
          <w:szCs w:val="32"/>
        </w:rPr>
        <w:t>万元，增长</w:t>
      </w:r>
      <w:r>
        <w:rPr>
          <w:rFonts w:hint="default" w:ascii="Times New Roman" w:hAnsi="Times New Roman" w:cs="Times New Roman"/>
          <w:kern w:val="0"/>
          <w:sz w:val="32"/>
          <w:szCs w:val="32"/>
          <w:lang w:val="en-US" w:eastAsia="zh-CN"/>
        </w:rPr>
        <w:t>41.7</w:t>
      </w:r>
      <w:r>
        <w:rPr>
          <w:rFonts w:hint="default" w:ascii="Times New Roman" w:hAnsi="Times New Roman" w:eastAsia="方正仿宋_GBK" w:cs="Times New Roman"/>
          <w:kern w:val="0"/>
          <w:sz w:val="32"/>
          <w:szCs w:val="32"/>
        </w:rPr>
        <w:t>%，主要原因</w:t>
      </w:r>
      <w:r>
        <w:rPr>
          <w:rFonts w:hint="default" w:ascii="Times New Roman" w:hAnsi="Times New Roman" w:cs="Times New Roman"/>
          <w:kern w:val="0"/>
          <w:sz w:val="32"/>
          <w:szCs w:val="32"/>
          <w:lang w:eastAsia="zh-CN"/>
        </w:rPr>
        <w:t>是因突发疫情</w:t>
      </w:r>
      <w:r>
        <w:rPr>
          <w:rFonts w:hint="eastAsia" w:ascii="Times New Roman" w:hAnsi="Times New Roman" w:cs="Times New Roman"/>
          <w:kern w:val="0"/>
          <w:sz w:val="32"/>
          <w:szCs w:val="32"/>
          <w:lang w:eastAsia="zh-CN"/>
        </w:rPr>
        <w:t>、脱贫攻坚</w:t>
      </w:r>
      <w:r>
        <w:rPr>
          <w:rFonts w:hint="default" w:ascii="Times New Roman" w:hAnsi="Times New Roman" w:cs="Times New Roman"/>
          <w:kern w:val="0"/>
          <w:sz w:val="32"/>
          <w:szCs w:val="32"/>
          <w:lang w:eastAsia="zh-CN"/>
        </w:rPr>
        <w:t>，为更好防控疫情</w:t>
      </w:r>
      <w:r>
        <w:rPr>
          <w:rFonts w:hint="eastAsia" w:ascii="Times New Roman" w:hAnsi="Times New Roman" w:cs="Times New Roman"/>
          <w:kern w:val="0"/>
          <w:sz w:val="32"/>
          <w:szCs w:val="32"/>
          <w:lang w:eastAsia="zh-CN"/>
        </w:rPr>
        <w:t>及打赢脱贫攻坚战</w:t>
      </w:r>
      <w:r>
        <w:rPr>
          <w:rFonts w:hint="default" w:ascii="Times New Roman" w:hAnsi="Times New Roman" w:cs="Times New Roman"/>
          <w:kern w:val="0"/>
          <w:sz w:val="32"/>
          <w:szCs w:val="32"/>
          <w:lang w:eastAsia="zh-CN"/>
        </w:rPr>
        <w:t>，增加</w:t>
      </w:r>
      <w:r>
        <w:rPr>
          <w:rFonts w:hint="eastAsia" w:ascii="Times New Roman" w:hAnsi="Times New Roman" w:cs="Times New Roman"/>
          <w:kern w:val="0"/>
          <w:sz w:val="32"/>
          <w:szCs w:val="32"/>
          <w:lang w:eastAsia="zh-CN"/>
        </w:rPr>
        <w:t>了</w:t>
      </w:r>
      <w:r>
        <w:rPr>
          <w:rFonts w:hint="default" w:ascii="Times New Roman" w:hAnsi="Times New Roman" w:cs="Times New Roman"/>
          <w:kern w:val="0"/>
          <w:sz w:val="32"/>
          <w:szCs w:val="32"/>
          <w:lang w:eastAsia="zh-CN"/>
        </w:rPr>
        <w:t>会议次数，导致村组干部会议交通等费用增加。</w:t>
      </w:r>
      <w:r>
        <w:rPr>
          <w:rFonts w:hint="default" w:ascii="Times New Roman" w:hAnsi="Times New Roman" w:eastAsia="方正仿宋_GBK" w:cs="Times New Roman"/>
          <w:kern w:val="0"/>
          <w:sz w:val="32"/>
          <w:szCs w:val="32"/>
        </w:rPr>
        <w:t>本年度培训费支出</w:t>
      </w:r>
      <w:r>
        <w:rPr>
          <w:rFonts w:hint="default" w:ascii="Times New Roman" w:hAnsi="Times New Roman" w:cs="Times New Roman"/>
          <w:kern w:val="0"/>
          <w:sz w:val="32"/>
          <w:szCs w:val="32"/>
          <w:lang w:val="en-US" w:eastAsia="zh-CN"/>
        </w:rPr>
        <w:t>5.72</w:t>
      </w:r>
      <w:r>
        <w:rPr>
          <w:rFonts w:hint="default" w:ascii="Times New Roman" w:hAnsi="Times New Roman" w:eastAsia="方正仿宋_GBK" w:cs="Times New Roman"/>
          <w:kern w:val="0"/>
          <w:sz w:val="32"/>
          <w:szCs w:val="32"/>
        </w:rPr>
        <w:t>万元，较上年决算数增加</w:t>
      </w:r>
      <w:r>
        <w:rPr>
          <w:rFonts w:hint="default" w:ascii="Times New Roman" w:hAnsi="Times New Roman" w:cs="Times New Roman"/>
          <w:kern w:val="0"/>
          <w:sz w:val="32"/>
          <w:szCs w:val="32"/>
          <w:lang w:val="en-US" w:eastAsia="zh-CN"/>
        </w:rPr>
        <w:t>0.42</w:t>
      </w:r>
      <w:r>
        <w:rPr>
          <w:rFonts w:hint="default" w:ascii="Times New Roman" w:hAnsi="Times New Roman" w:eastAsia="方正仿宋_GBK" w:cs="Times New Roman"/>
          <w:kern w:val="0"/>
          <w:sz w:val="32"/>
          <w:szCs w:val="32"/>
        </w:rPr>
        <w:t>万元，增长</w:t>
      </w:r>
      <w:r>
        <w:rPr>
          <w:rFonts w:hint="default" w:ascii="Times New Roman" w:hAnsi="Times New Roman" w:cs="Times New Roman"/>
          <w:kern w:val="0"/>
          <w:sz w:val="32"/>
          <w:szCs w:val="32"/>
          <w:lang w:val="en-US" w:eastAsia="zh-CN"/>
        </w:rPr>
        <w:t>7.9</w:t>
      </w:r>
      <w:r>
        <w:rPr>
          <w:rFonts w:hint="default" w:ascii="Times New Roman" w:hAnsi="Times New Roman" w:eastAsia="方正仿宋_GBK" w:cs="Times New Roman"/>
          <w:kern w:val="0"/>
          <w:sz w:val="32"/>
          <w:szCs w:val="32"/>
        </w:rPr>
        <w:t>%，主要原因是</w:t>
      </w:r>
      <w:r>
        <w:rPr>
          <w:rFonts w:hint="eastAsia" w:ascii="Times New Roman" w:hAnsi="Times New Roman" w:cs="Times New Roman"/>
          <w:kern w:val="0"/>
          <w:sz w:val="32"/>
          <w:szCs w:val="32"/>
          <w:lang w:eastAsia="zh-CN"/>
        </w:rPr>
        <w:t>增加</w:t>
      </w:r>
      <w:r>
        <w:rPr>
          <w:rFonts w:hint="default" w:ascii="Times New Roman" w:hAnsi="Times New Roman" w:cs="Times New Roman"/>
          <w:kern w:val="0"/>
          <w:sz w:val="32"/>
          <w:szCs w:val="32"/>
          <w:lang w:eastAsia="zh-CN"/>
        </w:rPr>
        <w:t>挂职培训费等</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五、预算绩效管理情况说明</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（一）预算绩效管理工作开展情况</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根据预算绩效管理要求，我单位对</w:t>
      </w:r>
      <w:r>
        <w:rPr>
          <w:rFonts w:hint="default" w:ascii="Times New Roman" w:hAnsi="Times New Roman" w:cs="Times New Roman"/>
          <w:kern w:val="0"/>
          <w:sz w:val="32"/>
          <w:szCs w:val="32"/>
          <w:lang w:val="en-US" w:eastAsia="zh-CN"/>
        </w:rPr>
        <w:t>2</w:t>
      </w:r>
      <w:r>
        <w:rPr>
          <w:rFonts w:hint="default" w:ascii="Times New Roman" w:hAnsi="Times New Roman" w:eastAsia="方正仿宋_GBK" w:cs="Times New Roman"/>
          <w:kern w:val="0"/>
          <w:sz w:val="32"/>
          <w:szCs w:val="32"/>
        </w:rPr>
        <w:t>个项目开展了绩效自评，其中，以填报</w:t>
      </w:r>
      <w:r>
        <w:rPr>
          <w:rFonts w:hint="default" w:ascii="Times New Roman" w:hAnsi="Times New Roman" w:eastAsia="方正仿宋_GBK" w:cs="Times New Roman"/>
          <w:kern w:val="0"/>
          <w:sz w:val="32"/>
          <w:szCs w:val="32"/>
          <w:lang w:val="en-US" w:eastAsia="zh-CN"/>
        </w:rPr>
        <w:t>绩效</w:t>
      </w:r>
      <w:r>
        <w:rPr>
          <w:rFonts w:hint="default" w:ascii="Times New Roman" w:hAnsi="Times New Roman" w:eastAsia="方正仿宋_GBK" w:cs="Times New Roman"/>
          <w:kern w:val="0"/>
          <w:sz w:val="32"/>
          <w:szCs w:val="32"/>
        </w:rPr>
        <w:t>自评表形式开展自评</w:t>
      </w:r>
      <w:r>
        <w:rPr>
          <w:rFonts w:hint="default" w:ascii="Times New Roman" w:hAnsi="Times New Roman" w:cs="Times New Roman"/>
          <w:kern w:val="0"/>
          <w:sz w:val="32"/>
          <w:szCs w:val="32"/>
          <w:lang w:val="en-US" w:eastAsia="zh-CN"/>
        </w:rPr>
        <w:t>1</w:t>
      </w:r>
      <w:r>
        <w:rPr>
          <w:rFonts w:hint="default" w:ascii="Times New Roman" w:hAnsi="Times New Roman" w:eastAsia="方正仿宋_GBK" w:cs="Times New Roman"/>
          <w:kern w:val="0"/>
          <w:sz w:val="32"/>
          <w:szCs w:val="32"/>
        </w:rPr>
        <w:t>项，涉及资金</w:t>
      </w:r>
      <w:r>
        <w:rPr>
          <w:rFonts w:hint="default" w:ascii="Times New Roman" w:hAnsi="Times New Roman" w:cs="Times New Roman"/>
          <w:kern w:val="0"/>
          <w:sz w:val="32"/>
          <w:szCs w:val="32"/>
          <w:lang w:val="en-US" w:eastAsia="zh-CN"/>
        </w:rPr>
        <w:t>1675</w:t>
      </w:r>
      <w:r>
        <w:rPr>
          <w:rFonts w:hint="default" w:ascii="Times New Roman" w:hAnsi="Times New Roman" w:eastAsia="方正仿宋_GBK" w:cs="Times New Roman"/>
          <w:kern w:val="0"/>
          <w:sz w:val="32"/>
          <w:szCs w:val="32"/>
        </w:rPr>
        <w:t>万元。</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w:t>
      </w:r>
      <w:r>
        <w:rPr>
          <w:rFonts w:hint="eastAsia" w:eastAsia="方正楷体_GBK" w:cs="Times New Roman"/>
          <w:color w:val="333333"/>
          <w:sz w:val="32"/>
          <w:szCs w:val="32"/>
          <w:lang w:eastAsia="zh-CN"/>
        </w:rPr>
        <w:t>二</w:t>
      </w:r>
      <w:r>
        <w:rPr>
          <w:rFonts w:hint="default" w:ascii="Times New Roman" w:hAnsi="Times New Roman" w:eastAsia="方正楷体_GBK" w:cs="Times New Roman"/>
          <w:color w:val="333333"/>
          <w:sz w:val="32"/>
          <w:szCs w:val="32"/>
        </w:rPr>
        <w:t>）绩效自评结果</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一般性</w:t>
      </w:r>
      <w:r>
        <w:rPr>
          <w:rFonts w:hint="default" w:ascii="Times New Roman" w:hAnsi="Times New Roman" w:eastAsia="方正仿宋_GBK" w:cs="Times New Roman"/>
          <w:kern w:val="0"/>
          <w:sz w:val="32"/>
          <w:szCs w:val="32"/>
        </w:rPr>
        <w:t>项目绩效自评表如下：</w:t>
      </w:r>
    </w:p>
    <w:tbl>
      <w:tblPr>
        <w:tblStyle w:val="6"/>
        <w:tblpPr w:leftFromText="180" w:rightFromText="180" w:vertAnchor="text" w:horzAnchor="page" w:tblpX="1287" w:tblpY="591"/>
        <w:tblOverlap w:val="never"/>
        <w:tblW w:w="9531" w:type="dxa"/>
        <w:tblInd w:w="0" w:type="dxa"/>
        <w:tblLayout w:type="fixed"/>
        <w:tblCellMar>
          <w:top w:w="0" w:type="dxa"/>
          <w:left w:w="108" w:type="dxa"/>
          <w:bottom w:w="0" w:type="dxa"/>
          <w:right w:w="108" w:type="dxa"/>
        </w:tblCellMar>
      </w:tblPr>
      <w:tblGrid>
        <w:gridCol w:w="853"/>
        <w:gridCol w:w="853"/>
        <w:gridCol w:w="587"/>
        <w:gridCol w:w="587"/>
        <w:gridCol w:w="1302"/>
        <w:gridCol w:w="1104"/>
        <w:gridCol w:w="885"/>
        <w:gridCol w:w="1120"/>
        <w:gridCol w:w="1120"/>
        <w:gridCol w:w="1120"/>
      </w:tblGrid>
      <w:tr>
        <w:tblPrEx>
          <w:tblCellMar>
            <w:top w:w="0" w:type="dxa"/>
            <w:left w:w="108" w:type="dxa"/>
            <w:bottom w:w="0" w:type="dxa"/>
            <w:right w:w="108" w:type="dxa"/>
          </w:tblCellMar>
        </w:tblPrEx>
        <w:trPr>
          <w:trHeight w:val="601" w:hRule="atLeast"/>
        </w:trPr>
        <w:tc>
          <w:tcPr>
            <w:tcW w:w="9531"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lang w:val="en-US" w:eastAsia="zh-CN"/>
              </w:rPr>
              <w:t>一般性</w:t>
            </w:r>
            <w:r>
              <w:rPr>
                <w:rFonts w:hint="default" w:ascii="Times New Roman" w:hAnsi="Times New Roman" w:eastAsia="方正小标宋_GBK" w:cs="Times New Roman"/>
                <w:color w:val="000000"/>
                <w:kern w:val="0"/>
                <w:sz w:val="36"/>
                <w:szCs w:val="36"/>
              </w:rPr>
              <w:t>项目绩效</w:t>
            </w:r>
            <w:r>
              <w:rPr>
                <w:rFonts w:hint="default" w:ascii="Times New Roman" w:hAnsi="Times New Roman" w:eastAsia="方正小标宋_GBK" w:cs="Times New Roman"/>
                <w:color w:val="000000"/>
                <w:kern w:val="0"/>
                <w:sz w:val="36"/>
                <w:szCs w:val="36"/>
                <w:lang w:eastAsia="zh-CN"/>
              </w:rPr>
              <w:t>评价</w:t>
            </w:r>
            <w:r>
              <w:rPr>
                <w:rFonts w:hint="default" w:ascii="Times New Roman" w:hAnsi="Times New Roman" w:eastAsia="方正小标宋_GBK" w:cs="Times New Roman"/>
                <w:color w:val="000000"/>
                <w:kern w:val="0"/>
                <w:sz w:val="36"/>
                <w:szCs w:val="36"/>
              </w:rPr>
              <w:t>表</w:t>
            </w:r>
          </w:p>
        </w:tc>
      </w:tr>
      <w:tr>
        <w:tblPrEx>
          <w:tblCellMar>
            <w:top w:w="0" w:type="dxa"/>
            <w:left w:w="108" w:type="dxa"/>
            <w:bottom w:w="0" w:type="dxa"/>
            <w:right w:w="108" w:type="dxa"/>
          </w:tblCellMar>
        </w:tblPrEx>
        <w:trPr>
          <w:trHeight w:val="601"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项目名称</w:t>
            </w:r>
          </w:p>
        </w:tc>
        <w:tc>
          <w:tcPr>
            <w:tcW w:w="332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cs="Times New Roman"/>
                <w:color w:val="000000"/>
                <w:kern w:val="0"/>
                <w:sz w:val="18"/>
                <w:szCs w:val="18"/>
                <w:lang w:eastAsia="zh-CN"/>
              </w:rPr>
              <w:t>万州高峰镇</w:t>
            </w:r>
            <w:r>
              <w:rPr>
                <w:rFonts w:hint="default" w:ascii="Times New Roman" w:hAnsi="Times New Roman" w:eastAsia="方正仿宋_GBK" w:cs="Times New Roman"/>
                <w:color w:val="000000"/>
                <w:kern w:val="0"/>
                <w:sz w:val="18"/>
                <w:szCs w:val="18"/>
                <w:lang w:eastAsia="zh-CN"/>
              </w:rPr>
              <w:t>朝阳等</w:t>
            </w:r>
            <w:r>
              <w:rPr>
                <w:rFonts w:hint="default" w:ascii="Times New Roman" w:hAnsi="Times New Roman" w:eastAsia="方正仿宋_GBK" w:cs="Times New Roman"/>
                <w:color w:val="000000"/>
                <w:kern w:val="0"/>
                <w:sz w:val="18"/>
                <w:szCs w:val="18"/>
                <w:lang w:val="en-US" w:eastAsia="zh-CN"/>
              </w:rPr>
              <w:t>2个村精准帮扶项目</w:t>
            </w:r>
          </w:p>
        </w:tc>
        <w:tc>
          <w:tcPr>
            <w:tcW w:w="11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实施单位</w:t>
            </w:r>
          </w:p>
        </w:tc>
        <w:tc>
          <w:tcPr>
            <w:tcW w:w="424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cs="Times New Roman"/>
                <w:color w:val="000000"/>
                <w:kern w:val="0"/>
                <w:sz w:val="18"/>
                <w:szCs w:val="18"/>
                <w:lang w:eastAsia="zh-CN"/>
              </w:rPr>
              <w:t>重庆市远程路桥有限公司</w:t>
            </w:r>
          </w:p>
        </w:tc>
      </w:tr>
      <w:tr>
        <w:tblPrEx>
          <w:tblCellMar>
            <w:top w:w="0" w:type="dxa"/>
            <w:left w:w="108" w:type="dxa"/>
            <w:bottom w:w="0" w:type="dxa"/>
            <w:right w:w="108" w:type="dxa"/>
          </w:tblCellMar>
        </w:tblPrEx>
        <w:trPr>
          <w:trHeight w:val="601" w:hRule="atLeast"/>
        </w:trPr>
        <w:tc>
          <w:tcPr>
            <w:tcW w:w="8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主管部门</w:t>
            </w:r>
          </w:p>
        </w:tc>
        <w:tc>
          <w:tcPr>
            <w:tcW w:w="14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水利局</w:t>
            </w:r>
          </w:p>
        </w:tc>
        <w:tc>
          <w:tcPr>
            <w:tcW w:w="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自评总分</w:t>
            </w:r>
          </w:p>
        </w:tc>
        <w:tc>
          <w:tcPr>
            <w:tcW w:w="13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rPr>
              <w:t>100</w:t>
            </w:r>
            <w:r>
              <w:rPr>
                <w:rFonts w:hint="default" w:ascii="Times New Roman" w:hAnsi="Times New Roman" w:eastAsia="方正仿宋_GBK" w:cs="Times New Roman"/>
                <w:color w:val="000000"/>
                <w:kern w:val="0"/>
                <w:sz w:val="18"/>
                <w:szCs w:val="18"/>
              </w:rPr>
              <w:t>　</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联系人</w:t>
            </w:r>
          </w:p>
        </w:tc>
        <w:tc>
          <w:tcPr>
            <w:tcW w:w="8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val="en-US" w:eastAsia="zh-CN"/>
              </w:rPr>
              <w:t>刘彭忠</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联系电话</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18996636328</w:t>
            </w:r>
          </w:p>
        </w:tc>
      </w:tr>
      <w:tr>
        <w:tblPrEx>
          <w:tblCellMar>
            <w:top w:w="0" w:type="dxa"/>
            <w:left w:w="108" w:type="dxa"/>
            <w:bottom w:w="0" w:type="dxa"/>
            <w:right w:w="108" w:type="dxa"/>
          </w:tblCellMar>
        </w:tblPrEx>
        <w:trPr>
          <w:trHeight w:val="601" w:hRule="atLeast"/>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项目资金（万元）</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年初预算数</w:t>
            </w:r>
          </w:p>
        </w:tc>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全年（调整）预算数</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其中：财政资金</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实际完成额</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其中：财政资金</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资金</w:t>
            </w:r>
            <w:r>
              <w:rPr>
                <w:rFonts w:hint="default" w:ascii="Times New Roman" w:hAnsi="Times New Roman" w:eastAsia="方正仿宋_GBK" w:cs="Times New Roman"/>
                <w:color w:val="000000"/>
                <w:kern w:val="0"/>
                <w:sz w:val="18"/>
                <w:szCs w:val="18"/>
              </w:rPr>
              <w:t>执行率</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执行率得分</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（分）</w:t>
            </w:r>
          </w:p>
        </w:tc>
      </w:tr>
      <w:tr>
        <w:tblPrEx>
          <w:tblCellMar>
            <w:top w:w="0" w:type="dxa"/>
            <w:left w:w="108" w:type="dxa"/>
            <w:bottom w:w="0" w:type="dxa"/>
            <w:right w:w="108" w:type="dxa"/>
          </w:tblCellMar>
        </w:tblPrEx>
        <w:trPr>
          <w:trHeight w:val="601" w:hRule="atLeast"/>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1675</w:t>
            </w:r>
          </w:p>
        </w:tc>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1675</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1675</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cs="Times New Roman"/>
                <w:color w:val="000000"/>
                <w:kern w:val="0"/>
                <w:sz w:val="18"/>
                <w:szCs w:val="18"/>
                <w:lang w:val="en-US" w:eastAsia="zh-CN"/>
              </w:rPr>
              <w:t>1675</w:t>
            </w:r>
            <w:r>
              <w:rPr>
                <w:rFonts w:hint="default" w:ascii="Times New Roman" w:hAnsi="Times New Roman" w:eastAsia="方正仿宋_GBK" w:cs="Times New Roman"/>
                <w:color w:val="000000"/>
                <w:kern w:val="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rPr>
            </w:pPr>
            <w:r>
              <w:rPr>
                <w:rFonts w:hint="default" w:ascii="Times New Roman" w:hAnsi="Times New Roman" w:cs="Times New Roman"/>
                <w:color w:val="000000"/>
                <w:kern w:val="0"/>
                <w:sz w:val="18"/>
                <w:szCs w:val="18"/>
                <w:lang w:val="en-US" w:eastAsia="zh-CN"/>
              </w:rPr>
              <w:t>1675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color w:val="000000"/>
                <w:kern w:val="0"/>
                <w:sz w:val="18"/>
                <w:szCs w:val="18"/>
                <w:lang w:val="en-US" w:eastAsia="zh-CN"/>
              </w:rPr>
              <w:t>100%</w:t>
            </w:r>
            <w:r>
              <w:rPr>
                <w:rFonts w:hint="default" w:ascii="Times New Roman" w:hAnsi="Times New Roman" w:eastAsia="方正仿宋_GBK" w:cs="Times New Roman"/>
                <w:kern w:val="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　</w:t>
            </w:r>
            <w:r>
              <w:rPr>
                <w:rFonts w:hint="default" w:ascii="Times New Roman" w:hAnsi="Times New Roman" w:eastAsia="方正仿宋_GBK" w:cs="Times New Roman"/>
                <w:color w:val="000000"/>
                <w:kern w:val="0"/>
                <w:sz w:val="18"/>
                <w:szCs w:val="18"/>
                <w:lang w:val="en-US" w:eastAsia="zh-CN"/>
              </w:rPr>
              <w:t>100</w:t>
            </w:r>
          </w:p>
        </w:tc>
      </w:tr>
      <w:tr>
        <w:tblPrEx>
          <w:tblCellMar>
            <w:top w:w="0" w:type="dxa"/>
            <w:left w:w="108" w:type="dxa"/>
            <w:bottom w:w="0" w:type="dxa"/>
            <w:right w:w="108" w:type="dxa"/>
          </w:tblCellMar>
        </w:tblPrEx>
        <w:trPr>
          <w:trHeight w:val="826" w:hRule="atLeast"/>
        </w:trPr>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当年绩效目标</w:t>
            </w:r>
          </w:p>
        </w:tc>
        <w:tc>
          <w:tcPr>
            <w:tcW w:w="202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年初绩效目标</w:t>
            </w:r>
          </w:p>
        </w:tc>
        <w:tc>
          <w:tcPr>
            <w:tcW w:w="329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全年（调整）绩效目标</w:t>
            </w:r>
          </w:p>
        </w:tc>
        <w:tc>
          <w:tcPr>
            <w:tcW w:w="336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全年目标实际完成情况</w:t>
            </w:r>
          </w:p>
        </w:tc>
      </w:tr>
      <w:tr>
        <w:tblPrEx>
          <w:tblCellMar>
            <w:top w:w="0" w:type="dxa"/>
            <w:left w:w="108" w:type="dxa"/>
            <w:bottom w:w="0" w:type="dxa"/>
            <w:right w:w="108" w:type="dxa"/>
          </w:tblCellMar>
        </w:tblPrEx>
        <w:trPr>
          <w:trHeight w:val="1352" w:hRule="atLeast"/>
        </w:trPr>
        <w:tc>
          <w:tcPr>
            <w:tcW w:w="8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202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eastAsia="zh-CN"/>
              </w:rPr>
              <w:t>完成</w:t>
            </w:r>
            <w:r>
              <w:rPr>
                <w:rFonts w:hint="default" w:ascii="Times New Roman" w:hAnsi="Times New Roman" w:cs="Times New Roman"/>
                <w:color w:val="000000"/>
                <w:kern w:val="0"/>
                <w:sz w:val="18"/>
                <w:szCs w:val="18"/>
                <w:lang w:eastAsia="zh-CN"/>
              </w:rPr>
              <w:t>高峰镇</w:t>
            </w:r>
            <w:r>
              <w:rPr>
                <w:rFonts w:hint="default" w:ascii="Times New Roman" w:hAnsi="Times New Roman" w:eastAsia="方正仿宋_GBK" w:cs="Times New Roman"/>
                <w:color w:val="000000"/>
                <w:kern w:val="0"/>
                <w:sz w:val="18"/>
                <w:szCs w:val="18"/>
                <w:lang w:eastAsia="zh-CN"/>
              </w:rPr>
              <w:t>朝阳等</w:t>
            </w:r>
            <w:r>
              <w:rPr>
                <w:rFonts w:hint="default" w:ascii="Times New Roman" w:hAnsi="Times New Roman" w:eastAsia="方正仿宋_GBK" w:cs="Times New Roman"/>
                <w:color w:val="000000"/>
                <w:kern w:val="0"/>
                <w:sz w:val="18"/>
                <w:szCs w:val="18"/>
                <w:lang w:val="en-US" w:eastAsia="zh-CN"/>
              </w:rPr>
              <w:t>2个村精准帮扶项目</w:t>
            </w:r>
            <w:r>
              <w:rPr>
                <w:rFonts w:hint="default" w:ascii="Times New Roman" w:hAnsi="Times New Roman" w:eastAsia="方正仿宋_GBK" w:cs="Times New Roman"/>
                <w:color w:val="000000"/>
                <w:kern w:val="0"/>
                <w:sz w:val="18"/>
                <w:szCs w:val="18"/>
                <w:lang w:eastAsia="zh-CN"/>
              </w:rPr>
              <w:t>手册编制</w:t>
            </w:r>
          </w:p>
        </w:tc>
        <w:tc>
          <w:tcPr>
            <w:tcW w:w="329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完成</w:t>
            </w:r>
            <w:r>
              <w:rPr>
                <w:rFonts w:hint="default" w:ascii="Times New Roman" w:hAnsi="Times New Roman" w:cs="Times New Roman"/>
                <w:color w:val="000000"/>
                <w:kern w:val="0"/>
                <w:sz w:val="18"/>
                <w:szCs w:val="18"/>
                <w:lang w:eastAsia="zh-CN"/>
              </w:rPr>
              <w:t>高峰镇</w:t>
            </w:r>
            <w:r>
              <w:rPr>
                <w:rFonts w:hint="default" w:ascii="Times New Roman" w:hAnsi="Times New Roman" w:eastAsia="方正仿宋_GBK" w:cs="Times New Roman"/>
                <w:color w:val="000000"/>
                <w:kern w:val="0"/>
                <w:sz w:val="18"/>
                <w:szCs w:val="18"/>
                <w:lang w:eastAsia="zh-CN"/>
              </w:rPr>
              <w:t>朝阳等</w:t>
            </w:r>
            <w:r>
              <w:rPr>
                <w:rFonts w:hint="default" w:ascii="Times New Roman" w:hAnsi="Times New Roman" w:eastAsia="方正仿宋_GBK" w:cs="Times New Roman"/>
                <w:color w:val="000000"/>
                <w:kern w:val="0"/>
                <w:sz w:val="18"/>
                <w:szCs w:val="18"/>
                <w:lang w:val="en-US" w:eastAsia="zh-CN"/>
              </w:rPr>
              <w:t>2个村精准帮扶项目</w:t>
            </w:r>
            <w:r>
              <w:rPr>
                <w:rFonts w:hint="default" w:ascii="Times New Roman" w:hAnsi="Times New Roman" w:eastAsia="方正仿宋_GBK" w:cs="Times New Roman"/>
                <w:color w:val="000000"/>
                <w:kern w:val="0"/>
                <w:sz w:val="18"/>
                <w:szCs w:val="18"/>
                <w:lang w:eastAsia="zh-CN"/>
              </w:rPr>
              <w:t>手册编制</w:t>
            </w:r>
          </w:p>
        </w:tc>
        <w:tc>
          <w:tcPr>
            <w:tcW w:w="336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已完成</w:t>
            </w: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1000" w:hRule="atLeast"/>
        </w:trPr>
        <w:tc>
          <w:tcPr>
            <w:tcW w:w="853" w:type="dxa"/>
            <w:vMerge w:val="restart"/>
            <w:tcBorders>
              <w:top w:val="nil"/>
              <w:left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指标评价体系</w:t>
            </w:r>
          </w:p>
        </w:tc>
        <w:tc>
          <w:tcPr>
            <w:tcW w:w="853"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一级指标</w:t>
            </w:r>
          </w:p>
        </w:tc>
        <w:tc>
          <w:tcPr>
            <w:tcW w:w="117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分值</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p>
        </w:tc>
        <w:tc>
          <w:tcPr>
            <w:tcW w:w="13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二级指标</w:t>
            </w: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分值</w:t>
            </w:r>
          </w:p>
        </w:tc>
        <w:tc>
          <w:tcPr>
            <w:tcW w:w="8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指标</w:t>
            </w:r>
            <w:r>
              <w:rPr>
                <w:rFonts w:hint="default" w:ascii="Times New Roman" w:hAnsi="Times New Roman" w:eastAsia="方正仿宋_GBK" w:cs="Times New Roman"/>
                <w:color w:val="000000"/>
                <w:kern w:val="0"/>
                <w:sz w:val="18"/>
                <w:szCs w:val="18"/>
                <w:lang w:eastAsia="zh-CN"/>
              </w:rPr>
              <w:t>解释</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得分</w:t>
            </w:r>
          </w:p>
        </w:tc>
        <w:tc>
          <w:tcPr>
            <w:tcW w:w="22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评分说明</w:t>
            </w:r>
          </w:p>
        </w:tc>
      </w:tr>
      <w:tr>
        <w:tblPrEx>
          <w:tblCellMar>
            <w:top w:w="0" w:type="dxa"/>
            <w:left w:w="108" w:type="dxa"/>
            <w:bottom w:w="0" w:type="dxa"/>
            <w:right w:w="108" w:type="dxa"/>
          </w:tblCellMar>
        </w:tblPrEx>
        <w:trPr>
          <w:trHeight w:val="1073" w:hRule="atLeast"/>
        </w:trPr>
        <w:tc>
          <w:tcPr>
            <w:tcW w:w="8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vMerge w:val="restart"/>
            <w:tcBorders>
              <w:top w:val="nil"/>
              <w:left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投入</w:t>
            </w:r>
          </w:p>
        </w:tc>
        <w:tc>
          <w:tcPr>
            <w:tcW w:w="1174" w:type="dxa"/>
            <w:gridSpan w:val="2"/>
            <w:vMerge w:val="restart"/>
            <w:tcBorders>
              <w:top w:val="nil"/>
              <w:left w:val="single" w:color="auto" w:sz="4" w:space="0"/>
              <w:right w:val="nil"/>
            </w:tcBorders>
            <w:noWrap w:val="0"/>
            <w:vAlign w:val="center"/>
          </w:tcPr>
          <w:p>
            <w:pPr>
              <w:keepNext w:val="0"/>
              <w:keepLines w:val="0"/>
              <w:pageBreakBefore w:val="0"/>
              <w:widowControl/>
              <w:tabs>
                <w:tab w:val="left" w:pos="408"/>
              </w:tabs>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eastAsia="zh-CN"/>
              </w:rPr>
              <w:tab/>
            </w:r>
            <w:r>
              <w:rPr>
                <w:rFonts w:hint="default" w:ascii="Times New Roman" w:hAnsi="Times New Roman" w:eastAsia="方正仿宋_GBK" w:cs="Times New Roman"/>
                <w:color w:val="000000"/>
                <w:kern w:val="0"/>
                <w:sz w:val="18"/>
                <w:szCs w:val="18"/>
                <w:lang w:val="en-US" w:eastAsia="zh-CN"/>
              </w:rPr>
              <w:t>10</w:t>
            </w:r>
          </w:p>
        </w:tc>
        <w:tc>
          <w:tcPr>
            <w:tcW w:w="1302" w:type="dxa"/>
            <w:tcBorders>
              <w:top w:val="nil"/>
              <w:left w:val="single" w:color="auto" w:sz="4" w:space="0"/>
              <w:bottom w:val="single" w:color="auto" w:sz="4" w:space="0"/>
              <w:right w:val="nil"/>
            </w:tcBorders>
            <w:noWrap w:val="0"/>
            <w:vAlign w:val="center"/>
          </w:tcPr>
          <w:p>
            <w:pPr>
              <w:keepNext w:val="0"/>
              <w:keepLines w:val="0"/>
              <w:pageBreakBefore w:val="0"/>
              <w:widowControl/>
              <w:tabs>
                <w:tab w:val="left" w:pos="472"/>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项目立项</w:t>
            </w:r>
          </w:p>
        </w:tc>
        <w:tc>
          <w:tcPr>
            <w:tcW w:w="11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5</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1120" w:type="dxa"/>
            <w:vMerge w:val="restart"/>
            <w:tcBorders>
              <w:top w:val="nil"/>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10</w:t>
            </w:r>
          </w:p>
        </w:tc>
        <w:tc>
          <w:tcPr>
            <w:tcW w:w="2240" w:type="dxa"/>
            <w:gridSpan w:val="2"/>
            <w:vMerge w:val="restart"/>
            <w:tcBorders>
              <w:top w:val="nil"/>
              <w:left w:val="single" w:color="auto" w:sz="4" w:space="0"/>
              <w:right w:val="single" w:color="auto" w:sz="4" w:space="0"/>
            </w:tcBorders>
            <w:noWrap w:val="0"/>
            <w:vAlign w:val="center"/>
          </w:tcPr>
          <w:p>
            <w:pPr>
              <w:keepNext w:val="0"/>
              <w:keepLines w:val="0"/>
              <w:pageBreakBefore w:val="0"/>
              <w:widowControl/>
              <w:tabs>
                <w:tab w:val="left" w:pos="416"/>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及时开展该项目。资金</w:t>
            </w:r>
            <w:r>
              <w:rPr>
                <w:rFonts w:hint="default" w:ascii="Times New Roman" w:hAnsi="Times New Roman" w:eastAsia="方正仿宋_GBK" w:cs="Times New Roman"/>
                <w:color w:val="000000"/>
                <w:kern w:val="0"/>
                <w:sz w:val="18"/>
                <w:szCs w:val="18"/>
                <w:lang w:val="en-US" w:eastAsia="zh-CN"/>
              </w:rPr>
              <w:t>100%到位，到位率100%。</w:t>
            </w:r>
          </w:p>
        </w:tc>
      </w:tr>
      <w:tr>
        <w:tblPrEx>
          <w:tblCellMar>
            <w:top w:w="0" w:type="dxa"/>
            <w:left w:w="108" w:type="dxa"/>
            <w:bottom w:w="0" w:type="dxa"/>
            <w:right w:w="108" w:type="dxa"/>
          </w:tblCellMar>
        </w:tblPrEx>
        <w:trPr>
          <w:trHeight w:val="890" w:hRule="atLeast"/>
        </w:trPr>
        <w:tc>
          <w:tcPr>
            <w:tcW w:w="8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p>
        </w:tc>
        <w:tc>
          <w:tcPr>
            <w:tcW w:w="1174" w:type="dxa"/>
            <w:gridSpan w:val="2"/>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p>
        </w:tc>
        <w:tc>
          <w:tcPr>
            <w:tcW w:w="130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资金落实</w:t>
            </w:r>
          </w:p>
        </w:tc>
        <w:tc>
          <w:tcPr>
            <w:tcW w:w="11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5</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1120" w:type="dxa"/>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224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16"/>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r>
      <w:tr>
        <w:tblPrEx>
          <w:tblCellMar>
            <w:top w:w="0" w:type="dxa"/>
            <w:left w:w="108" w:type="dxa"/>
            <w:bottom w:w="0" w:type="dxa"/>
            <w:right w:w="108" w:type="dxa"/>
          </w:tblCellMar>
        </w:tblPrEx>
        <w:trPr>
          <w:trHeight w:val="724" w:hRule="atLeast"/>
        </w:trPr>
        <w:tc>
          <w:tcPr>
            <w:tcW w:w="8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vMerge w:val="restart"/>
            <w:tcBorders>
              <w:top w:val="nil"/>
              <w:left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过程</w:t>
            </w:r>
          </w:p>
        </w:tc>
        <w:tc>
          <w:tcPr>
            <w:tcW w:w="1174" w:type="dxa"/>
            <w:gridSpan w:val="2"/>
            <w:vMerge w:val="restart"/>
            <w:tcBorders>
              <w:top w:val="nil"/>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30</w:t>
            </w:r>
          </w:p>
        </w:tc>
        <w:tc>
          <w:tcPr>
            <w:tcW w:w="130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业务管理</w:t>
            </w:r>
          </w:p>
        </w:tc>
        <w:tc>
          <w:tcPr>
            <w:tcW w:w="11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15</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p>
        </w:tc>
        <w:tc>
          <w:tcPr>
            <w:tcW w:w="1120" w:type="dxa"/>
            <w:vMerge w:val="restart"/>
            <w:tcBorders>
              <w:top w:val="nil"/>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30</w:t>
            </w:r>
          </w:p>
        </w:tc>
        <w:tc>
          <w:tcPr>
            <w:tcW w:w="2240" w:type="dxa"/>
            <w:gridSpan w:val="2"/>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rPr>
              <w:t>该项目实施单位制度健全、执行有力、项目质量可控、资金使用合理合格、财务监管有效。</w:t>
            </w:r>
          </w:p>
        </w:tc>
      </w:tr>
      <w:tr>
        <w:tblPrEx>
          <w:tblCellMar>
            <w:top w:w="0" w:type="dxa"/>
            <w:left w:w="108" w:type="dxa"/>
            <w:bottom w:w="0" w:type="dxa"/>
            <w:right w:w="108" w:type="dxa"/>
          </w:tblCellMar>
        </w:tblPrEx>
        <w:trPr>
          <w:trHeight w:val="747" w:hRule="atLeast"/>
        </w:trPr>
        <w:tc>
          <w:tcPr>
            <w:tcW w:w="8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p>
        </w:tc>
        <w:tc>
          <w:tcPr>
            <w:tcW w:w="1174" w:type="dxa"/>
            <w:gridSpan w:val="2"/>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p>
        </w:tc>
        <w:tc>
          <w:tcPr>
            <w:tcW w:w="130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财务管理</w:t>
            </w:r>
          </w:p>
        </w:tc>
        <w:tc>
          <w:tcPr>
            <w:tcW w:w="11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15</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1120" w:type="dxa"/>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224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r>
      <w:tr>
        <w:tblPrEx>
          <w:tblCellMar>
            <w:top w:w="0" w:type="dxa"/>
            <w:left w:w="108" w:type="dxa"/>
            <w:bottom w:w="0" w:type="dxa"/>
            <w:right w:w="108" w:type="dxa"/>
          </w:tblCellMar>
        </w:tblPrEx>
        <w:trPr>
          <w:trHeight w:val="1111" w:hRule="atLeast"/>
        </w:trPr>
        <w:tc>
          <w:tcPr>
            <w:tcW w:w="85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产出</w:t>
            </w:r>
          </w:p>
        </w:tc>
        <w:tc>
          <w:tcPr>
            <w:tcW w:w="1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30</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项目产出</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30</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p>
        </w:tc>
        <w:tc>
          <w:tcPr>
            <w:tcW w:w="11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30</w:t>
            </w:r>
          </w:p>
        </w:tc>
        <w:tc>
          <w:tcPr>
            <w:tcW w:w="2240"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rPr>
              <w:t>该项目完成了约定内容，完成及时，质量达标，且未超出计划成本。</w:t>
            </w:r>
          </w:p>
        </w:tc>
      </w:tr>
      <w:tr>
        <w:tblPrEx>
          <w:tblCellMar>
            <w:top w:w="0" w:type="dxa"/>
            <w:left w:w="108" w:type="dxa"/>
            <w:bottom w:w="0" w:type="dxa"/>
            <w:right w:w="108" w:type="dxa"/>
          </w:tblCellMar>
        </w:tblPrEx>
        <w:trPr>
          <w:trHeight w:val="1402" w:hRule="atLeast"/>
        </w:trPr>
        <w:tc>
          <w:tcPr>
            <w:tcW w:w="85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rPr>
            </w:pPr>
          </w:p>
        </w:tc>
        <w:tc>
          <w:tcPr>
            <w:tcW w:w="853"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eastAsia="zh-CN"/>
              </w:rPr>
              <w:t>效果</w:t>
            </w:r>
          </w:p>
        </w:tc>
        <w:tc>
          <w:tcPr>
            <w:tcW w:w="1174"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30</w:t>
            </w:r>
          </w:p>
        </w:tc>
        <w:tc>
          <w:tcPr>
            <w:tcW w:w="130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tabs>
                <w:tab w:val="left" w:pos="347"/>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lang w:eastAsia="zh-CN"/>
              </w:rPr>
              <w:t>项目效益</w:t>
            </w:r>
          </w:p>
        </w:tc>
        <w:tc>
          <w:tcPr>
            <w:tcW w:w="1104"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rPr>
            </w:pPr>
            <w:r>
              <w:rPr>
                <w:rFonts w:hint="default" w:ascii="Times New Roman" w:hAnsi="Times New Roman" w:eastAsia="方正仿宋_GBK" w:cs="Times New Roman"/>
                <w:color w:val="000000"/>
                <w:kern w:val="0"/>
                <w:sz w:val="18"/>
                <w:szCs w:val="18"/>
                <w:lang w:val="en-US" w:eastAsia="zh-CN"/>
              </w:rPr>
              <w:t>30</w:t>
            </w:r>
          </w:p>
        </w:tc>
        <w:tc>
          <w:tcPr>
            <w:tcW w:w="88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rPr>
              <w:t>该项目</w:t>
            </w:r>
            <w:r>
              <w:rPr>
                <w:rFonts w:hint="default" w:ascii="Times New Roman" w:hAnsi="Times New Roman" w:cs="Times New Roman"/>
                <w:color w:val="000000"/>
                <w:kern w:val="0"/>
                <w:sz w:val="18"/>
                <w:szCs w:val="18"/>
                <w:lang w:val="en-US" w:eastAsia="zh-CN"/>
              </w:rPr>
              <w:t>方便了朝阳等2个村人员出行</w:t>
            </w:r>
            <w:r>
              <w:rPr>
                <w:rFonts w:hint="default" w:ascii="Times New Roman" w:hAnsi="Times New Roman" w:eastAsia="方正仿宋_GBK" w:cs="Times New Roman"/>
                <w:color w:val="000000"/>
                <w:kern w:val="0"/>
                <w:sz w:val="18"/>
                <w:szCs w:val="18"/>
                <w:lang w:val="en-US" w:eastAsia="zh-CN"/>
              </w:rPr>
              <w:t>，</w:t>
            </w:r>
            <w:r>
              <w:rPr>
                <w:rFonts w:hint="default" w:ascii="Times New Roman" w:hAnsi="Times New Roman" w:cs="Times New Roman"/>
                <w:color w:val="000000"/>
                <w:kern w:val="0"/>
                <w:sz w:val="18"/>
                <w:szCs w:val="18"/>
                <w:lang w:val="en-US" w:eastAsia="zh-CN"/>
              </w:rPr>
              <w:t>对于朝阳乡村旅游项目发展客观，</w:t>
            </w:r>
            <w:r>
              <w:rPr>
                <w:rFonts w:hint="default" w:ascii="Times New Roman" w:hAnsi="Times New Roman" w:eastAsia="方正仿宋_GBK" w:cs="Times New Roman"/>
                <w:color w:val="000000"/>
                <w:kern w:val="0"/>
                <w:sz w:val="18"/>
                <w:szCs w:val="18"/>
                <w:lang w:val="en-US" w:eastAsia="zh-CN"/>
              </w:rPr>
              <w:t>可持续</w:t>
            </w:r>
            <w:r>
              <w:rPr>
                <w:rFonts w:hint="default" w:ascii="Times New Roman" w:hAnsi="Times New Roman" w:cs="Times New Roman"/>
                <w:color w:val="000000"/>
                <w:kern w:val="0"/>
                <w:sz w:val="18"/>
                <w:szCs w:val="18"/>
                <w:lang w:val="en-US" w:eastAsia="zh-CN"/>
              </w:rPr>
              <w:t>发展</w:t>
            </w:r>
            <w:r>
              <w:rPr>
                <w:rFonts w:hint="default" w:ascii="Times New Roman" w:hAnsi="Times New Roman" w:eastAsia="方正仿宋_GBK" w:cs="Times New Roman"/>
                <w:color w:val="000000"/>
                <w:kern w:val="0"/>
                <w:sz w:val="18"/>
                <w:szCs w:val="18"/>
                <w:lang w:val="en-US" w:eastAsia="zh-CN"/>
              </w:rPr>
              <w:t>影响效果显著。</w:t>
            </w:r>
          </w:p>
        </w:tc>
      </w:tr>
      <w:tr>
        <w:tblPrEx>
          <w:tblCellMar>
            <w:top w:w="0" w:type="dxa"/>
            <w:left w:w="108" w:type="dxa"/>
            <w:bottom w:w="0" w:type="dxa"/>
            <w:right w:w="108" w:type="dxa"/>
          </w:tblCellMar>
        </w:tblPrEx>
        <w:trPr>
          <w:trHeight w:val="755"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说明</w:t>
            </w:r>
          </w:p>
        </w:tc>
        <w:tc>
          <w:tcPr>
            <w:tcW w:w="867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000000"/>
                <w:kern w:val="0"/>
                <w:sz w:val="18"/>
                <w:szCs w:val="18"/>
                <w:lang w:val="en-US" w:eastAsia="zh-CN"/>
              </w:rPr>
            </w:pPr>
          </w:p>
        </w:tc>
      </w:tr>
    </w:tbl>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val="en-US" w:eastAsia="zh-CN"/>
        </w:rPr>
        <w:t>（一）财政拨款收入</w:t>
      </w:r>
      <w:r>
        <w:rPr>
          <w:rFonts w:hint="default" w:ascii="Times New Roman" w:hAnsi="Times New Roman" w:eastAsia="方正仿宋_GBK" w:cs="Times New Roman"/>
          <w:sz w:val="32"/>
          <w:szCs w:val="32"/>
          <w:lang w:val="en-US" w:eastAsia="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lang w:val="en-US" w:eastAsia="zh-CN"/>
        </w:rPr>
        <w:t>指事业单位开展专业业务活动及其辅助活动取得的收入；事业单位收到的财政专户实际核拨的教育收费等资金在此反映。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lang w:val="en-US" w:eastAsia="zh-CN"/>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（五）用事业基金弥补收支差额：</w:t>
      </w:r>
      <w:r>
        <w:rPr>
          <w:rFonts w:hint="default" w:ascii="Times New Roman" w:hAnsi="Times New Roman" w:eastAsia="方正仿宋_GBK" w:cs="Times New Roman"/>
          <w:sz w:val="32"/>
          <w:szCs w:val="32"/>
          <w:lang w:val="en-US" w:eastAsia="zh-CN"/>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lang w:val="en-US" w:eastAsia="zh-CN"/>
        </w:rPr>
        <w:t>指单位上年结转本年使用的基本支出结转、项目支出结转和结余、经营结余。不包括事业单位净资产项下的事业基金和专用基金。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lang w:val="en-US" w:eastAsia="zh-CN"/>
        </w:rPr>
        <w:t xml:space="preserve">指单位当年结余的分配情况。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lang w:val="en-US" w:eastAsia="zh-CN"/>
        </w:rPr>
        <w:t>指单位结转下年的基本支出结转、项目支出结转和结余、经营结余。不包括事业单位净资产项下的事业基金和专用基金。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lang w:val="en-US" w:eastAsia="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（十一）“三公”经费：</w:t>
      </w:r>
      <w:r>
        <w:rPr>
          <w:rFonts w:hint="default" w:ascii="Times New Roman" w:hAnsi="Times New Roman" w:eastAsia="方正仿宋_GBK" w:cs="Times New Roman"/>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（十二）机关运行经费：</w:t>
      </w:r>
      <w:r>
        <w:rPr>
          <w:rFonts w:hint="default" w:ascii="Times New Roman" w:hAnsi="Times New Roman" w:eastAsia="方正仿宋_GBK" w:cs="Times New Roman"/>
          <w:sz w:val="32"/>
          <w:szCs w:val="3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（十三）工资福利支出（支出经济分类科目类级）：</w:t>
      </w:r>
      <w:r>
        <w:rPr>
          <w:rFonts w:hint="default" w:ascii="Times New Roman" w:hAnsi="Times New Roman" w:eastAsia="方正仿宋_GBK" w:cs="Times New Roman"/>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（十四）商品和服务支出（支出经济分类科目类级）：</w:t>
      </w:r>
      <w:r>
        <w:rPr>
          <w:rFonts w:hint="default" w:ascii="Times New Roman" w:hAnsi="Times New Roman" w:eastAsia="方正仿宋_GBK" w:cs="Times New Roman"/>
          <w:sz w:val="32"/>
          <w:szCs w:val="32"/>
          <w:lang w:val="en-US" w:eastAsia="zh-CN"/>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（十五）对个人和家庭的补助（支出经济分类科目类级）：</w:t>
      </w:r>
      <w:r>
        <w:rPr>
          <w:rFonts w:hint="default" w:ascii="Times New Roman" w:hAnsi="Times New Roman" w:eastAsia="方正仿宋_GBK" w:cs="Times New Roman"/>
          <w:sz w:val="32"/>
          <w:szCs w:val="32"/>
          <w:lang w:val="en-US" w:eastAsia="zh-CN"/>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（十六）其他资本性支出（支出经济分类科目类级）：</w:t>
      </w:r>
      <w:r>
        <w:rPr>
          <w:rFonts w:hint="default" w:ascii="Times New Roman" w:hAnsi="Times New Roman" w:eastAsia="方正仿宋_GBK" w:cs="Times New Roman"/>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本单位决算公开信息反馈和联系方式：023-</w:t>
      </w:r>
      <w:r>
        <w:rPr>
          <w:rFonts w:hint="default" w:ascii="Times New Roman" w:hAnsi="Times New Roman" w:cs="Times New Roman"/>
          <w:sz w:val="32"/>
          <w:szCs w:val="32"/>
          <w:lang w:val="en-US" w:eastAsia="zh-CN"/>
        </w:rPr>
        <w:t>58852678。</w:t>
      </w:r>
    </w:p>
    <w:p>
      <w:pPr>
        <w:pStyle w:val="1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000D3"/>
    <w:multiLevelType w:val="singleLevel"/>
    <w:tmpl w:val="436000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2356CFC"/>
    <w:rsid w:val="026D3363"/>
    <w:rsid w:val="03483378"/>
    <w:rsid w:val="056A3836"/>
    <w:rsid w:val="05826A24"/>
    <w:rsid w:val="06EB5AFF"/>
    <w:rsid w:val="095D70C8"/>
    <w:rsid w:val="09A447EA"/>
    <w:rsid w:val="0A387B45"/>
    <w:rsid w:val="0A90650D"/>
    <w:rsid w:val="0B881444"/>
    <w:rsid w:val="0C3E06B9"/>
    <w:rsid w:val="0CE10BDD"/>
    <w:rsid w:val="0D7A2D6A"/>
    <w:rsid w:val="0D874F2A"/>
    <w:rsid w:val="0E462F36"/>
    <w:rsid w:val="0E7E6AD3"/>
    <w:rsid w:val="0E7F1753"/>
    <w:rsid w:val="108801DA"/>
    <w:rsid w:val="122C582A"/>
    <w:rsid w:val="126E157F"/>
    <w:rsid w:val="13A63113"/>
    <w:rsid w:val="153D3761"/>
    <w:rsid w:val="163F66AE"/>
    <w:rsid w:val="16756CD4"/>
    <w:rsid w:val="168926D3"/>
    <w:rsid w:val="17014E5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BBF06FD"/>
    <w:rsid w:val="2BC937CF"/>
    <w:rsid w:val="2C270A39"/>
    <w:rsid w:val="2C7129FC"/>
    <w:rsid w:val="2CB94EB2"/>
    <w:rsid w:val="2D2E2D7E"/>
    <w:rsid w:val="2D884658"/>
    <w:rsid w:val="2EF72772"/>
    <w:rsid w:val="3131446F"/>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3FA559B7"/>
    <w:rsid w:val="411314FB"/>
    <w:rsid w:val="41C856DD"/>
    <w:rsid w:val="430054D8"/>
    <w:rsid w:val="43892913"/>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506F3616"/>
    <w:rsid w:val="50D128AA"/>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B992DA7"/>
    <w:rsid w:val="5B9BF53B"/>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4492EB3"/>
    <w:rsid w:val="64794AE6"/>
    <w:rsid w:val="64C2339D"/>
    <w:rsid w:val="65534969"/>
    <w:rsid w:val="657633A5"/>
    <w:rsid w:val="66DA3C2B"/>
    <w:rsid w:val="67163CB8"/>
    <w:rsid w:val="688A6957"/>
    <w:rsid w:val="68A206D6"/>
    <w:rsid w:val="68EE6070"/>
    <w:rsid w:val="691A1FA9"/>
    <w:rsid w:val="69247AB6"/>
    <w:rsid w:val="69D814F3"/>
    <w:rsid w:val="69DA215E"/>
    <w:rsid w:val="69DA3F19"/>
    <w:rsid w:val="6B3A39D4"/>
    <w:rsid w:val="6B865E2E"/>
    <w:rsid w:val="6BAD4CEC"/>
    <w:rsid w:val="6DDA6878"/>
    <w:rsid w:val="6E6B0B15"/>
    <w:rsid w:val="6EC259AA"/>
    <w:rsid w:val="70085DA4"/>
    <w:rsid w:val="70760E92"/>
    <w:rsid w:val="71004A80"/>
    <w:rsid w:val="72065C93"/>
    <w:rsid w:val="755E52AA"/>
    <w:rsid w:val="75772B29"/>
    <w:rsid w:val="75BC7B77"/>
    <w:rsid w:val="771D5F27"/>
    <w:rsid w:val="776611C7"/>
    <w:rsid w:val="776A0DAA"/>
    <w:rsid w:val="778C0EA9"/>
    <w:rsid w:val="791A0FC5"/>
    <w:rsid w:val="79CE244C"/>
    <w:rsid w:val="79DF2FD0"/>
    <w:rsid w:val="7B341E31"/>
    <w:rsid w:val="7B4E5914"/>
    <w:rsid w:val="7B83471E"/>
    <w:rsid w:val="7C967920"/>
    <w:rsid w:val="7D8064B5"/>
    <w:rsid w:val="7E894654"/>
    <w:rsid w:val="7EFD1AD7"/>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sz w:val="30"/>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character" w:styleId="9">
    <w:name w:val="FollowedHyperlink"/>
    <w:basedOn w:val="7"/>
    <w:qFormat/>
    <w:uiPriority w:val="0"/>
    <w:rPr>
      <w:color w:val="136EC2"/>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136EC2"/>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styleId="17">
    <w:name w:val="List Paragraph"/>
    <w:basedOn w:val="1"/>
    <w:qFormat/>
    <w:uiPriority w:val="34"/>
    <w:pPr>
      <w:ind w:firstLine="420" w:firstLineChars="200"/>
    </w:p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01"/>
    <w:basedOn w:val="7"/>
    <w:qFormat/>
    <w:uiPriority w:val="0"/>
    <w:rPr>
      <w:rFonts w:hint="eastAsia" w:ascii="宋体" w:hAnsi="宋体" w:eastAsia="宋体" w:cs="宋体"/>
      <w:color w:val="FF0000"/>
      <w:sz w:val="20"/>
      <w:szCs w:val="20"/>
      <w:u w:val="none"/>
    </w:rPr>
  </w:style>
  <w:style w:type="character" w:customStyle="1" w:styleId="20">
    <w:name w:val="btn-auto-11"/>
    <w:basedOn w:val="7"/>
    <w:qFormat/>
    <w:uiPriority w:val="0"/>
  </w:style>
  <w:style w:type="character" w:customStyle="1" w:styleId="21">
    <w:name w:val="btn-task-gray1"/>
    <w:basedOn w:val="7"/>
    <w:qFormat/>
    <w:uiPriority w:val="0"/>
    <w:rPr>
      <w:color w:val="FFFFFF"/>
      <w:u w:val="none"/>
      <w:shd w:val="clear" w:fill="CCCCCC"/>
    </w:rPr>
  </w:style>
  <w:style w:type="character" w:customStyle="1" w:styleId="22">
    <w:name w:val="btn-task-gray2"/>
    <w:basedOn w:val="7"/>
    <w:qFormat/>
    <w:uiPriority w:val="0"/>
  </w:style>
  <w:style w:type="character" w:customStyle="1" w:styleId="23">
    <w:name w:val="s1"/>
    <w:basedOn w:val="7"/>
    <w:qFormat/>
    <w:uiPriority w:val="0"/>
    <w:rPr>
      <w:color w:val="DDDDDD"/>
      <w:sz w:val="18"/>
      <w:szCs w:val="18"/>
    </w:rPr>
  </w:style>
  <w:style w:type="character" w:customStyle="1" w:styleId="24">
    <w:name w:val="btn-task-gray"/>
    <w:basedOn w:val="7"/>
    <w:qFormat/>
    <w:uiPriority w:val="0"/>
  </w:style>
  <w:style w:type="character" w:customStyle="1" w:styleId="25">
    <w:name w:val="btn-task-gray3"/>
    <w:basedOn w:val="7"/>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2021-08-27T07:53:00Z</dcterms:created>
  <dc:creator>acer</dc:creator>
  <cp:lastModifiedBy>user</cp:lastModifiedBy>
  <cp:lastPrinted>2021-10-21T23:55:00Z</cp:lastPrinted>
  <dcterms:modified xsi:type="dcterms:W3CDTF">2024-12-24T14:53:18Z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