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C3E" w:rsidRDefault="00C47EFB">
      <w:pPr>
        <w:pStyle w:val="1"/>
        <w:snapToGrid w:val="0"/>
        <w:spacing w:before="0" w:after="0" w:line="60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重庆市万州区弹子镇农业服务中心</w:t>
      </w:r>
    </w:p>
    <w:p w:rsidR="00346C3E" w:rsidRDefault="00C47EFB">
      <w:pPr>
        <w:pStyle w:val="1"/>
        <w:snapToGrid w:val="0"/>
        <w:spacing w:before="0" w:after="0" w:line="600"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rPr>
        <w:t>2024年单位预算情况说明</w:t>
      </w:r>
    </w:p>
    <w:p w:rsidR="00346C3E" w:rsidRDefault="00346C3E">
      <w:pPr>
        <w:snapToGrid w:val="0"/>
        <w:spacing w:line="600" w:lineRule="exact"/>
        <w:ind w:firstLineChars="200" w:firstLine="640"/>
        <w:rPr>
          <w:rFonts w:eastAsia="方正黑体_GBK" w:cs="仿宋_GB2312"/>
          <w:sz w:val="32"/>
        </w:rPr>
      </w:pPr>
    </w:p>
    <w:p w:rsidR="00346C3E" w:rsidRDefault="00C47EFB">
      <w:pPr>
        <w:snapToGrid w:val="0"/>
        <w:spacing w:line="600" w:lineRule="exact"/>
        <w:ind w:firstLineChars="200" w:firstLine="640"/>
        <w:rPr>
          <w:rFonts w:eastAsia="方正黑体_GBK" w:cs="仿宋_GB2312"/>
          <w:sz w:val="32"/>
        </w:rPr>
      </w:pPr>
      <w:r>
        <w:rPr>
          <w:rFonts w:eastAsia="方正黑体_GBK" w:cs="仿宋_GB2312" w:hint="eastAsia"/>
          <w:sz w:val="32"/>
        </w:rPr>
        <w:t>一、单位基本情况</w:t>
      </w:r>
    </w:p>
    <w:p w:rsidR="00346C3E" w:rsidRDefault="00C47EFB">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346C3E" w:rsidRDefault="00C47EFB">
      <w:pPr>
        <w:snapToGrid w:val="0"/>
        <w:spacing w:line="600" w:lineRule="exact"/>
        <w:ind w:firstLineChars="200" w:firstLine="640"/>
        <w:rPr>
          <w:rFonts w:ascii="方正楷体_GBK" w:eastAsia="方正楷体_GBK" w:hAnsi="方正楷体_GBK" w:cs="方正楷体_GBK"/>
          <w:sz w:val="32"/>
        </w:rPr>
      </w:pPr>
      <w:r>
        <w:rPr>
          <w:rFonts w:eastAsia="方正仿宋_GBK" w:cs="仿宋_GB2312" w:hint="eastAsia"/>
          <w:sz w:val="32"/>
        </w:rPr>
        <w:t>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rsidR="00346C3E" w:rsidRDefault="00C47EFB">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346C3E" w:rsidRDefault="00C47EFB">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重庆市万州区弹子镇农业服务中心为重庆市万州区弹子镇人民政府下属事业单位，属公益一类事业单位，无下属单位。</w:t>
      </w:r>
    </w:p>
    <w:p w:rsidR="00346C3E" w:rsidRDefault="00C47EFB">
      <w:pPr>
        <w:snapToGrid w:val="0"/>
        <w:spacing w:line="600" w:lineRule="exact"/>
        <w:ind w:firstLineChars="200" w:firstLine="640"/>
        <w:rPr>
          <w:rFonts w:eastAsia="方正黑体_GBK" w:cs="仿宋_GB2312"/>
          <w:sz w:val="32"/>
        </w:rPr>
      </w:pPr>
      <w:r>
        <w:rPr>
          <w:rFonts w:eastAsia="方正黑体_GBK" w:cs="仿宋_GB2312" w:hint="eastAsia"/>
          <w:sz w:val="32"/>
        </w:rPr>
        <w:t>二、单位收支总体情况</w:t>
      </w:r>
    </w:p>
    <w:p w:rsidR="00346C3E" w:rsidRDefault="00C47EFB">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239.03</w:t>
      </w:r>
      <w:r>
        <w:rPr>
          <w:rFonts w:eastAsia="方正仿宋_GBK" w:cs="仿宋_GB2312" w:hint="eastAsia"/>
          <w:sz w:val="32"/>
        </w:rPr>
        <w:t>万元，其中：一般公共预算拨款</w:t>
      </w:r>
      <w:r>
        <w:rPr>
          <w:rFonts w:eastAsia="方正仿宋_GBK" w:cs="仿宋_GB2312"/>
          <w:sz w:val="32"/>
        </w:rPr>
        <w:t>239.03</w:t>
      </w:r>
      <w:r>
        <w:rPr>
          <w:rFonts w:eastAsia="方正仿宋_GBK" w:cs="仿宋_GB2312" w:hint="eastAsia"/>
          <w:sz w:val="32"/>
        </w:rPr>
        <w:t>万元，政府性基金预算拨款</w:t>
      </w:r>
      <w:r>
        <w:rPr>
          <w:rFonts w:eastAsia="方正仿宋_GBK" w:cs="仿宋_GB2312" w:hint="eastAsia"/>
          <w:sz w:val="32"/>
        </w:rPr>
        <w:t>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年不能作对比。</w:t>
      </w:r>
    </w:p>
    <w:p w:rsidR="00346C3E" w:rsidRDefault="00C47EFB">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239.03</w:t>
      </w:r>
      <w:r>
        <w:rPr>
          <w:rFonts w:eastAsia="方正仿宋_GBK" w:cs="仿宋_GB2312" w:hint="eastAsia"/>
          <w:sz w:val="32"/>
        </w:rPr>
        <w:t>万元，其中：</w:t>
      </w:r>
      <w:r>
        <w:rPr>
          <w:rFonts w:eastAsia="方正仿宋_GBK" w:cs="仿宋_GB2312" w:hint="eastAsia"/>
          <w:sz w:val="32"/>
        </w:rPr>
        <w:lastRenderedPageBreak/>
        <w:t>社会保障和就业支出预算</w:t>
      </w:r>
      <w:r>
        <w:rPr>
          <w:rFonts w:eastAsia="方正仿宋_GBK" w:cs="仿宋_GB2312"/>
          <w:sz w:val="32"/>
        </w:rPr>
        <w:t>55.07</w:t>
      </w:r>
      <w:r>
        <w:rPr>
          <w:rFonts w:eastAsia="方正仿宋_GBK" w:cs="仿宋_GB2312" w:hint="eastAsia"/>
          <w:sz w:val="32"/>
        </w:rPr>
        <w:t>万元，卫生健康支出预算</w:t>
      </w:r>
      <w:r>
        <w:rPr>
          <w:rFonts w:eastAsia="方正仿宋_GBK" w:cs="仿宋_GB2312"/>
          <w:sz w:val="32"/>
        </w:rPr>
        <w:t>14.81</w:t>
      </w:r>
      <w:r>
        <w:rPr>
          <w:rFonts w:eastAsia="方正仿宋_GBK" w:cs="仿宋_GB2312" w:hint="eastAsia"/>
          <w:sz w:val="32"/>
        </w:rPr>
        <w:t>万元，农林水支出预算</w:t>
      </w:r>
      <w:r>
        <w:rPr>
          <w:rFonts w:eastAsia="方正仿宋_GBK" w:cs="仿宋_GB2312"/>
          <w:sz w:val="32"/>
        </w:rPr>
        <w:t>159.09</w:t>
      </w:r>
      <w:r>
        <w:rPr>
          <w:rFonts w:eastAsia="方正仿宋_GBK" w:cs="仿宋_GB2312" w:hint="eastAsia"/>
          <w:sz w:val="32"/>
        </w:rPr>
        <w:t>万元，住房保障支出预算</w:t>
      </w:r>
      <w:r>
        <w:rPr>
          <w:rFonts w:eastAsia="方正仿宋_GBK" w:cs="仿宋_GB2312"/>
          <w:sz w:val="32"/>
        </w:rPr>
        <w:t>10.06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346C3E" w:rsidRDefault="00C47EFB">
      <w:pPr>
        <w:snapToGrid w:val="0"/>
        <w:spacing w:line="600" w:lineRule="exact"/>
        <w:ind w:firstLineChars="200" w:firstLine="640"/>
        <w:rPr>
          <w:rFonts w:eastAsia="方正仿宋_GBK" w:cs="仿宋_GB2312"/>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346C3E" w:rsidRDefault="00C47EFB">
      <w:pPr>
        <w:snapToGrid w:val="0"/>
        <w:spacing w:line="600" w:lineRule="exact"/>
        <w:ind w:firstLineChars="200" w:firstLine="640"/>
        <w:rPr>
          <w:rFonts w:eastAsia="方正仿宋_GBK" w:cs="仿宋_GB2312"/>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sz w:val="32"/>
        </w:rPr>
        <w:t>239.03</w:t>
      </w:r>
      <w:r>
        <w:rPr>
          <w:rFonts w:eastAsia="方正仿宋_GBK" w:cs="仿宋_GB2312" w:hint="eastAsia"/>
          <w:sz w:val="32"/>
        </w:rPr>
        <w:t>万元，一般公共预算财政拨款支出</w:t>
      </w:r>
      <w:r>
        <w:rPr>
          <w:rFonts w:eastAsia="方正仿宋_GBK" w:cs="仿宋_GB2312"/>
          <w:sz w:val="32"/>
        </w:rPr>
        <w:t>239.03</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239.03</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年不能作对比，主要用于保障单位在职人员工资福利及社会保险缴费，退休人员补助等，保障单位正常运转的各项商品服务支出；项目支出</w:t>
      </w:r>
      <w:r>
        <w:rPr>
          <w:rFonts w:eastAsia="方正仿宋_GBK" w:cs="仿宋_GB2312"/>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年不能作对比，主要用于技术推广、生产环节质量安全的日常巡查等重点工作。</w:t>
      </w:r>
    </w:p>
    <w:p w:rsidR="00346C3E" w:rsidRDefault="00C47EFB">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重庆市万州区弹子镇农业服务中心</w:t>
      </w:r>
      <w:r>
        <w:rPr>
          <w:rFonts w:eastAsia="方正仿宋_GBK" w:cs="仿宋_GB2312" w:hint="eastAsia"/>
          <w:sz w:val="32"/>
        </w:rPr>
        <w:t>2024</w:t>
      </w:r>
      <w:r>
        <w:rPr>
          <w:rFonts w:eastAsia="方正仿宋_GBK" w:cs="仿宋_GB2312" w:hint="eastAsia"/>
          <w:sz w:val="32"/>
        </w:rPr>
        <w:t>年无使用政府性基金预算拨款安排的支出。</w:t>
      </w:r>
    </w:p>
    <w:p w:rsidR="00346C3E" w:rsidRDefault="00C47EFB">
      <w:pPr>
        <w:snapToGrid w:val="0"/>
        <w:spacing w:line="600" w:lineRule="exact"/>
        <w:ind w:firstLineChars="200" w:firstLine="640"/>
        <w:rPr>
          <w:rFonts w:eastAsia="方正仿宋_GBK" w:cs="仿宋_GB2312"/>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346C3E" w:rsidRDefault="00C47EFB">
      <w:pPr>
        <w:snapToGrid w:val="0"/>
        <w:spacing w:line="600" w:lineRule="exact"/>
        <w:ind w:firstLine="600"/>
        <w:rPr>
          <w:rFonts w:eastAsia="方正仿宋_GBK" w:cs="仿宋_GB2312"/>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w:t>
      </w:r>
      <w:r>
        <w:rPr>
          <w:rFonts w:eastAsia="方正仿宋_GBK" w:cs="仿宋_GB2312" w:hint="eastAsia"/>
          <w:sz w:val="32"/>
        </w:rPr>
        <w:lastRenderedPageBreak/>
        <w:t>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年不能作对比；公务用车运行维护费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346C3E" w:rsidRDefault="00C47EFB">
      <w:pPr>
        <w:snapToGrid w:val="0"/>
        <w:spacing w:line="600" w:lineRule="exact"/>
        <w:ind w:firstLineChars="200" w:firstLine="640"/>
        <w:rPr>
          <w:rFonts w:eastAsia="方正黑体_GBK" w:cs="仿宋_GB2312"/>
          <w:sz w:val="32"/>
        </w:rPr>
      </w:pPr>
      <w:r>
        <w:rPr>
          <w:rFonts w:eastAsia="方正黑体_GBK" w:cs="仿宋_GB2312" w:hint="eastAsia"/>
          <w:sz w:val="32"/>
        </w:rPr>
        <w:t>五、其他重要事项的情况说明</w:t>
      </w:r>
    </w:p>
    <w:p w:rsidR="00346C3E" w:rsidRDefault="00C47EFB">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。我单位不在机关运行经费统计范围之内。</w:t>
      </w:r>
    </w:p>
    <w:p w:rsidR="00346C3E" w:rsidRDefault="00C47EFB">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346C3E" w:rsidRDefault="00C47EFB">
      <w:pPr>
        <w:snapToGrid w:val="0"/>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w:t>
      </w:r>
      <w:r>
        <w:rPr>
          <w:rFonts w:eastAsia="方正仿宋_GBK" w:cs="仿宋_GB2312" w:hint="eastAsia"/>
          <w:color w:val="000000"/>
          <w:sz w:val="32"/>
        </w:rPr>
        <w:lastRenderedPageBreak/>
        <w:t>标管理，涉及一般公共预算财政拨款</w:t>
      </w:r>
      <w:r>
        <w:rPr>
          <w:rFonts w:eastAsia="方正仿宋_GBK" w:cs="仿宋_GB2312"/>
          <w:color w:val="000000"/>
          <w:sz w:val="32"/>
        </w:rPr>
        <w:t>0</w:t>
      </w:r>
      <w:r>
        <w:rPr>
          <w:rFonts w:eastAsia="方正仿宋_GBK" w:cs="仿宋_GB2312" w:hint="eastAsia"/>
          <w:color w:val="000000"/>
          <w:sz w:val="32"/>
        </w:rPr>
        <w:t>万元。</w:t>
      </w:r>
    </w:p>
    <w:p w:rsidR="00346C3E" w:rsidRDefault="00C47EFB">
      <w:pPr>
        <w:snapToGrid w:val="0"/>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月，本单位共有车辆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346C3E" w:rsidRDefault="00C47EFB">
      <w:pPr>
        <w:snapToGrid w:val="0"/>
        <w:spacing w:line="600" w:lineRule="exact"/>
        <w:ind w:firstLineChars="200" w:firstLine="640"/>
        <w:rPr>
          <w:rFonts w:eastAsia="方正黑体_GBK" w:cs="仿宋_GB2312"/>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346C3E" w:rsidRDefault="00C47EFB">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。指本年度从本级财政部门取得的财政拨款，包括一般公共预算财政拨款和政府性基金预算财政拨款。</w:t>
      </w:r>
    </w:p>
    <w:p w:rsidR="00346C3E" w:rsidRDefault="00C47EFB">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346C3E" w:rsidRDefault="00C47EFB">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346C3E" w:rsidRDefault="00C47EFB">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346C3E" w:rsidRDefault="00C47EFB">
      <w:pPr>
        <w:snapToGrid w:val="0"/>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w:t>
      </w:r>
      <w:r>
        <w:rPr>
          <w:rFonts w:eastAsia="方正仿宋_GBK" w:hint="eastAsia"/>
          <w:sz w:val="32"/>
          <w:szCs w:val="32"/>
        </w:rPr>
        <w:lastRenderedPageBreak/>
        <w:t>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346C3E" w:rsidRDefault="00C47EFB">
      <w:pPr>
        <w:snapToGrid w:val="0"/>
        <w:spacing w:line="600" w:lineRule="exact"/>
        <w:ind w:firstLineChars="200" w:firstLine="643"/>
        <w:rPr>
          <w:rFonts w:eastAsia="方正仿宋_GBK" w:cs="仿宋_GB2312"/>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proofErr w:type="gramEnd"/>
    </w:p>
    <w:p w:rsidR="00346C3E" w:rsidRDefault="00C47EFB">
      <w:pPr>
        <w:snapToGrid w:val="0"/>
        <w:spacing w:line="600" w:lineRule="exact"/>
        <w:ind w:firstLineChars="200" w:firstLine="643"/>
        <w:rPr>
          <w:rFonts w:eastAsia="方正仿宋_GBK" w:cs="仿宋_GB2312"/>
          <w:b/>
          <w:sz w:val="32"/>
        </w:rPr>
      </w:pPr>
      <w:r>
        <w:rPr>
          <w:rFonts w:eastAsia="方正仿宋_GBK" w:cs="仿宋_GB2312" w:hint="eastAsia"/>
          <w:b/>
          <w:sz w:val="32"/>
        </w:rPr>
        <w:t>联系方式：</w:t>
      </w:r>
      <w:bookmarkStart w:id="0" w:name="_GoBack"/>
      <w:r w:rsidR="004C36AF">
        <w:rPr>
          <w:rFonts w:eastAsia="方正仿宋_GBK" w:cs="仿宋_GB2312"/>
          <w:b/>
          <w:sz w:val="32"/>
        </w:rPr>
        <w:t>023-58454082</w:t>
      </w:r>
      <w:bookmarkEnd w:id="0"/>
    </w:p>
    <w:sectPr w:rsidR="00346C3E">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A3" w:rsidRDefault="001306A3">
      <w:r>
        <w:separator/>
      </w:r>
    </w:p>
  </w:endnote>
  <w:endnote w:type="continuationSeparator" w:id="0">
    <w:p w:rsidR="001306A3" w:rsidRDefault="0013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3E" w:rsidRDefault="00C47EFB">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4C36AF">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3E" w:rsidRDefault="00C47EFB">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4C36AF">
      <w:rPr>
        <w:rFonts w:eastAsia="方正楷体_GBK"/>
        <w:noProof/>
        <w:kern w:val="0"/>
        <w:sz w:val="28"/>
      </w:rPr>
      <w:t>3</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A3" w:rsidRDefault="001306A3">
      <w:r>
        <w:separator/>
      </w:r>
    </w:p>
  </w:footnote>
  <w:footnote w:type="continuationSeparator" w:id="0">
    <w:p w:rsidR="001306A3" w:rsidRDefault="0013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306A3"/>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6C3E"/>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26C82"/>
    <w:rsid w:val="00430B72"/>
    <w:rsid w:val="00437D88"/>
    <w:rsid w:val="004417DC"/>
    <w:rsid w:val="00445520"/>
    <w:rsid w:val="00462595"/>
    <w:rsid w:val="004756B4"/>
    <w:rsid w:val="00481BAA"/>
    <w:rsid w:val="0049017F"/>
    <w:rsid w:val="00492FB3"/>
    <w:rsid w:val="00496C6A"/>
    <w:rsid w:val="004B1650"/>
    <w:rsid w:val="004C36AF"/>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47EFB"/>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25BC9"/>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8CC21E2"/>
    <w:rsid w:val="19D75DEA"/>
    <w:rsid w:val="1F0A1A24"/>
    <w:rsid w:val="1F2F4F07"/>
    <w:rsid w:val="20CA3B83"/>
    <w:rsid w:val="226A7D28"/>
    <w:rsid w:val="24C37CD9"/>
    <w:rsid w:val="3BC5739B"/>
    <w:rsid w:val="3BCB0DAA"/>
    <w:rsid w:val="42543C1B"/>
    <w:rsid w:val="48310C7F"/>
    <w:rsid w:val="52C57B1F"/>
    <w:rsid w:val="5B0A15FE"/>
    <w:rsid w:val="5FA06086"/>
    <w:rsid w:val="60AA1EFF"/>
    <w:rsid w:val="6A282807"/>
    <w:rsid w:val="76160881"/>
    <w:rsid w:val="76F921DD"/>
    <w:rsid w:val="79F23ED9"/>
    <w:rsid w:val="7DC477BF"/>
    <w:rsid w:val="7F8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7DD41-6DE1-4763-BA60-186133D7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TotalTime>
  <Pages>5</Pages>
  <Words>308</Words>
  <Characters>1762</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3</cp:revision>
  <cp:lastPrinted>2023-03-03T09:22:00Z</cp:lastPrinted>
  <dcterms:created xsi:type="dcterms:W3CDTF">2024-03-22T08:42:00Z</dcterms:created>
  <dcterms:modified xsi:type="dcterms:W3CDTF">2024-03-22T08:47:00Z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