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0000" w:rsidRDefault="009D4039">
      <w:pPr>
        <w:pStyle w:val="1"/>
        <w:snapToGrid w:val="0"/>
        <w:spacing w:before="0" w:after="0" w:line="600" w:lineRule="exact"/>
        <w:jc w:val="center"/>
        <w:rPr>
          <w:rFonts w:ascii="方正小标宋_GBK" w:eastAsia="方正小标宋_GBK" w:hAnsi="方正小标宋_GBK" w:cs="方正小标宋_GBK" w:hint="eastAsia"/>
          <w:b w:val="0"/>
          <w:bCs/>
        </w:rPr>
      </w:pPr>
      <w:r>
        <w:rPr>
          <w:rFonts w:ascii="方正小标宋_GBK" w:eastAsia="方正小标宋_GBK" w:hAnsi="方正小标宋_GBK" w:cs="方正小标宋_GBK" w:hint="eastAsia"/>
          <w:b w:val="0"/>
          <w:bCs/>
        </w:rPr>
        <w:t>重庆市万州区弹子</w:t>
      </w:r>
      <w:r>
        <w:rPr>
          <w:rFonts w:ascii="方正小标宋_GBK" w:eastAsia="方正小标宋_GBK" w:hAnsi="方正小标宋_GBK" w:cs="方正小标宋_GBK" w:hint="eastAsia"/>
          <w:b w:val="0"/>
          <w:bCs/>
        </w:rPr>
        <w:t>镇村镇建设环保服务中心</w:t>
      </w:r>
    </w:p>
    <w:p w:rsidR="00000000" w:rsidRDefault="009D4039">
      <w:pPr>
        <w:pStyle w:val="1"/>
        <w:snapToGrid w:val="0"/>
        <w:spacing w:before="0" w:after="0" w:line="600" w:lineRule="exact"/>
        <w:jc w:val="center"/>
        <w:rPr>
          <w:rFonts w:ascii="方正小标宋_GBK" w:eastAsia="方正小标宋_GBK" w:hAnsi="方正小标宋_GBK" w:cs="方正小标宋_GBK" w:hint="eastAsia"/>
          <w:b w:val="0"/>
          <w:bCs/>
          <w:szCs w:val="44"/>
        </w:rPr>
      </w:pPr>
      <w:r>
        <w:rPr>
          <w:rFonts w:ascii="方正小标宋_GBK" w:eastAsia="方正小标宋_GBK" w:hAnsi="方正小标宋_GBK" w:cs="方正小标宋_GBK" w:hint="eastAsia"/>
          <w:b w:val="0"/>
          <w:bCs/>
        </w:rPr>
        <w:t>2024</w:t>
      </w:r>
      <w:r>
        <w:rPr>
          <w:rFonts w:ascii="方正小标宋_GBK" w:eastAsia="方正小标宋_GBK" w:hAnsi="方正小标宋_GBK" w:cs="方正小标宋_GBK" w:hint="eastAsia"/>
          <w:b w:val="0"/>
          <w:bCs/>
        </w:rPr>
        <w:t>年单位预算情况说明</w:t>
      </w:r>
    </w:p>
    <w:p w:rsidR="00000000" w:rsidRDefault="009D4039">
      <w:pPr>
        <w:snapToGrid w:val="0"/>
        <w:spacing w:line="600" w:lineRule="exact"/>
        <w:ind w:firstLineChars="200" w:firstLine="640"/>
        <w:rPr>
          <w:rFonts w:eastAsia="方正黑体_GBK" w:cs="仿宋_GB2312" w:hint="eastAsia"/>
          <w:sz w:val="32"/>
        </w:rPr>
      </w:pPr>
    </w:p>
    <w:p w:rsidR="00000000" w:rsidRDefault="009D4039">
      <w:pPr>
        <w:snapToGrid w:val="0"/>
        <w:spacing w:line="600" w:lineRule="exact"/>
        <w:ind w:firstLineChars="200" w:firstLine="640"/>
        <w:rPr>
          <w:rFonts w:ascii="方正黑体_GBK" w:eastAsia="方正黑体_GBK" w:hAnsi="方正黑体_GBK" w:cs="方正黑体_GBK" w:hint="eastAsia"/>
          <w:sz w:val="32"/>
          <w:szCs w:val="32"/>
        </w:rPr>
      </w:pPr>
      <w:r>
        <w:rPr>
          <w:rFonts w:ascii="方正黑体_GBK" w:eastAsia="方正黑体_GBK" w:hAnsi="方正黑体_GBK" w:cs="方正黑体_GBK" w:hint="eastAsia"/>
          <w:sz w:val="32"/>
          <w:szCs w:val="32"/>
        </w:rPr>
        <w:t>一、单位基本情况</w:t>
      </w:r>
    </w:p>
    <w:p w:rsidR="00000000" w:rsidRDefault="009D4039">
      <w:pPr>
        <w:snapToGrid w:val="0"/>
        <w:spacing w:line="600" w:lineRule="exact"/>
        <w:ind w:firstLineChars="200" w:firstLine="640"/>
        <w:rPr>
          <w:rFonts w:ascii="方正楷体_GBK" w:eastAsia="方正楷体_GBK" w:hAnsi="方正楷体_GBK" w:cs="方正楷体_GBK" w:hint="eastAsia"/>
          <w:sz w:val="32"/>
          <w:szCs w:val="32"/>
        </w:rPr>
      </w:pPr>
      <w:r>
        <w:rPr>
          <w:rFonts w:ascii="方正楷体_GBK" w:eastAsia="方正楷体_GBK" w:hAnsi="方正楷体_GBK" w:cs="方正楷体_GBK" w:hint="eastAsia"/>
          <w:sz w:val="32"/>
          <w:szCs w:val="32"/>
        </w:rPr>
        <w:t>（一）职能职责</w:t>
      </w:r>
    </w:p>
    <w:p w:rsidR="00000000" w:rsidRDefault="009D4039">
      <w:pPr>
        <w:snapToGrid w:val="0"/>
        <w:spacing w:line="600" w:lineRule="exact"/>
        <w:ind w:firstLineChars="200" w:firstLine="640"/>
        <w:rPr>
          <w:rFonts w:eastAsia="方正仿宋_GBK"/>
          <w:sz w:val="32"/>
          <w:szCs w:val="32"/>
        </w:rPr>
      </w:pPr>
      <w:r>
        <w:rPr>
          <w:rFonts w:eastAsia="方正仿宋_GBK"/>
          <w:sz w:val="32"/>
          <w:szCs w:val="32"/>
        </w:rPr>
        <w:t>主要承担辖区规划建设、环境保护等工作。村镇规划、村镇建设、市政公用、市容环卫、环境保护等职责。承担镇域市容环境卫生管理和综合整治工作，农村生活垃圾治理工作；镇乡环卫设施建设与运行管理。负责公共停车场、路内停车场建设管理；负责临时占道、广告招牌、建筑物容貌管理。负责村镇建设规划管理工作，集镇房屋建筑、基础设施建设管理工作。负责村镇传统风貌区的保护建设管理工作，推进传统村落保护发展。负责农房建设和农村危房改造</w:t>
      </w:r>
      <w:r>
        <w:rPr>
          <w:rFonts w:eastAsia="方正仿宋_GBK"/>
          <w:sz w:val="32"/>
          <w:szCs w:val="32"/>
        </w:rPr>
        <w:t>，镇乡污水处理管理工作；贯彻执行国家生态环境基本制度，组织开展生态环境宣传教育，负责突发生态环境事件的应急、预警工作，监督管理减排目标的落实。监督管理饮用水水源地生态环境保护工作，负责流域水环境保护，监督指导农村生态环境保护及农业面源污染治理工作。按规定审查相关项目环境影响评价，参与协调解决有关跨区域的环境污染纠纷，对接中央和市级、区级生态环境保护督察有关工作。</w:t>
      </w:r>
    </w:p>
    <w:p w:rsidR="00000000" w:rsidRDefault="009D4039">
      <w:pPr>
        <w:snapToGrid w:val="0"/>
        <w:spacing w:line="600" w:lineRule="exact"/>
        <w:ind w:firstLineChars="200" w:firstLine="640"/>
        <w:rPr>
          <w:rFonts w:ascii="方正楷体_GBK" w:eastAsia="方正楷体_GBK" w:hAnsi="方正楷体_GBK" w:cs="方正楷体_GBK" w:hint="eastAsia"/>
          <w:sz w:val="32"/>
          <w:szCs w:val="32"/>
        </w:rPr>
      </w:pPr>
      <w:r>
        <w:rPr>
          <w:rFonts w:ascii="方正楷体_GBK" w:eastAsia="方正楷体_GBK" w:hAnsi="方正楷体_GBK" w:cs="方正楷体_GBK" w:hint="eastAsia"/>
          <w:sz w:val="32"/>
          <w:szCs w:val="32"/>
        </w:rPr>
        <w:t>（二）单位构成</w:t>
      </w:r>
    </w:p>
    <w:p w:rsidR="00000000" w:rsidRDefault="009D4039">
      <w:pPr>
        <w:snapToGrid w:val="0"/>
        <w:spacing w:line="600" w:lineRule="exact"/>
        <w:ind w:firstLineChars="200" w:firstLine="640"/>
        <w:rPr>
          <w:rFonts w:eastAsia="方正仿宋_GBK"/>
          <w:sz w:val="32"/>
          <w:szCs w:val="32"/>
        </w:rPr>
      </w:pPr>
      <w:r>
        <w:rPr>
          <w:rFonts w:eastAsia="方正仿宋_GBK"/>
          <w:sz w:val="32"/>
          <w:szCs w:val="32"/>
        </w:rPr>
        <w:t>重庆市万州区弹子</w:t>
      </w:r>
      <w:r>
        <w:rPr>
          <w:rFonts w:eastAsia="方正仿宋_GBK"/>
          <w:sz w:val="32"/>
          <w:szCs w:val="32"/>
        </w:rPr>
        <w:t>镇村镇建设环保服务中心为重庆市万州</w:t>
      </w:r>
      <w:r>
        <w:rPr>
          <w:rFonts w:eastAsia="方正仿宋_GBK"/>
          <w:sz w:val="32"/>
          <w:szCs w:val="32"/>
        </w:rPr>
        <w:lastRenderedPageBreak/>
        <w:t>区弹子</w:t>
      </w:r>
      <w:r>
        <w:rPr>
          <w:rFonts w:eastAsia="方正仿宋_GBK"/>
          <w:sz w:val="32"/>
          <w:szCs w:val="32"/>
        </w:rPr>
        <w:t>镇人民政府下属事业单位，属公益一类事业单位，无下属单位。</w:t>
      </w:r>
    </w:p>
    <w:p w:rsidR="00000000" w:rsidRDefault="009D4039">
      <w:pPr>
        <w:snapToGrid w:val="0"/>
        <w:spacing w:line="600" w:lineRule="exact"/>
        <w:ind w:firstLineChars="200" w:firstLine="640"/>
        <w:rPr>
          <w:rFonts w:ascii="方正黑体_GBK" w:eastAsia="方正黑体_GBK" w:hAnsi="方正黑体_GBK" w:cs="方正黑体_GBK" w:hint="eastAsia"/>
          <w:sz w:val="32"/>
          <w:szCs w:val="32"/>
        </w:rPr>
      </w:pPr>
      <w:r>
        <w:rPr>
          <w:rFonts w:ascii="方正黑体_GBK" w:eastAsia="方正黑体_GBK" w:hAnsi="方正黑体_GBK" w:cs="方正黑体_GBK" w:hint="eastAsia"/>
          <w:sz w:val="32"/>
          <w:szCs w:val="32"/>
        </w:rPr>
        <w:t>二、单位收支总体</w:t>
      </w:r>
      <w:r>
        <w:rPr>
          <w:rFonts w:ascii="方正黑体_GBK" w:eastAsia="方正黑体_GBK" w:hAnsi="方正黑体_GBK" w:cs="方正黑体_GBK" w:hint="eastAsia"/>
          <w:sz w:val="32"/>
          <w:szCs w:val="32"/>
        </w:rPr>
        <w:t>情况</w:t>
      </w:r>
    </w:p>
    <w:p w:rsidR="00000000" w:rsidRDefault="009D4039">
      <w:pPr>
        <w:snapToGrid w:val="0"/>
        <w:spacing w:line="600" w:lineRule="exact"/>
        <w:ind w:firstLineChars="200" w:firstLine="640"/>
        <w:rPr>
          <w:rFonts w:eastAsia="方正仿宋_GBK"/>
          <w:sz w:val="32"/>
          <w:szCs w:val="32"/>
        </w:rPr>
      </w:pPr>
      <w:r>
        <w:rPr>
          <w:rFonts w:ascii="方正楷体_GBK" w:eastAsia="方正楷体_GBK" w:hAnsi="方正楷体_GBK" w:cs="方正楷体_GBK" w:hint="eastAsia"/>
          <w:sz w:val="32"/>
          <w:szCs w:val="32"/>
        </w:rPr>
        <w:t>（一）收入预算</w:t>
      </w:r>
      <w:r>
        <w:rPr>
          <w:rFonts w:ascii="方正楷体_GBK" w:eastAsia="方正楷体_GBK" w:hAnsi="方正楷体_GBK" w:cs="方正楷体_GBK" w:hint="eastAsia"/>
          <w:sz w:val="32"/>
          <w:szCs w:val="32"/>
        </w:rPr>
        <w:t>。</w:t>
      </w:r>
      <w:r>
        <w:rPr>
          <w:rFonts w:eastAsia="方正仿宋_GBK"/>
          <w:sz w:val="32"/>
          <w:szCs w:val="32"/>
        </w:rPr>
        <w:t>2024</w:t>
      </w:r>
      <w:r>
        <w:rPr>
          <w:rFonts w:eastAsia="方正仿宋_GBK"/>
          <w:sz w:val="32"/>
          <w:szCs w:val="32"/>
        </w:rPr>
        <w:t>年年初预算数</w:t>
      </w:r>
      <w:r>
        <w:rPr>
          <w:rFonts w:eastAsia="方正仿宋_GBK"/>
          <w:sz w:val="32"/>
          <w:szCs w:val="32"/>
        </w:rPr>
        <w:t>108.49</w:t>
      </w:r>
      <w:r>
        <w:rPr>
          <w:rFonts w:eastAsia="方正仿宋_GBK"/>
          <w:sz w:val="32"/>
          <w:szCs w:val="32"/>
        </w:rPr>
        <w:t>万元，其中：一般公共预算拨款</w:t>
      </w:r>
      <w:r>
        <w:rPr>
          <w:rFonts w:eastAsia="方正仿宋_GBK"/>
          <w:sz w:val="32"/>
          <w:szCs w:val="32"/>
        </w:rPr>
        <w:t>108.49</w:t>
      </w:r>
      <w:r>
        <w:rPr>
          <w:rFonts w:eastAsia="方正仿宋_GBK"/>
          <w:sz w:val="32"/>
          <w:szCs w:val="32"/>
        </w:rPr>
        <w:t>万元，政府性基金预算拨款</w:t>
      </w:r>
      <w:r>
        <w:rPr>
          <w:rFonts w:eastAsia="方正仿宋_GBK"/>
          <w:sz w:val="32"/>
          <w:szCs w:val="32"/>
        </w:rPr>
        <w:t>0</w:t>
      </w:r>
      <w:r>
        <w:rPr>
          <w:rFonts w:eastAsia="方正仿宋_GBK"/>
          <w:sz w:val="32"/>
          <w:szCs w:val="32"/>
        </w:rPr>
        <w:t>万元，国有资本经营预算收入</w:t>
      </w:r>
      <w:r>
        <w:rPr>
          <w:rFonts w:eastAsia="方正仿宋_GBK"/>
          <w:sz w:val="32"/>
          <w:szCs w:val="32"/>
        </w:rPr>
        <w:t>0</w:t>
      </w:r>
      <w:r>
        <w:rPr>
          <w:rFonts w:eastAsia="方正仿宋_GBK"/>
          <w:sz w:val="32"/>
          <w:szCs w:val="32"/>
        </w:rPr>
        <w:t>万元，事业收入</w:t>
      </w:r>
      <w:r>
        <w:rPr>
          <w:rFonts w:eastAsia="方正仿宋_GBK"/>
          <w:sz w:val="32"/>
          <w:szCs w:val="32"/>
        </w:rPr>
        <w:t>0</w:t>
      </w:r>
      <w:r>
        <w:rPr>
          <w:rFonts w:eastAsia="方正仿宋_GBK"/>
          <w:sz w:val="32"/>
          <w:szCs w:val="32"/>
        </w:rPr>
        <w:t>万元，事业单位经营收入</w:t>
      </w:r>
      <w:r>
        <w:rPr>
          <w:rFonts w:eastAsia="方正仿宋_GBK"/>
          <w:sz w:val="32"/>
          <w:szCs w:val="32"/>
        </w:rPr>
        <w:t>0</w:t>
      </w:r>
      <w:r>
        <w:rPr>
          <w:rFonts w:eastAsia="方正仿宋_GBK"/>
          <w:sz w:val="32"/>
          <w:szCs w:val="32"/>
        </w:rPr>
        <w:t>万元，其他收入</w:t>
      </w:r>
      <w:r>
        <w:rPr>
          <w:rFonts w:eastAsia="方正仿宋_GBK"/>
          <w:sz w:val="32"/>
          <w:szCs w:val="32"/>
        </w:rPr>
        <w:t>0</w:t>
      </w:r>
      <w:r>
        <w:rPr>
          <w:rFonts w:eastAsia="方正仿宋_GBK"/>
          <w:sz w:val="32"/>
          <w:szCs w:val="32"/>
        </w:rPr>
        <w:t>万元。因</w:t>
      </w:r>
      <w:r>
        <w:rPr>
          <w:rFonts w:eastAsia="方正仿宋_GBK"/>
          <w:sz w:val="32"/>
          <w:szCs w:val="32"/>
        </w:rPr>
        <w:t>2023</w:t>
      </w:r>
      <w:r>
        <w:rPr>
          <w:rFonts w:eastAsia="方正仿宋_GBK"/>
          <w:sz w:val="32"/>
          <w:szCs w:val="32"/>
        </w:rPr>
        <w:t>年部门是编制的整体预算，</w:t>
      </w:r>
      <w:r>
        <w:rPr>
          <w:rFonts w:eastAsia="方正仿宋_GBK"/>
          <w:sz w:val="32"/>
          <w:szCs w:val="32"/>
        </w:rPr>
        <w:t>2024</w:t>
      </w:r>
      <w:r>
        <w:rPr>
          <w:rFonts w:eastAsia="方正仿宋_GBK"/>
          <w:sz w:val="32"/>
          <w:szCs w:val="32"/>
        </w:rPr>
        <w:t>年预算采取分二级单位的形式编制部门预算和单位预算，</w:t>
      </w:r>
      <w:proofErr w:type="gramStart"/>
      <w:r>
        <w:rPr>
          <w:rFonts w:eastAsia="方正仿宋_GBK"/>
          <w:sz w:val="32"/>
          <w:szCs w:val="32"/>
        </w:rPr>
        <w:t>故收入</w:t>
      </w:r>
      <w:proofErr w:type="gramEnd"/>
      <w:r>
        <w:rPr>
          <w:rFonts w:eastAsia="方正仿宋_GBK"/>
          <w:sz w:val="32"/>
          <w:szCs w:val="32"/>
        </w:rPr>
        <w:t>较</w:t>
      </w:r>
      <w:r>
        <w:rPr>
          <w:rFonts w:eastAsia="方正仿宋_GBK"/>
          <w:sz w:val="32"/>
          <w:szCs w:val="32"/>
        </w:rPr>
        <w:t>2023</w:t>
      </w:r>
      <w:r>
        <w:rPr>
          <w:rFonts w:eastAsia="方正仿宋_GBK"/>
          <w:sz w:val="32"/>
          <w:szCs w:val="32"/>
        </w:rPr>
        <w:t>年不能作对比。</w:t>
      </w:r>
    </w:p>
    <w:p w:rsidR="00000000" w:rsidRDefault="009D4039">
      <w:pPr>
        <w:snapToGrid w:val="0"/>
        <w:spacing w:line="600" w:lineRule="exact"/>
        <w:ind w:firstLineChars="200" w:firstLine="640"/>
        <w:rPr>
          <w:rFonts w:eastAsia="方正仿宋_GBK"/>
          <w:sz w:val="32"/>
          <w:szCs w:val="32"/>
        </w:rPr>
      </w:pPr>
      <w:r>
        <w:rPr>
          <w:rFonts w:ascii="方正楷体_GBK" w:eastAsia="方正楷体_GBK" w:hAnsi="方正楷体_GBK" w:cs="方正楷体_GBK" w:hint="eastAsia"/>
          <w:sz w:val="32"/>
          <w:szCs w:val="32"/>
        </w:rPr>
        <w:t>（二）支出预算</w:t>
      </w:r>
      <w:r>
        <w:rPr>
          <w:rFonts w:ascii="方正楷体_GBK" w:eastAsia="方正楷体_GBK" w:hAnsi="方正楷体_GBK" w:cs="方正楷体_GBK" w:hint="eastAsia"/>
          <w:sz w:val="32"/>
          <w:szCs w:val="32"/>
        </w:rPr>
        <w:t>。</w:t>
      </w:r>
      <w:r>
        <w:rPr>
          <w:rFonts w:eastAsia="方正仿宋_GBK"/>
          <w:sz w:val="32"/>
          <w:szCs w:val="32"/>
        </w:rPr>
        <w:t>2024</w:t>
      </w:r>
      <w:r>
        <w:rPr>
          <w:rFonts w:eastAsia="方正仿宋_GBK"/>
          <w:sz w:val="32"/>
          <w:szCs w:val="32"/>
        </w:rPr>
        <w:t>年年初预算数</w:t>
      </w:r>
      <w:r>
        <w:rPr>
          <w:rFonts w:eastAsia="方正仿宋_GBK"/>
          <w:sz w:val="32"/>
          <w:szCs w:val="32"/>
        </w:rPr>
        <w:t>108.49</w:t>
      </w:r>
      <w:r>
        <w:rPr>
          <w:rFonts w:eastAsia="方正仿宋_GBK"/>
          <w:sz w:val="32"/>
          <w:szCs w:val="32"/>
        </w:rPr>
        <w:t>万元，其中：社会保障和就业支出预算</w:t>
      </w:r>
      <w:r>
        <w:rPr>
          <w:rFonts w:eastAsia="方正仿宋_GBK"/>
          <w:sz w:val="32"/>
          <w:szCs w:val="32"/>
        </w:rPr>
        <w:t>16.38</w:t>
      </w:r>
      <w:r>
        <w:rPr>
          <w:rFonts w:eastAsia="方正仿宋_GBK"/>
          <w:sz w:val="32"/>
          <w:szCs w:val="32"/>
        </w:rPr>
        <w:t>万元，卫生健康支出预算</w:t>
      </w:r>
      <w:r>
        <w:rPr>
          <w:rFonts w:eastAsia="方正仿宋_GBK"/>
          <w:sz w:val="32"/>
          <w:szCs w:val="32"/>
        </w:rPr>
        <w:t>6.72</w:t>
      </w:r>
      <w:r>
        <w:rPr>
          <w:rFonts w:eastAsia="方正仿宋_GBK"/>
          <w:sz w:val="32"/>
          <w:szCs w:val="32"/>
        </w:rPr>
        <w:t>万元，城乡社区支出预算</w:t>
      </w:r>
      <w:r>
        <w:rPr>
          <w:rFonts w:eastAsia="方正仿宋_GBK"/>
          <w:sz w:val="32"/>
          <w:szCs w:val="32"/>
        </w:rPr>
        <w:t>80.78</w:t>
      </w:r>
      <w:r>
        <w:rPr>
          <w:rFonts w:eastAsia="方正仿宋_GBK"/>
          <w:sz w:val="32"/>
          <w:szCs w:val="32"/>
        </w:rPr>
        <w:t>万元，住房保障支出预算</w:t>
      </w:r>
      <w:r>
        <w:rPr>
          <w:rFonts w:eastAsia="方正仿宋_GBK"/>
          <w:sz w:val="32"/>
          <w:szCs w:val="32"/>
        </w:rPr>
        <w:t>4.61</w:t>
      </w:r>
      <w:r>
        <w:rPr>
          <w:rFonts w:eastAsia="方正仿宋_GBK"/>
          <w:sz w:val="32"/>
          <w:szCs w:val="32"/>
        </w:rPr>
        <w:t>万元。因</w:t>
      </w:r>
      <w:r>
        <w:rPr>
          <w:rFonts w:eastAsia="方正仿宋_GBK"/>
          <w:sz w:val="32"/>
          <w:szCs w:val="32"/>
        </w:rPr>
        <w:t>2023</w:t>
      </w:r>
      <w:r>
        <w:rPr>
          <w:rFonts w:eastAsia="方正仿宋_GBK"/>
          <w:sz w:val="32"/>
          <w:szCs w:val="32"/>
        </w:rPr>
        <w:t>年部门是编制的整体预算，</w:t>
      </w:r>
      <w:r>
        <w:rPr>
          <w:rFonts w:eastAsia="方正仿宋_GBK"/>
          <w:sz w:val="32"/>
          <w:szCs w:val="32"/>
        </w:rPr>
        <w:t>2024</w:t>
      </w:r>
      <w:r>
        <w:rPr>
          <w:rFonts w:eastAsia="方正仿宋_GBK"/>
          <w:sz w:val="32"/>
          <w:szCs w:val="32"/>
        </w:rPr>
        <w:t>年预算采取分二级单位的形式编制部门预算和单位预算，故支出预算较</w:t>
      </w:r>
      <w:r>
        <w:rPr>
          <w:rFonts w:eastAsia="方正仿宋_GBK"/>
          <w:sz w:val="32"/>
          <w:szCs w:val="32"/>
        </w:rPr>
        <w:t>2023</w:t>
      </w:r>
      <w:r>
        <w:rPr>
          <w:rFonts w:eastAsia="方正仿宋_GBK"/>
          <w:sz w:val="32"/>
          <w:szCs w:val="32"/>
        </w:rPr>
        <w:t>年不能作对比。</w:t>
      </w:r>
    </w:p>
    <w:p w:rsidR="00000000" w:rsidRDefault="009D4039">
      <w:pPr>
        <w:snapToGrid w:val="0"/>
        <w:spacing w:line="600" w:lineRule="exact"/>
        <w:ind w:firstLineChars="200" w:firstLine="640"/>
        <w:rPr>
          <w:rFonts w:ascii="方正黑体_GBK" w:eastAsia="方正黑体_GBK" w:hAnsi="方正黑体_GBK" w:cs="方正黑体_GBK" w:hint="eastAsia"/>
          <w:sz w:val="32"/>
          <w:szCs w:val="32"/>
        </w:rPr>
      </w:pPr>
      <w:r>
        <w:rPr>
          <w:rFonts w:ascii="方正黑体_GBK" w:eastAsia="方正黑体_GBK" w:hAnsi="方正黑体_GBK" w:cs="方正黑体_GBK" w:hint="eastAsia"/>
          <w:sz w:val="32"/>
          <w:szCs w:val="32"/>
        </w:rPr>
        <w:t>三、单位预算情况说明</w:t>
      </w:r>
    </w:p>
    <w:p w:rsidR="00000000" w:rsidRDefault="009D4039">
      <w:pPr>
        <w:snapToGrid w:val="0"/>
        <w:spacing w:line="600" w:lineRule="exact"/>
        <w:ind w:firstLineChars="200" w:firstLine="640"/>
        <w:rPr>
          <w:rFonts w:eastAsia="方正仿宋_GBK"/>
          <w:sz w:val="32"/>
          <w:szCs w:val="32"/>
        </w:rPr>
      </w:pPr>
      <w:r>
        <w:rPr>
          <w:rFonts w:eastAsia="方正仿宋_GBK"/>
          <w:sz w:val="32"/>
          <w:szCs w:val="32"/>
        </w:rPr>
        <w:t>2024</w:t>
      </w:r>
      <w:r>
        <w:rPr>
          <w:rFonts w:eastAsia="方正仿宋_GBK"/>
          <w:sz w:val="32"/>
          <w:szCs w:val="32"/>
        </w:rPr>
        <w:t>年一般公共预算财政拨款收入</w:t>
      </w:r>
      <w:r>
        <w:rPr>
          <w:rFonts w:eastAsia="方正仿宋_GBK"/>
          <w:sz w:val="32"/>
          <w:szCs w:val="32"/>
        </w:rPr>
        <w:t>108.49</w:t>
      </w:r>
      <w:r>
        <w:rPr>
          <w:rFonts w:eastAsia="方正仿宋_GBK"/>
          <w:sz w:val="32"/>
          <w:szCs w:val="32"/>
        </w:rPr>
        <w:t>万元，一般公共预算财政拨款支出</w:t>
      </w:r>
      <w:r>
        <w:rPr>
          <w:rFonts w:eastAsia="方正仿宋_GBK"/>
          <w:sz w:val="32"/>
          <w:szCs w:val="32"/>
        </w:rPr>
        <w:t>108.49</w:t>
      </w:r>
      <w:r>
        <w:rPr>
          <w:rFonts w:eastAsia="方正仿宋_GBK"/>
          <w:sz w:val="32"/>
          <w:szCs w:val="32"/>
        </w:rPr>
        <w:t>万元，因</w:t>
      </w:r>
      <w:r>
        <w:rPr>
          <w:rFonts w:eastAsia="方正仿宋_GBK"/>
          <w:sz w:val="32"/>
          <w:szCs w:val="32"/>
        </w:rPr>
        <w:t>2023</w:t>
      </w:r>
      <w:r>
        <w:rPr>
          <w:rFonts w:eastAsia="方正仿宋_GBK"/>
          <w:sz w:val="32"/>
          <w:szCs w:val="32"/>
        </w:rPr>
        <w:t>年部门是编制的整体预算，</w:t>
      </w:r>
      <w:r>
        <w:rPr>
          <w:rFonts w:eastAsia="方正仿宋_GBK"/>
          <w:sz w:val="32"/>
          <w:szCs w:val="32"/>
        </w:rPr>
        <w:t>2024</w:t>
      </w:r>
      <w:r>
        <w:rPr>
          <w:rFonts w:eastAsia="方正仿宋_GBK"/>
          <w:sz w:val="32"/>
          <w:szCs w:val="32"/>
        </w:rPr>
        <w:t>年预算采取分二级单位的形式编制部门预算和单位预算，故较</w:t>
      </w:r>
      <w:r>
        <w:rPr>
          <w:rFonts w:eastAsia="方正仿宋_GBK"/>
          <w:sz w:val="32"/>
          <w:szCs w:val="32"/>
        </w:rPr>
        <w:t>2023</w:t>
      </w:r>
      <w:r>
        <w:rPr>
          <w:rFonts w:eastAsia="方正仿宋_GBK"/>
          <w:sz w:val="32"/>
          <w:szCs w:val="32"/>
        </w:rPr>
        <w:t>年不能作对比。其中：基本支出</w:t>
      </w:r>
      <w:r>
        <w:rPr>
          <w:rFonts w:eastAsia="方正仿宋_GBK"/>
          <w:sz w:val="32"/>
          <w:szCs w:val="32"/>
        </w:rPr>
        <w:t>108.49</w:t>
      </w:r>
      <w:r>
        <w:rPr>
          <w:rFonts w:eastAsia="方正仿宋_GBK"/>
          <w:sz w:val="32"/>
          <w:szCs w:val="32"/>
        </w:rPr>
        <w:t>万元，因</w:t>
      </w:r>
      <w:r>
        <w:rPr>
          <w:rFonts w:eastAsia="方正仿宋_GBK"/>
          <w:sz w:val="32"/>
          <w:szCs w:val="32"/>
        </w:rPr>
        <w:t>2023</w:t>
      </w:r>
      <w:r>
        <w:rPr>
          <w:rFonts w:eastAsia="方正仿宋_GBK"/>
          <w:sz w:val="32"/>
          <w:szCs w:val="32"/>
        </w:rPr>
        <w:t>年部门是编制的整体预算，</w:t>
      </w:r>
      <w:r>
        <w:rPr>
          <w:rFonts w:eastAsia="方正仿宋_GBK"/>
          <w:sz w:val="32"/>
          <w:szCs w:val="32"/>
        </w:rPr>
        <w:t>2024</w:t>
      </w:r>
      <w:r>
        <w:rPr>
          <w:rFonts w:eastAsia="方正仿宋_GBK"/>
          <w:sz w:val="32"/>
          <w:szCs w:val="32"/>
        </w:rPr>
        <w:t>年预算采取分二级单位的形式</w:t>
      </w:r>
      <w:r>
        <w:rPr>
          <w:rFonts w:eastAsia="方正仿宋_GBK"/>
          <w:sz w:val="32"/>
          <w:szCs w:val="32"/>
        </w:rPr>
        <w:lastRenderedPageBreak/>
        <w:t>编制部门预算和单位预算，故较</w:t>
      </w:r>
      <w:r>
        <w:rPr>
          <w:rFonts w:eastAsia="方正仿宋_GBK"/>
          <w:sz w:val="32"/>
          <w:szCs w:val="32"/>
        </w:rPr>
        <w:t>2023</w:t>
      </w:r>
      <w:r>
        <w:rPr>
          <w:rFonts w:eastAsia="方正仿宋_GBK"/>
          <w:sz w:val="32"/>
          <w:szCs w:val="32"/>
        </w:rPr>
        <w:t>年不能作</w:t>
      </w:r>
      <w:r>
        <w:rPr>
          <w:rFonts w:eastAsia="方正仿宋_GBK"/>
          <w:sz w:val="32"/>
          <w:szCs w:val="32"/>
        </w:rPr>
        <w:t>对比，主要用于保障单位在职人员工资福利及社会保险缴费，退休人员补助等，保障单位正常运转的各项商品服务支出；项目支出</w:t>
      </w:r>
      <w:r>
        <w:rPr>
          <w:rFonts w:eastAsia="方正仿宋_GBK"/>
          <w:sz w:val="32"/>
          <w:szCs w:val="32"/>
        </w:rPr>
        <w:t>0</w:t>
      </w:r>
      <w:r>
        <w:rPr>
          <w:rFonts w:eastAsia="方正仿宋_GBK"/>
          <w:sz w:val="32"/>
          <w:szCs w:val="32"/>
        </w:rPr>
        <w:t>万元，因</w:t>
      </w:r>
      <w:r>
        <w:rPr>
          <w:rFonts w:eastAsia="方正仿宋_GBK"/>
          <w:sz w:val="32"/>
          <w:szCs w:val="32"/>
        </w:rPr>
        <w:t>2023</w:t>
      </w:r>
      <w:r>
        <w:rPr>
          <w:rFonts w:eastAsia="方正仿宋_GBK"/>
          <w:sz w:val="32"/>
          <w:szCs w:val="32"/>
        </w:rPr>
        <w:t>年部门是编制的整体预算，</w:t>
      </w:r>
      <w:r>
        <w:rPr>
          <w:rFonts w:eastAsia="方正仿宋_GBK"/>
          <w:sz w:val="32"/>
          <w:szCs w:val="32"/>
        </w:rPr>
        <w:t>2024</w:t>
      </w:r>
      <w:r>
        <w:rPr>
          <w:rFonts w:eastAsia="方正仿宋_GBK"/>
          <w:sz w:val="32"/>
          <w:szCs w:val="32"/>
        </w:rPr>
        <w:t>年预算采取分二级单位的形式编制部门预算和单位预算，故较</w:t>
      </w:r>
      <w:r>
        <w:rPr>
          <w:rFonts w:eastAsia="方正仿宋_GBK"/>
          <w:sz w:val="32"/>
          <w:szCs w:val="32"/>
        </w:rPr>
        <w:t>2023</w:t>
      </w:r>
      <w:r>
        <w:rPr>
          <w:rFonts w:eastAsia="方正仿宋_GBK"/>
          <w:sz w:val="32"/>
          <w:szCs w:val="32"/>
        </w:rPr>
        <w:t>年不能作对比，主要用于环境保护、规划建设与运行等重点工作。</w:t>
      </w:r>
    </w:p>
    <w:p w:rsidR="00000000" w:rsidRDefault="009D4039">
      <w:pPr>
        <w:snapToGrid w:val="0"/>
        <w:spacing w:line="600" w:lineRule="exact"/>
        <w:ind w:firstLineChars="200" w:firstLine="640"/>
        <w:rPr>
          <w:rFonts w:eastAsia="方正仿宋_GBK"/>
          <w:sz w:val="32"/>
          <w:szCs w:val="32"/>
        </w:rPr>
      </w:pPr>
      <w:r>
        <w:rPr>
          <w:rFonts w:eastAsia="方正仿宋_GBK"/>
          <w:sz w:val="32"/>
          <w:szCs w:val="32"/>
        </w:rPr>
        <w:t>重庆市万州区弹子</w:t>
      </w:r>
      <w:r>
        <w:rPr>
          <w:rFonts w:eastAsia="方正仿宋_GBK"/>
          <w:sz w:val="32"/>
          <w:szCs w:val="32"/>
        </w:rPr>
        <w:t>镇村镇建设环保服务中心</w:t>
      </w:r>
      <w:r>
        <w:rPr>
          <w:rFonts w:eastAsia="方正仿宋_GBK"/>
          <w:sz w:val="32"/>
          <w:szCs w:val="32"/>
        </w:rPr>
        <w:t>2024</w:t>
      </w:r>
      <w:r>
        <w:rPr>
          <w:rFonts w:eastAsia="方正仿宋_GBK"/>
          <w:sz w:val="32"/>
          <w:szCs w:val="32"/>
        </w:rPr>
        <w:t>年无使用政府性基金预算拨款安排的支出。</w:t>
      </w:r>
    </w:p>
    <w:p w:rsidR="00000000" w:rsidRDefault="009D4039">
      <w:pPr>
        <w:snapToGrid w:val="0"/>
        <w:spacing w:line="600" w:lineRule="exact"/>
        <w:ind w:firstLineChars="200" w:firstLine="640"/>
        <w:rPr>
          <w:rFonts w:ascii="方正黑体_GBK" w:eastAsia="方正黑体_GBK" w:hAnsi="方正黑体_GBK" w:cs="方正黑体_GBK" w:hint="eastAsia"/>
          <w:sz w:val="32"/>
          <w:szCs w:val="32"/>
        </w:rPr>
      </w:pPr>
      <w:r>
        <w:rPr>
          <w:rFonts w:ascii="方正黑体_GBK" w:eastAsia="方正黑体_GBK" w:hAnsi="方正黑体_GBK" w:cs="方正黑体_GBK" w:hint="eastAsia"/>
          <w:sz w:val="32"/>
          <w:szCs w:val="32"/>
        </w:rPr>
        <w:t>四、“三公”经费情况说明</w:t>
      </w:r>
    </w:p>
    <w:p w:rsidR="00000000" w:rsidRDefault="009D4039">
      <w:pPr>
        <w:snapToGrid w:val="0"/>
        <w:spacing w:line="600" w:lineRule="exact"/>
        <w:ind w:firstLine="600"/>
        <w:rPr>
          <w:rFonts w:eastAsia="方正仿宋_GBK"/>
          <w:sz w:val="32"/>
          <w:szCs w:val="32"/>
        </w:rPr>
      </w:pPr>
      <w:r>
        <w:rPr>
          <w:rFonts w:eastAsia="方正仿宋_GBK"/>
          <w:sz w:val="32"/>
          <w:szCs w:val="32"/>
        </w:rPr>
        <w:t>2024</w:t>
      </w:r>
      <w:r>
        <w:rPr>
          <w:rFonts w:eastAsia="方正仿宋_GBK"/>
          <w:sz w:val="32"/>
          <w:szCs w:val="32"/>
        </w:rPr>
        <w:t>年</w:t>
      </w:r>
      <w:r>
        <w:rPr>
          <w:rFonts w:eastAsia="方正仿宋_GBK"/>
          <w:sz w:val="32"/>
          <w:szCs w:val="32"/>
        </w:rPr>
        <w:t>“</w:t>
      </w:r>
      <w:r>
        <w:rPr>
          <w:rFonts w:eastAsia="方正仿宋_GBK"/>
          <w:sz w:val="32"/>
          <w:szCs w:val="32"/>
        </w:rPr>
        <w:t>三公</w:t>
      </w:r>
      <w:r>
        <w:rPr>
          <w:rFonts w:eastAsia="方正仿宋_GBK"/>
          <w:sz w:val="32"/>
          <w:szCs w:val="32"/>
        </w:rPr>
        <w:t>”</w:t>
      </w:r>
      <w:r>
        <w:rPr>
          <w:rFonts w:eastAsia="方正仿宋_GBK"/>
          <w:sz w:val="32"/>
          <w:szCs w:val="32"/>
        </w:rPr>
        <w:t>经费预算</w:t>
      </w:r>
      <w:r>
        <w:rPr>
          <w:rFonts w:eastAsia="方正仿宋_GBK"/>
          <w:sz w:val="32"/>
          <w:szCs w:val="32"/>
        </w:rPr>
        <w:t>0</w:t>
      </w:r>
      <w:r>
        <w:rPr>
          <w:rFonts w:eastAsia="方正仿宋_GBK"/>
          <w:sz w:val="32"/>
          <w:szCs w:val="32"/>
        </w:rPr>
        <w:t>万元，因</w:t>
      </w:r>
      <w:r>
        <w:rPr>
          <w:rFonts w:eastAsia="方正仿宋_GBK"/>
          <w:sz w:val="32"/>
          <w:szCs w:val="32"/>
        </w:rPr>
        <w:t>2023</w:t>
      </w:r>
      <w:r>
        <w:rPr>
          <w:rFonts w:eastAsia="方正仿宋_GBK"/>
          <w:sz w:val="32"/>
          <w:szCs w:val="32"/>
        </w:rPr>
        <w:t>年部门是编制的整体预算，</w:t>
      </w:r>
      <w:r>
        <w:rPr>
          <w:rFonts w:eastAsia="方正仿宋_GBK"/>
          <w:sz w:val="32"/>
          <w:szCs w:val="32"/>
        </w:rPr>
        <w:t>2024</w:t>
      </w:r>
      <w:r>
        <w:rPr>
          <w:rFonts w:eastAsia="方正仿宋_GBK"/>
          <w:sz w:val="32"/>
          <w:szCs w:val="32"/>
        </w:rPr>
        <w:t>年预算采取分二级单位的形式编制</w:t>
      </w:r>
      <w:r>
        <w:rPr>
          <w:rFonts w:eastAsia="方正仿宋_GBK"/>
          <w:sz w:val="32"/>
          <w:szCs w:val="32"/>
        </w:rPr>
        <w:t>部门预算和单位预算，故较</w:t>
      </w:r>
      <w:r>
        <w:rPr>
          <w:rFonts w:eastAsia="方正仿宋_GBK"/>
          <w:sz w:val="32"/>
          <w:szCs w:val="32"/>
        </w:rPr>
        <w:t>2023</w:t>
      </w:r>
      <w:r>
        <w:rPr>
          <w:rFonts w:eastAsia="方正仿宋_GBK"/>
          <w:sz w:val="32"/>
          <w:szCs w:val="32"/>
        </w:rPr>
        <w:t>年不能作对比。其中：因公出国（境）费用</w:t>
      </w:r>
      <w:r>
        <w:rPr>
          <w:rFonts w:eastAsia="方正仿宋_GBK"/>
          <w:sz w:val="32"/>
          <w:szCs w:val="32"/>
        </w:rPr>
        <w:t>0</w:t>
      </w:r>
      <w:r>
        <w:rPr>
          <w:rFonts w:eastAsia="方正仿宋_GBK"/>
          <w:sz w:val="32"/>
          <w:szCs w:val="32"/>
        </w:rPr>
        <w:t>万元，因</w:t>
      </w:r>
      <w:r>
        <w:rPr>
          <w:rFonts w:eastAsia="方正仿宋_GBK"/>
          <w:sz w:val="32"/>
          <w:szCs w:val="32"/>
        </w:rPr>
        <w:t>2023</w:t>
      </w:r>
      <w:r>
        <w:rPr>
          <w:rFonts w:eastAsia="方正仿宋_GBK"/>
          <w:sz w:val="32"/>
          <w:szCs w:val="32"/>
        </w:rPr>
        <w:t>年部门是编制的整体预算，</w:t>
      </w:r>
      <w:r>
        <w:rPr>
          <w:rFonts w:eastAsia="方正仿宋_GBK"/>
          <w:sz w:val="32"/>
          <w:szCs w:val="32"/>
        </w:rPr>
        <w:t>2024</w:t>
      </w:r>
      <w:r>
        <w:rPr>
          <w:rFonts w:eastAsia="方正仿宋_GBK"/>
          <w:sz w:val="32"/>
          <w:szCs w:val="32"/>
        </w:rPr>
        <w:t>年预算采取分二级单位的形式编制部门预算和单位预算，故较</w:t>
      </w:r>
      <w:r>
        <w:rPr>
          <w:rFonts w:eastAsia="方正仿宋_GBK"/>
          <w:sz w:val="32"/>
          <w:szCs w:val="32"/>
        </w:rPr>
        <w:t>2023</w:t>
      </w:r>
      <w:r>
        <w:rPr>
          <w:rFonts w:eastAsia="方正仿宋_GBK"/>
          <w:sz w:val="32"/>
          <w:szCs w:val="32"/>
        </w:rPr>
        <w:t>年不能作对比；公务接待费</w:t>
      </w:r>
      <w:r>
        <w:rPr>
          <w:rFonts w:eastAsia="方正仿宋_GBK"/>
          <w:sz w:val="32"/>
          <w:szCs w:val="32"/>
        </w:rPr>
        <w:t>0</w:t>
      </w:r>
      <w:r>
        <w:rPr>
          <w:rFonts w:eastAsia="方正仿宋_GBK"/>
          <w:sz w:val="32"/>
          <w:szCs w:val="32"/>
        </w:rPr>
        <w:t>万元，因</w:t>
      </w:r>
      <w:r>
        <w:rPr>
          <w:rFonts w:eastAsia="方正仿宋_GBK"/>
          <w:sz w:val="32"/>
          <w:szCs w:val="32"/>
        </w:rPr>
        <w:t>2023</w:t>
      </w:r>
      <w:r>
        <w:rPr>
          <w:rFonts w:eastAsia="方正仿宋_GBK"/>
          <w:sz w:val="32"/>
          <w:szCs w:val="32"/>
        </w:rPr>
        <w:t>年部门是编制的整体预算，</w:t>
      </w:r>
      <w:r>
        <w:rPr>
          <w:rFonts w:eastAsia="方正仿宋_GBK"/>
          <w:sz w:val="32"/>
          <w:szCs w:val="32"/>
        </w:rPr>
        <w:t>2024</w:t>
      </w:r>
      <w:r>
        <w:rPr>
          <w:rFonts w:eastAsia="方正仿宋_GBK"/>
          <w:sz w:val="32"/>
          <w:szCs w:val="32"/>
        </w:rPr>
        <w:t>年预算采取分二级单位的形式编制部门预算和单位预算，故较</w:t>
      </w:r>
      <w:r>
        <w:rPr>
          <w:rFonts w:eastAsia="方正仿宋_GBK"/>
          <w:sz w:val="32"/>
          <w:szCs w:val="32"/>
        </w:rPr>
        <w:t>2023</w:t>
      </w:r>
      <w:r>
        <w:rPr>
          <w:rFonts w:eastAsia="方正仿宋_GBK"/>
          <w:sz w:val="32"/>
          <w:szCs w:val="32"/>
        </w:rPr>
        <w:t>年不能作对比；公务用车运行维护费</w:t>
      </w:r>
      <w:r>
        <w:rPr>
          <w:rFonts w:eastAsia="方正仿宋_GBK"/>
          <w:sz w:val="32"/>
          <w:szCs w:val="32"/>
        </w:rPr>
        <w:t>0</w:t>
      </w:r>
      <w:r>
        <w:rPr>
          <w:rFonts w:eastAsia="方正仿宋_GBK"/>
          <w:sz w:val="32"/>
          <w:szCs w:val="32"/>
        </w:rPr>
        <w:t>万元，因</w:t>
      </w:r>
      <w:r>
        <w:rPr>
          <w:rFonts w:eastAsia="方正仿宋_GBK"/>
          <w:sz w:val="32"/>
          <w:szCs w:val="32"/>
        </w:rPr>
        <w:t>2023</w:t>
      </w:r>
      <w:r>
        <w:rPr>
          <w:rFonts w:eastAsia="方正仿宋_GBK"/>
          <w:sz w:val="32"/>
          <w:szCs w:val="32"/>
        </w:rPr>
        <w:t>年部门是编制的整体预算，</w:t>
      </w:r>
      <w:r>
        <w:rPr>
          <w:rFonts w:eastAsia="方正仿宋_GBK"/>
          <w:sz w:val="32"/>
          <w:szCs w:val="32"/>
        </w:rPr>
        <w:t>2024</w:t>
      </w:r>
      <w:r>
        <w:rPr>
          <w:rFonts w:eastAsia="方正仿宋_GBK"/>
          <w:sz w:val="32"/>
          <w:szCs w:val="32"/>
        </w:rPr>
        <w:t>年预算采取分二级单位的形式编制部门预算和单位预算，故较</w:t>
      </w:r>
      <w:r>
        <w:rPr>
          <w:rFonts w:eastAsia="方正仿宋_GBK"/>
          <w:sz w:val="32"/>
          <w:szCs w:val="32"/>
        </w:rPr>
        <w:t>2023</w:t>
      </w:r>
      <w:r>
        <w:rPr>
          <w:rFonts w:eastAsia="方正仿宋_GBK"/>
          <w:sz w:val="32"/>
          <w:szCs w:val="32"/>
        </w:rPr>
        <w:t>年不能作对比；公务用车购置费</w:t>
      </w:r>
      <w:r>
        <w:rPr>
          <w:rFonts w:eastAsia="方正仿宋_GBK"/>
          <w:sz w:val="32"/>
          <w:szCs w:val="32"/>
        </w:rPr>
        <w:t>0</w:t>
      </w:r>
      <w:r>
        <w:rPr>
          <w:rFonts w:eastAsia="方正仿宋_GBK"/>
          <w:sz w:val="32"/>
          <w:szCs w:val="32"/>
        </w:rPr>
        <w:t>万元，因</w:t>
      </w:r>
      <w:r>
        <w:rPr>
          <w:rFonts w:eastAsia="方正仿宋_GBK"/>
          <w:sz w:val="32"/>
          <w:szCs w:val="32"/>
        </w:rPr>
        <w:t>2023</w:t>
      </w:r>
      <w:r>
        <w:rPr>
          <w:rFonts w:eastAsia="方正仿宋_GBK"/>
          <w:sz w:val="32"/>
          <w:szCs w:val="32"/>
        </w:rPr>
        <w:t>年部</w:t>
      </w:r>
      <w:r>
        <w:rPr>
          <w:rFonts w:eastAsia="方正仿宋_GBK"/>
          <w:sz w:val="32"/>
          <w:szCs w:val="32"/>
        </w:rPr>
        <w:t>门是编制的整体预算，</w:t>
      </w:r>
      <w:r>
        <w:rPr>
          <w:rFonts w:eastAsia="方正仿宋_GBK"/>
          <w:sz w:val="32"/>
          <w:szCs w:val="32"/>
        </w:rPr>
        <w:t>2024</w:t>
      </w:r>
      <w:r>
        <w:rPr>
          <w:rFonts w:eastAsia="方正仿宋_GBK"/>
          <w:sz w:val="32"/>
          <w:szCs w:val="32"/>
        </w:rPr>
        <w:t>年预算采取分二级单位的形式编制部门预算和单位预算，故较</w:t>
      </w:r>
      <w:r>
        <w:rPr>
          <w:rFonts w:eastAsia="方正仿宋_GBK"/>
          <w:sz w:val="32"/>
          <w:szCs w:val="32"/>
        </w:rPr>
        <w:t>2023</w:t>
      </w:r>
      <w:r>
        <w:rPr>
          <w:rFonts w:eastAsia="方正仿宋_GBK"/>
          <w:sz w:val="32"/>
          <w:szCs w:val="32"/>
        </w:rPr>
        <w:t>年</w:t>
      </w:r>
      <w:r>
        <w:rPr>
          <w:rFonts w:eastAsia="方正仿宋_GBK"/>
          <w:sz w:val="32"/>
          <w:szCs w:val="32"/>
        </w:rPr>
        <w:lastRenderedPageBreak/>
        <w:t>不能作对比。</w:t>
      </w:r>
    </w:p>
    <w:p w:rsidR="00000000" w:rsidRDefault="009D4039">
      <w:pPr>
        <w:snapToGrid w:val="0"/>
        <w:spacing w:line="600" w:lineRule="exact"/>
        <w:ind w:firstLineChars="200" w:firstLine="640"/>
        <w:rPr>
          <w:rFonts w:ascii="方正黑体_GBK" w:eastAsia="方正黑体_GBK" w:hAnsi="方正黑体_GBK" w:cs="方正黑体_GBK" w:hint="eastAsia"/>
          <w:sz w:val="32"/>
          <w:szCs w:val="32"/>
        </w:rPr>
      </w:pPr>
      <w:r>
        <w:rPr>
          <w:rFonts w:ascii="方正黑体_GBK" w:eastAsia="方正黑体_GBK" w:hAnsi="方正黑体_GBK" w:cs="方正黑体_GBK" w:hint="eastAsia"/>
          <w:sz w:val="32"/>
          <w:szCs w:val="32"/>
        </w:rPr>
        <w:t>五、其他重要事项的情况说明</w:t>
      </w:r>
    </w:p>
    <w:p w:rsidR="00000000" w:rsidRDefault="009D4039">
      <w:pPr>
        <w:snapToGrid w:val="0"/>
        <w:spacing w:line="600" w:lineRule="exact"/>
        <w:ind w:firstLineChars="200" w:firstLine="640"/>
        <w:rPr>
          <w:rFonts w:eastAsia="方正仿宋_GBK"/>
          <w:sz w:val="32"/>
          <w:szCs w:val="32"/>
        </w:rPr>
      </w:pPr>
      <w:r>
        <w:rPr>
          <w:rFonts w:ascii="方正楷体_GBK" w:eastAsia="方正楷体_GBK" w:hAnsi="方正楷体_GBK" w:cs="方正楷体_GBK" w:hint="eastAsia"/>
          <w:sz w:val="32"/>
          <w:szCs w:val="32"/>
        </w:rPr>
        <w:t>（一）机关运行经费。</w:t>
      </w:r>
      <w:r>
        <w:rPr>
          <w:rFonts w:eastAsia="方正仿宋_GBK"/>
          <w:sz w:val="32"/>
          <w:szCs w:val="32"/>
        </w:rPr>
        <w:t>我单位不在机关运行经费统计范围之内。</w:t>
      </w:r>
    </w:p>
    <w:p w:rsidR="00000000" w:rsidRDefault="009D4039">
      <w:pPr>
        <w:snapToGrid w:val="0"/>
        <w:spacing w:line="600" w:lineRule="exact"/>
        <w:ind w:firstLineChars="200" w:firstLine="640"/>
        <w:rPr>
          <w:rFonts w:eastAsia="方正仿宋_GBK"/>
          <w:sz w:val="32"/>
          <w:szCs w:val="32"/>
        </w:rPr>
      </w:pPr>
      <w:r>
        <w:rPr>
          <w:rFonts w:ascii="方正楷体_GBK" w:eastAsia="方正楷体_GBK" w:hAnsi="方正楷体_GBK" w:cs="方正楷体_GBK" w:hint="eastAsia"/>
          <w:sz w:val="32"/>
          <w:szCs w:val="32"/>
        </w:rPr>
        <w:t>（二）政府采购情况。</w:t>
      </w:r>
      <w:r>
        <w:rPr>
          <w:rFonts w:eastAsia="方正仿宋_GBK"/>
          <w:sz w:val="32"/>
          <w:szCs w:val="32"/>
        </w:rPr>
        <w:t>本单位政府采购预算总额</w:t>
      </w:r>
      <w:r>
        <w:rPr>
          <w:rFonts w:eastAsia="方正仿宋_GBK"/>
          <w:sz w:val="32"/>
          <w:szCs w:val="32"/>
        </w:rPr>
        <w:t>0</w:t>
      </w:r>
      <w:r>
        <w:rPr>
          <w:rFonts w:eastAsia="方正仿宋_GBK"/>
          <w:sz w:val="32"/>
          <w:szCs w:val="32"/>
        </w:rPr>
        <w:t>万元：政府采购货物预算</w:t>
      </w:r>
      <w:r>
        <w:rPr>
          <w:rFonts w:eastAsia="方正仿宋_GBK"/>
          <w:sz w:val="32"/>
          <w:szCs w:val="32"/>
        </w:rPr>
        <w:t>0</w:t>
      </w:r>
      <w:r>
        <w:rPr>
          <w:rFonts w:eastAsia="方正仿宋_GBK"/>
          <w:sz w:val="32"/>
          <w:szCs w:val="32"/>
        </w:rPr>
        <w:t>万元、政府采购工程预算</w:t>
      </w:r>
      <w:r>
        <w:rPr>
          <w:rFonts w:eastAsia="方正仿宋_GBK"/>
          <w:sz w:val="32"/>
          <w:szCs w:val="32"/>
        </w:rPr>
        <w:t>0</w:t>
      </w:r>
      <w:r>
        <w:rPr>
          <w:rFonts w:eastAsia="方正仿宋_GBK"/>
          <w:sz w:val="32"/>
          <w:szCs w:val="32"/>
        </w:rPr>
        <w:t>万元、政府采购服务预算</w:t>
      </w:r>
      <w:r>
        <w:rPr>
          <w:rFonts w:eastAsia="方正仿宋_GBK"/>
          <w:sz w:val="32"/>
          <w:szCs w:val="32"/>
        </w:rPr>
        <w:t>0</w:t>
      </w:r>
      <w:r>
        <w:rPr>
          <w:rFonts w:eastAsia="方正仿宋_GBK"/>
          <w:sz w:val="32"/>
          <w:szCs w:val="32"/>
        </w:rPr>
        <w:t>万元；其中一般公共预算拨款政府采购</w:t>
      </w:r>
      <w:r>
        <w:rPr>
          <w:rFonts w:eastAsia="方正仿宋_GBK"/>
          <w:sz w:val="32"/>
          <w:szCs w:val="32"/>
        </w:rPr>
        <w:t>0</w:t>
      </w:r>
      <w:r>
        <w:rPr>
          <w:rFonts w:eastAsia="方正仿宋_GBK"/>
          <w:sz w:val="32"/>
          <w:szCs w:val="32"/>
        </w:rPr>
        <w:t>万元：政府采购货物预算</w:t>
      </w:r>
      <w:r>
        <w:rPr>
          <w:rFonts w:eastAsia="方正仿宋_GBK"/>
          <w:sz w:val="32"/>
          <w:szCs w:val="32"/>
        </w:rPr>
        <w:t>0</w:t>
      </w:r>
      <w:r>
        <w:rPr>
          <w:rFonts w:eastAsia="方正仿宋_GBK"/>
          <w:sz w:val="32"/>
          <w:szCs w:val="32"/>
        </w:rPr>
        <w:t>万元、政府采购工程预算</w:t>
      </w:r>
      <w:r>
        <w:rPr>
          <w:rFonts w:eastAsia="方正仿宋_GBK"/>
          <w:sz w:val="32"/>
          <w:szCs w:val="32"/>
        </w:rPr>
        <w:t>0</w:t>
      </w:r>
      <w:r>
        <w:rPr>
          <w:rFonts w:eastAsia="方正仿宋_GBK"/>
          <w:sz w:val="32"/>
          <w:szCs w:val="32"/>
        </w:rPr>
        <w:t>万元、政府采购服务预算</w:t>
      </w:r>
      <w:r>
        <w:rPr>
          <w:rFonts w:eastAsia="方正仿宋_GBK"/>
          <w:sz w:val="32"/>
          <w:szCs w:val="32"/>
        </w:rPr>
        <w:t>0</w:t>
      </w:r>
      <w:r>
        <w:rPr>
          <w:rFonts w:eastAsia="方正仿宋_GBK"/>
          <w:sz w:val="32"/>
          <w:szCs w:val="32"/>
        </w:rPr>
        <w:t>万元。</w:t>
      </w:r>
    </w:p>
    <w:p w:rsidR="00000000" w:rsidRDefault="009D4039">
      <w:pPr>
        <w:snapToGrid w:val="0"/>
        <w:spacing w:line="600" w:lineRule="exact"/>
        <w:ind w:firstLineChars="200" w:firstLine="640"/>
        <w:rPr>
          <w:rFonts w:eastAsia="方正仿宋_GBK"/>
          <w:color w:val="000000"/>
          <w:sz w:val="32"/>
          <w:szCs w:val="32"/>
        </w:rPr>
      </w:pPr>
      <w:r>
        <w:rPr>
          <w:rFonts w:ascii="方正楷体_GBK" w:eastAsia="方正楷体_GBK" w:hAnsi="方正楷体_GBK" w:cs="方正楷体_GBK" w:hint="eastAsia"/>
          <w:sz w:val="32"/>
          <w:szCs w:val="32"/>
        </w:rPr>
        <w:t>（三）绩效目标设置情况。</w:t>
      </w:r>
      <w:r>
        <w:rPr>
          <w:rFonts w:eastAsia="方正仿宋_GBK"/>
          <w:color w:val="000000"/>
          <w:sz w:val="32"/>
          <w:szCs w:val="32"/>
        </w:rPr>
        <w:t>2024</w:t>
      </w:r>
      <w:r>
        <w:rPr>
          <w:rFonts w:eastAsia="方正仿宋_GBK"/>
          <w:color w:val="000000"/>
          <w:sz w:val="32"/>
          <w:szCs w:val="32"/>
        </w:rPr>
        <w:t>年项目支出均实行了绩效目标管理，涉及一般公共预算财政拨款</w:t>
      </w:r>
      <w:r>
        <w:rPr>
          <w:rFonts w:eastAsia="方正仿宋_GBK"/>
          <w:color w:val="000000"/>
          <w:sz w:val="32"/>
          <w:szCs w:val="32"/>
        </w:rPr>
        <w:t>0</w:t>
      </w:r>
      <w:r>
        <w:rPr>
          <w:rFonts w:eastAsia="方正仿宋_GBK"/>
          <w:color w:val="000000"/>
          <w:sz w:val="32"/>
          <w:szCs w:val="32"/>
        </w:rPr>
        <w:t>万元。</w:t>
      </w:r>
    </w:p>
    <w:p w:rsidR="00000000" w:rsidRDefault="009D4039">
      <w:pPr>
        <w:snapToGrid w:val="0"/>
        <w:spacing w:line="600" w:lineRule="exact"/>
        <w:ind w:firstLineChars="200" w:firstLine="640"/>
        <w:rPr>
          <w:rFonts w:eastAsia="方正仿宋_GBK"/>
          <w:color w:val="000000"/>
          <w:sz w:val="32"/>
          <w:szCs w:val="32"/>
        </w:rPr>
      </w:pPr>
      <w:r>
        <w:rPr>
          <w:rFonts w:ascii="方正楷体_GBK" w:eastAsia="方正楷体_GBK" w:hAnsi="方正楷体_GBK" w:cs="方正楷体_GBK" w:hint="eastAsia"/>
          <w:sz w:val="32"/>
          <w:szCs w:val="32"/>
        </w:rPr>
        <w:t>（四）国有资产占有使用情况</w:t>
      </w:r>
      <w:r>
        <w:rPr>
          <w:rFonts w:ascii="方正楷体_GBK" w:eastAsia="方正楷体_GBK" w:hAnsi="方正楷体_GBK" w:cs="方正楷体_GBK" w:hint="eastAsia"/>
          <w:color w:val="000000"/>
          <w:sz w:val="32"/>
          <w:szCs w:val="32"/>
        </w:rPr>
        <w:t>。</w:t>
      </w:r>
      <w:r>
        <w:rPr>
          <w:rFonts w:eastAsia="方正仿宋_GBK"/>
          <w:color w:val="000000"/>
          <w:sz w:val="32"/>
          <w:szCs w:val="32"/>
        </w:rPr>
        <w:t>截止</w:t>
      </w:r>
      <w:r>
        <w:rPr>
          <w:rFonts w:eastAsia="方正仿宋_GBK"/>
          <w:color w:val="000000"/>
          <w:sz w:val="32"/>
          <w:szCs w:val="32"/>
        </w:rPr>
        <w:t>2023</w:t>
      </w:r>
      <w:r>
        <w:rPr>
          <w:rFonts w:eastAsia="方正仿宋_GBK"/>
          <w:color w:val="000000"/>
          <w:sz w:val="32"/>
          <w:szCs w:val="32"/>
        </w:rPr>
        <w:t>年</w:t>
      </w:r>
      <w:r>
        <w:rPr>
          <w:rFonts w:eastAsia="方正仿宋_GBK"/>
          <w:color w:val="000000"/>
          <w:sz w:val="32"/>
          <w:szCs w:val="32"/>
        </w:rPr>
        <w:t>12</w:t>
      </w:r>
      <w:r>
        <w:rPr>
          <w:rFonts w:eastAsia="方正仿宋_GBK"/>
          <w:color w:val="000000"/>
          <w:sz w:val="32"/>
          <w:szCs w:val="32"/>
        </w:rPr>
        <w:t>月，本单位共有车辆</w:t>
      </w:r>
      <w:r>
        <w:rPr>
          <w:rFonts w:eastAsia="方正仿宋_GBK"/>
          <w:color w:val="000000"/>
          <w:sz w:val="32"/>
          <w:szCs w:val="32"/>
        </w:rPr>
        <w:t>0</w:t>
      </w:r>
      <w:r>
        <w:rPr>
          <w:rFonts w:eastAsia="方正仿宋_GBK"/>
          <w:color w:val="000000"/>
          <w:sz w:val="32"/>
          <w:szCs w:val="32"/>
        </w:rPr>
        <w:t>辆，其中一般公务用车</w:t>
      </w:r>
      <w:r>
        <w:rPr>
          <w:rFonts w:eastAsia="方正仿宋_GBK"/>
          <w:color w:val="000000"/>
          <w:sz w:val="32"/>
          <w:szCs w:val="32"/>
        </w:rPr>
        <w:t>0</w:t>
      </w:r>
      <w:r>
        <w:rPr>
          <w:rFonts w:eastAsia="方正仿宋_GBK"/>
          <w:color w:val="000000"/>
          <w:sz w:val="32"/>
          <w:szCs w:val="32"/>
        </w:rPr>
        <w:t>辆、执勤执法用车</w:t>
      </w:r>
      <w:r>
        <w:rPr>
          <w:rFonts w:eastAsia="方正仿宋_GBK"/>
          <w:color w:val="000000"/>
          <w:sz w:val="32"/>
          <w:szCs w:val="32"/>
        </w:rPr>
        <w:t>0</w:t>
      </w:r>
      <w:r>
        <w:rPr>
          <w:rFonts w:eastAsia="方正仿宋_GBK"/>
          <w:color w:val="000000"/>
          <w:sz w:val="32"/>
          <w:szCs w:val="32"/>
        </w:rPr>
        <w:t>辆。</w:t>
      </w:r>
      <w:r>
        <w:rPr>
          <w:rFonts w:eastAsia="方正仿宋_GBK"/>
          <w:color w:val="000000"/>
          <w:sz w:val="32"/>
          <w:szCs w:val="32"/>
        </w:rPr>
        <w:t>2024</w:t>
      </w:r>
      <w:r>
        <w:rPr>
          <w:rFonts w:eastAsia="方正仿宋_GBK"/>
          <w:color w:val="000000"/>
          <w:sz w:val="32"/>
          <w:szCs w:val="32"/>
        </w:rPr>
        <w:t>年一般公共预算安排购置车辆</w:t>
      </w:r>
      <w:r>
        <w:rPr>
          <w:rFonts w:eastAsia="方正仿宋_GBK"/>
          <w:color w:val="000000"/>
          <w:sz w:val="32"/>
          <w:szCs w:val="32"/>
        </w:rPr>
        <w:t>0</w:t>
      </w:r>
      <w:r>
        <w:rPr>
          <w:rFonts w:eastAsia="方正仿宋_GBK"/>
          <w:color w:val="000000"/>
          <w:sz w:val="32"/>
          <w:szCs w:val="32"/>
        </w:rPr>
        <w:t>辆，其中一般公务用车</w:t>
      </w:r>
      <w:r>
        <w:rPr>
          <w:rFonts w:eastAsia="方正仿宋_GBK"/>
          <w:color w:val="000000"/>
          <w:sz w:val="32"/>
          <w:szCs w:val="32"/>
        </w:rPr>
        <w:t>0</w:t>
      </w:r>
      <w:r>
        <w:rPr>
          <w:rFonts w:eastAsia="方正仿宋_GBK"/>
          <w:color w:val="000000"/>
          <w:sz w:val="32"/>
          <w:szCs w:val="32"/>
        </w:rPr>
        <w:t>辆、执勤执法用车</w:t>
      </w:r>
      <w:r>
        <w:rPr>
          <w:rFonts w:eastAsia="方正仿宋_GBK"/>
          <w:color w:val="000000"/>
          <w:sz w:val="32"/>
          <w:szCs w:val="32"/>
        </w:rPr>
        <w:t>0</w:t>
      </w:r>
      <w:r>
        <w:rPr>
          <w:rFonts w:eastAsia="方正仿宋_GBK"/>
          <w:color w:val="000000"/>
          <w:sz w:val="32"/>
          <w:szCs w:val="32"/>
        </w:rPr>
        <w:t>辆。</w:t>
      </w:r>
    </w:p>
    <w:p w:rsidR="00000000" w:rsidRDefault="009D4039">
      <w:pPr>
        <w:snapToGrid w:val="0"/>
        <w:spacing w:line="600" w:lineRule="exact"/>
        <w:ind w:firstLineChars="200" w:firstLine="640"/>
        <w:rPr>
          <w:rFonts w:ascii="方正黑体_GBK" w:eastAsia="方正黑体_GBK" w:hAnsi="方正黑体_GBK" w:cs="方正黑体_GBK" w:hint="eastAsia"/>
          <w:sz w:val="32"/>
          <w:szCs w:val="32"/>
        </w:rPr>
      </w:pPr>
      <w:r>
        <w:rPr>
          <w:rFonts w:ascii="方正黑体_GBK" w:eastAsia="方正黑体_GBK" w:hAnsi="方正黑体_GBK" w:cs="方正黑体_GBK" w:hint="eastAsia"/>
          <w:sz w:val="32"/>
          <w:szCs w:val="32"/>
        </w:rPr>
        <w:t>六、专业</w:t>
      </w:r>
      <w:proofErr w:type="gramStart"/>
      <w:r>
        <w:rPr>
          <w:rFonts w:ascii="方正黑体_GBK" w:eastAsia="方正黑体_GBK" w:hAnsi="方正黑体_GBK" w:cs="方正黑体_GBK" w:hint="eastAsia"/>
          <w:sz w:val="32"/>
          <w:szCs w:val="32"/>
        </w:rPr>
        <w:t>性名</w:t>
      </w:r>
      <w:proofErr w:type="gramEnd"/>
      <w:r>
        <w:rPr>
          <w:rFonts w:ascii="方正黑体_GBK" w:eastAsia="方正黑体_GBK" w:hAnsi="方正黑体_GBK" w:cs="方正黑体_GBK" w:hint="eastAsia"/>
          <w:sz w:val="32"/>
          <w:szCs w:val="32"/>
        </w:rPr>
        <w:t>词解释</w:t>
      </w:r>
    </w:p>
    <w:p w:rsidR="00000000" w:rsidRDefault="009D4039">
      <w:pPr>
        <w:pStyle w:val="a8"/>
        <w:tabs>
          <w:tab w:val="center" w:pos="4153"/>
          <w:tab w:val="left" w:pos="7275"/>
        </w:tabs>
        <w:snapToGrid w:val="0"/>
        <w:spacing w:line="600" w:lineRule="exact"/>
        <w:ind w:firstLine="640"/>
        <w:jc w:val="left"/>
        <w:rPr>
          <w:rFonts w:eastAsia="方正仿宋_GBK"/>
          <w:sz w:val="32"/>
          <w:szCs w:val="32"/>
        </w:rPr>
      </w:pPr>
      <w:r>
        <w:rPr>
          <w:rFonts w:ascii="方正楷体_GBK" w:eastAsia="方正楷体_GBK" w:hAnsi="方正楷体_GBK" w:cs="方正楷体_GBK" w:hint="eastAsia"/>
          <w:sz w:val="32"/>
          <w:szCs w:val="32"/>
        </w:rPr>
        <w:t>（一）财政拨款收入</w:t>
      </w:r>
      <w:r>
        <w:rPr>
          <w:rFonts w:ascii="方正楷体_GBK" w:eastAsia="方正楷体_GBK" w:hAnsi="方正楷体_GBK" w:cs="方正楷体_GBK" w:hint="eastAsia"/>
          <w:sz w:val="32"/>
          <w:szCs w:val="32"/>
        </w:rPr>
        <w:t>。</w:t>
      </w:r>
      <w:r>
        <w:rPr>
          <w:rFonts w:eastAsia="方正仿宋_GBK"/>
          <w:sz w:val="32"/>
          <w:szCs w:val="32"/>
        </w:rPr>
        <w:t>指本年度从本级财政部门取得的财政拨款，包括一般公共预算财政拨款和政府性基金预算财政拨款。</w:t>
      </w:r>
    </w:p>
    <w:p w:rsidR="00000000" w:rsidRDefault="009D4039">
      <w:pPr>
        <w:pStyle w:val="a8"/>
        <w:tabs>
          <w:tab w:val="center" w:pos="4153"/>
          <w:tab w:val="left" w:pos="7275"/>
        </w:tabs>
        <w:snapToGrid w:val="0"/>
        <w:spacing w:line="600" w:lineRule="exact"/>
        <w:ind w:firstLine="640"/>
        <w:jc w:val="left"/>
        <w:rPr>
          <w:rFonts w:eastAsia="方正仿宋_GBK"/>
          <w:sz w:val="32"/>
          <w:szCs w:val="32"/>
        </w:rPr>
      </w:pPr>
      <w:r>
        <w:rPr>
          <w:rFonts w:ascii="方正楷体_GBK" w:eastAsia="方正楷体_GBK" w:hAnsi="方正楷体_GBK" w:cs="方正楷体_GBK"/>
          <w:sz w:val="32"/>
          <w:szCs w:val="32"/>
        </w:rPr>
        <w:t>（二）其他收入</w:t>
      </w:r>
      <w:r>
        <w:rPr>
          <w:rFonts w:ascii="方正楷体_GBK" w:eastAsia="方正楷体_GBK" w:hAnsi="方正楷体_GBK" w:cs="方正楷体_GBK" w:hint="eastAsia"/>
          <w:sz w:val="32"/>
          <w:szCs w:val="32"/>
        </w:rPr>
        <w:t>。</w:t>
      </w:r>
      <w:r>
        <w:rPr>
          <w:rFonts w:eastAsia="方正仿宋_GBK"/>
          <w:sz w:val="32"/>
          <w:szCs w:val="32"/>
        </w:rPr>
        <w:t>指单位取得的除</w:t>
      </w:r>
      <w:r>
        <w:rPr>
          <w:rFonts w:eastAsia="方正仿宋_GBK"/>
          <w:sz w:val="32"/>
          <w:szCs w:val="32"/>
        </w:rPr>
        <w:t>“</w:t>
      </w:r>
      <w:r>
        <w:rPr>
          <w:rFonts w:eastAsia="方正仿宋_GBK"/>
          <w:sz w:val="32"/>
          <w:szCs w:val="32"/>
        </w:rPr>
        <w:t>财政拨款收入</w:t>
      </w:r>
      <w:r>
        <w:rPr>
          <w:rFonts w:eastAsia="方正仿宋_GBK"/>
          <w:sz w:val="32"/>
          <w:szCs w:val="32"/>
        </w:rPr>
        <w:t>”</w:t>
      </w:r>
      <w:r>
        <w:rPr>
          <w:rFonts w:eastAsia="方正仿宋_GBK"/>
          <w:sz w:val="32"/>
          <w:szCs w:val="32"/>
        </w:rPr>
        <w:t>、</w:t>
      </w:r>
      <w:r>
        <w:rPr>
          <w:rFonts w:eastAsia="方正仿宋_GBK"/>
          <w:sz w:val="32"/>
          <w:szCs w:val="32"/>
        </w:rPr>
        <w:t>“</w:t>
      </w:r>
      <w:r>
        <w:rPr>
          <w:rFonts w:eastAsia="方正仿宋_GBK"/>
          <w:sz w:val="32"/>
          <w:szCs w:val="32"/>
        </w:rPr>
        <w:t>事业收入</w:t>
      </w:r>
      <w:r>
        <w:rPr>
          <w:rFonts w:eastAsia="方正仿宋_GBK"/>
          <w:sz w:val="32"/>
          <w:szCs w:val="32"/>
        </w:rPr>
        <w:t>”</w:t>
      </w:r>
      <w:r>
        <w:rPr>
          <w:rFonts w:eastAsia="方正仿宋_GBK"/>
          <w:sz w:val="32"/>
          <w:szCs w:val="32"/>
        </w:rPr>
        <w:t>、</w:t>
      </w:r>
      <w:r>
        <w:rPr>
          <w:rFonts w:eastAsia="方正仿宋_GBK"/>
          <w:sz w:val="32"/>
          <w:szCs w:val="32"/>
        </w:rPr>
        <w:t>“</w:t>
      </w:r>
      <w:r>
        <w:rPr>
          <w:rFonts w:eastAsia="方正仿宋_GBK"/>
          <w:sz w:val="32"/>
          <w:szCs w:val="32"/>
        </w:rPr>
        <w:t>经营收入</w:t>
      </w:r>
      <w:r>
        <w:rPr>
          <w:rFonts w:eastAsia="方正仿宋_GBK"/>
          <w:sz w:val="32"/>
          <w:szCs w:val="32"/>
        </w:rPr>
        <w:t>”</w:t>
      </w:r>
      <w:r>
        <w:rPr>
          <w:rFonts w:eastAsia="方正仿宋_GBK"/>
          <w:sz w:val="32"/>
          <w:szCs w:val="32"/>
        </w:rPr>
        <w:t>等以外的收入。</w:t>
      </w:r>
    </w:p>
    <w:p w:rsidR="00000000" w:rsidRDefault="009D4039">
      <w:pPr>
        <w:pStyle w:val="a8"/>
        <w:tabs>
          <w:tab w:val="center" w:pos="4153"/>
          <w:tab w:val="left" w:pos="7275"/>
        </w:tabs>
        <w:snapToGrid w:val="0"/>
        <w:spacing w:line="600" w:lineRule="exact"/>
        <w:ind w:firstLine="640"/>
        <w:jc w:val="left"/>
        <w:rPr>
          <w:rFonts w:eastAsia="方正仿宋_GBK"/>
          <w:sz w:val="32"/>
          <w:szCs w:val="32"/>
        </w:rPr>
      </w:pPr>
      <w:r>
        <w:rPr>
          <w:rFonts w:ascii="方正楷体_GBK" w:eastAsia="方正楷体_GBK" w:hAnsi="方正楷体_GBK" w:cs="方正楷体_GBK"/>
          <w:sz w:val="32"/>
          <w:szCs w:val="32"/>
        </w:rPr>
        <w:t>（三）基本支出</w:t>
      </w:r>
      <w:r>
        <w:rPr>
          <w:rFonts w:ascii="方正楷体_GBK" w:eastAsia="方正楷体_GBK" w:hAnsi="方正楷体_GBK" w:cs="方正楷体_GBK" w:hint="eastAsia"/>
          <w:sz w:val="32"/>
          <w:szCs w:val="32"/>
        </w:rPr>
        <w:t>。</w:t>
      </w:r>
      <w:r>
        <w:rPr>
          <w:rFonts w:eastAsia="方正仿宋_GBK"/>
          <w:sz w:val="32"/>
          <w:szCs w:val="32"/>
        </w:rPr>
        <w:t>指为保障机构正常运转、完成日常工作任务而发生的人员经费和公用经费。</w:t>
      </w:r>
    </w:p>
    <w:p w:rsidR="00000000" w:rsidRDefault="009D4039">
      <w:pPr>
        <w:pStyle w:val="a8"/>
        <w:tabs>
          <w:tab w:val="center" w:pos="4153"/>
          <w:tab w:val="left" w:pos="7275"/>
        </w:tabs>
        <w:snapToGrid w:val="0"/>
        <w:spacing w:line="600" w:lineRule="exact"/>
        <w:ind w:firstLine="640"/>
        <w:jc w:val="left"/>
        <w:rPr>
          <w:rFonts w:eastAsia="方正仿宋_GBK"/>
          <w:sz w:val="32"/>
          <w:szCs w:val="32"/>
        </w:rPr>
      </w:pPr>
      <w:r>
        <w:rPr>
          <w:rFonts w:ascii="方正楷体_GBK" w:eastAsia="方正楷体_GBK" w:hAnsi="方正楷体_GBK" w:cs="方正楷体_GBK"/>
          <w:sz w:val="32"/>
          <w:szCs w:val="32"/>
        </w:rPr>
        <w:t>（四）项目支出</w:t>
      </w:r>
      <w:r>
        <w:rPr>
          <w:rFonts w:ascii="方正楷体_GBK" w:eastAsia="方正楷体_GBK" w:hAnsi="方正楷体_GBK" w:cs="方正楷体_GBK" w:hint="eastAsia"/>
          <w:sz w:val="32"/>
          <w:szCs w:val="32"/>
        </w:rPr>
        <w:t>。</w:t>
      </w:r>
      <w:r>
        <w:rPr>
          <w:rFonts w:eastAsia="方正仿宋_GBK"/>
          <w:sz w:val="32"/>
          <w:szCs w:val="32"/>
        </w:rPr>
        <w:t>指在基本支出之外为完成特定行政任务和事业发展目标所发生的支出。</w:t>
      </w:r>
    </w:p>
    <w:p w:rsidR="00000000" w:rsidRDefault="009D4039">
      <w:pPr>
        <w:snapToGrid w:val="0"/>
        <w:spacing w:line="600" w:lineRule="exact"/>
        <w:ind w:firstLineChars="200" w:firstLine="640"/>
        <w:rPr>
          <w:rFonts w:eastAsia="方正仿宋_GBK"/>
          <w:color w:val="000000"/>
          <w:sz w:val="32"/>
          <w:szCs w:val="32"/>
        </w:rPr>
      </w:pPr>
      <w:r>
        <w:rPr>
          <w:rFonts w:ascii="方正楷体_GBK" w:eastAsia="方正楷体_GBK" w:hAnsi="方正楷体_GBK" w:cs="方正楷体_GBK"/>
          <w:sz w:val="32"/>
          <w:szCs w:val="32"/>
        </w:rPr>
        <w:t>（五）</w:t>
      </w:r>
      <w:r>
        <w:rPr>
          <w:rFonts w:ascii="方正楷体_GBK" w:eastAsia="方正楷体_GBK" w:hAnsi="方正楷体_GBK" w:cs="方正楷体_GBK"/>
          <w:sz w:val="32"/>
          <w:szCs w:val="32"/>
        </w:rPr>
        <w:t>“</w:t>
      </w:r>
      <w:r>
        <w:rPr>
          <w:rFonts w:ascii="方正楷体_GBK" w:eastAsia="方正楷体_GBK" w:hAnsi="方正楷体_GBK" w:cs="方正楷体_GBK"/>
          <w:sz w:val="32"/>
          <w:szCs w:val="32"/>
        </w:rPr>
        <w:t>三公</w:t>
      </w:r>
      <w:r>
        <w:rPr>
          <w:rFonts w:ascii="方正楷体_GBK" w:eastAsia="方正楷体_GBK" w:hAnsi="方正楷体_GBK" w:cs="方正楷体_GBK"/>
          <w:sz w:val="32"/>
          <w:szCs w:val="32"/>
        </w:rPr>
        <w:t>”</w:t>
      </w:r>
      <w:r>
        <w:rPr>
          <w:rFonts w:ascii="方正楷体_GBK" w:eastAsia="方正楷体_GBK" w:hAnsi="方正楷体_GBK" w:cs="方正楷体_GBK"/>
          <w:sz w:val="32"/>
          <w:szCs w:val="32"/>
        </w:rPr>
        <w:t>经费</w:t>
      </w:r>
      <w:r>
        <w:rPr>
          <w:rFonts w:ascii="方正楷体_GBK" w:eastAsia="方正楷体_GBK" w:hAnsi="方正楷体_GBK" w:cs="方正楷体_GBK" w:hint="eastAsia"/>
          <w:sz w:val="32"/>
          <w:szCs w:val="32"/>
        </w:rPr>
        <w:t>。</w:t>
      </w:r>
      <w:r>
        <w:rPr>
          <w:rFonts w:eastAsia="方正仿宋_GBK"/>
          <w:sz w:val="32"/>
          <w:szCs w:val="32"/>
        </w:rPr>
        <w:t>指用一般公共预算财政拨款安排的因公出国（境）费、公务用车购置及运行维护费、公务接待费。其中，因公出国（境）</w:t>
      </w:r>
      <w:proofErr w:type="gramStart"/>
      <w:r>
        <w:rPr>
          <w:rFonts w:eastAsia="方正仿宋_GBK"/>
          <w:sz w:val="32"/>
          <w:szCs w:val="32"/>
        </w:rPr>
        <w:t>费反映</w:t>
      </w:r>
      <w:proofErr w:type="gramEnd"/>
      <w:r>
        <w:rPr>
          <w:rFonts w:eastAsia="方正仿宋_GBK"/>
          <w:sz w:val="32"/>
          <w:szCs w:val="32"/>
        </w:rPr>
        <w:t>单位公务出国（境）的国际旅费、国外城市间交通费、住宿费、伙食费、培训费、公杂费等支出；公务用车购置</w:t>
      </w:r>
      <w:proofErr w:type="gramStart"/>
      <w:r>
        <w:rPr>
          <w:rFonts w:eastAsia="方正仿宋_GBK"/>
          <w:sz w:val="32"/>
          <w:szCs w:val="32"/>
        </w:rPr>
        <w:t>费反映</w:t>
      </w:r>
      <w:proofErr w:type="gramEnd"/>
      <w:r>
        <w:rPr>
          <w:rFonts w:eastAsia="方正仿宋_GBK"/>
          <w:sz w:val="32"/>
          <w:szCs w:val="32"/>
        </w:rPr>
        <w:t>单位公务用车购置支出（</w:t>
      </w:r>
      <w:proofErr w:type="gramStart"/>
      <w:r>
        <w:rPr>
          <w:rFonts w:eastAsia="方正仿宋_GBK"/>
          <w:sz w:val="32"/>
          <w:szCs w:val="32"/>
        </w:rPr>
        <w:t>含车辆</w:t>
      </w:r>
      <w:proofErr w:type="gramEnd"/>
      <w:r>
        <w:rPr>
          <w:rFonts w:eastAsia="方正仿宋_GBK"/>
          <w:sz w:val="32"/>
          <w:szCs w:val="32"/>
        </w:rPr>
        <w:t>购置税）；公务用车运行维护费反映单位按规定保留的公务用车燃料费、维修费、过路过桥费、保险费、安全奖励费用等支出；公务接待</w:t>
      </w:r>
      <w:proofErr w:type="gramStart"/>
      <w:r>
        <w:rPr>
          <w:rFonts w:eastAsia="方正仿宋_GBK"/>
          <w:sz w:val="32"/>
          <w:szCs w:val="32"/>
        </w:rPr>
        <w:t>费反映</w:t>
      </w:r>
      <w:proofErr w:type="gramEnd"/>
      <w:r>
        <w:rPr>
          <w:rFonts w:eastAsia="方正仿宋_GBK"/>
          <w:sz w:val="32"/>
          <w:szCs w:val="32"/>
        </w:rPr>
        <w:t>单位按规定开支的各类公务接待（含外宾接待</w:t>
      </w:r>
      <w:r>
        <w:rPr>
          <w:rFonts w:eastAsia="方正仿宋_GBK"/>
          <w:sz w:val="32"/>
          <w:szCs w:val="32"/>
        </w:rPr>
        <w:t>）支出。</w:t>
      </w:r>
    </w:p>
    <w:p w:rsidR="00000000" w:rsidRDefault="009D4039">
      <w:pPr>
        <w:snapToGrid w:val="0"/>
        <w:spacing w:line="600" w:lineRule="exact"/>
        <w:ind w:firstLineChars="200" w:firstLine="643"/>
        <w:rPr>
          <w:rFonts w:eastAsia="方正仿宋_GBK"/>
          <w:b/>
          <w:sz w:val="32"/>
          <w:szCs w:val="32"/>
        </w:rPr>
      </w:pPr>
      <w:r>
        <w:rPr>
          <w:rFonts w:eastAsia="方正仿宋_GBK"/>
          <w:b/>
          <w:sz w:val="32"/>
          <w:szCs w:val="32"/>
        </w:rPr>
        <w:t>单位预算公开联系人：</w:t>
      </w:r>
      <w:proofErr w:type="gramStart"/>
      <w:r>
        <w:rPr>
          <w:rFonts w:eastAsia="方正仿宋_GBK" w:hint="eastAsia"/>
          <w:b/>
          <w:sz w:val="32"/>
          <w:szCs w:val="32"/>
        </w:rPr>
        <w:t>梁伦军</w:t>
      </w:r>
      <w:proofErr w:type="gramEnd"/>
      <w:r>
        <w:rPr>
          <w:rFonts w:eastAsia="方正仿宋_GBK"/>
          <w:b/>
          <w:sz w:val="32"/>
          <w:szCs w:val="32"/>
        </w:rPr>
        <w:t xml:space="preserve">       </w:t>
      </w:r>
    </w:p>
    <w:p w:rsidR="00000000" w:rsidRDefault="009D4039">
      <w:pPr>
        <w:snapToGrid w:val="0"/>
        <w:spacing w:line="600" w:lineRule="exact"/>
        <w:ind w:firstLineChars="200" w:firstLine="643"/>
        <w:rPr>
          <w:rFonts w:eastAsia="方正仿宋_GBK"/>
          <w:b/>
          <w:sz w:val="32"/>
          <w:szCs w:val="32"/>
        </w:rPr>
      </w:pPr>
      <w:r>
        <w:rPr>
          <w:rFonts w:eastAsia="方正仿宋_GBK"/>
          <w:b/>
          <w:sz w:val="32"/>
          <w:szCs w:val="32"/>
        </w:rPr>
        <w:t>联系方式：</w:t>
      </w:r>
      <w:r>
        <w:rPr>
          <w:rFonts w:eastAsia="方正仿宋_GBK"/>
          <w:b/>
          <w:sz w:val="32"/>
          <w:szCs w:val="32"/>
        </w:rPr>
        <w:t>023-58454082</w:t>
      </w:r>
      <w:bookmarkStart w:id="0" w:name="_GoBack"/>
      <w:bookmarkEnd w:id="0"/>
    </w:p>
    <w:sectPr w:rsidR="00000000">
      <w:footerReference w:type="even" r:id="rId6"/>
      <w:footerReference w:type="default" r:id="rId7"/>
      <w:pgSz w:w="11906" w:h="16838"/>
      <w:pgMar w:top="2098" w:right="1474" w:bottom="1984" w:left="1587" w:header="851" w:footer="1474"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9D4039">
      <w:r>
        <w:separator/>
      </w:r>
    </w:p>
  </w:endnote>
  <w:endnote w:type="continuationSeparator" w:id="0">
    <w:p w:rsidR="00000000" w:rsidRDefault="009D4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宋体">
    <w:altName w:val="SimSun"/>
    <w:panose1 w:val="02010600030101010101"/>
    <w:charset w:val="86"/>
    <w:family w:val="roman"/>
    <w:pitch w:val="variable"/>
    <w:sig w:usb0="21002A87" w:usb1="298F0000" w:usb2="00000016" w:usb3="00000000" w:csb0="003F01F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9D4039">
    <w:pPr>
      <w:pStyle w:val="a4"/>
      <w:ind w:right="360"/>
      <w:rPr>
        <w:rFonts w:eastAsia="方正楷体_GBK"/>
        <w:sz w:val="28"/>
      </w:rPr>
    </w:pPr>
    <w:r>
      <w:rPr>
        <w:rStyle w:val="a7"/>
        <w:rFonts w:eastAsia="方正楷体_GBK"/>
        <w:sz w:val="28"/>
      </w:rPr>
      <w:t>―</w:t>
    </w:r>
    <w:r>
      <w:rPr>
        <w:rFonts w:eastAsia="方正楷体_GBK"/>
        <w:kern w:val="0"/>
        <w:sz w:val="28"/>
      </w:rPr>
      <w:t xml:space="preserve"> </w:t>
    </w:r>
    <w:r>
      <w:rPr>
        <w:rFonts w:eastAsia="方正楷体_GBK"/>
        <w:kern w:val="0"/>
        <w:sz w:val="28"/>
      </w:rPr>
      <w:fldChar w:fldCharType="begin"/>
    </w:r>
    <w:r>
      <w:rPr>
        <w:rFonts w:eastAsia="方正楷体_GBK"/>
        <w:kern w:val="0"/>
        <w:sz w:val="28"/>
      </w:rPr>
      <w:instrText xml:space="preserve"> PAGE </w:instrText>
    </w:r>
    <w:r>
      <w:rPr>
        <w:rFonts w:eastAsia="方正楷体_GBK"/>
        <w:kern w:val="0"/>
        <w:sz w:val="28"/>
      </w:rPr>
      <w:fldChar w:fldCharType="separate"/>
    </w:r>
    <w:r>
      <w:rPr>
        <w:rFonts w:eastAsia="方正楷体_GBK"/>
        <w:noProof/>
        <w:kern w:val="0"/>
        <w:sz w:val="28"/>
      </w:rPr>
      <w:t>4</w:t>
    </w:r>
    <w:r>
      <w:rPr>
        <w:rFonts w:eastAsia="方正楷体_GBK"/>
        <w:kern w:val="0"/>
        <w:sz w:val="28"/>
      </w:rPr>
      <w:fldChar w:fldCharType="end"/>
    </w:r>
    <w:r>
      <w:rPr>
        <w:rFonts w:eastAsia="方正楷体_GBK"/>
        <w:kern w:val="0"/>
        <w:sz w:val="28"/>
      </w:rPr>
      <w:t xml:space="preserve"> </w:t>
    </w:r>
    <w:r>
      <w:rPr>
        <w:rStyle w:val="a7"/>
        <w:rFonts w:eastAsia="方正楷体_GBK"/>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9D4039">
    <w:pPr>
      <w:pStyle w:val="a4"/>
      <w:jc w:val="right"/>
      <w:rPr>
        <w:rFonts w:eastAsia="方正楷体_GBK"/>
        <w:sz w:val="28"/>
      </w:rPr>
    </w:pPr>
    <w:r>
      <w:rPr>
        <w:rStyle w:val="a7"/>
        <w:rFonts w:eastAsia="方正楷体_GBK"/>
        <w:sz w:val="28"/>
      </w:rPr>
      <w:t>―</w:t>
    </w:r>
    <w:r>
      <w:rPr>
        <w:rFonts w:eastAsia="方正楷体_GBK"/>
        <w:kern w:val="0"/>
        <w:sz w:val="28"/>
      </w:rPr>
      <w:t xml:space="preserve"> </w:t>
    </w:r>
    <w:r>
      <w:rPr>
        <w:rFonts w:eastAsia="方正楷体_GBK"/>
        <w:kern w:val="0"/>
        <w:sz w:val="28"/>
      </w:rPr>
      <w:fldChar w:fldCharType="begin"/>
    </w:r>
    <w:r>
      <w:rPr>
        <w:rFonts w:eastAsia="方正楷体_GBK"/>
        <w:kern w:val="0"/>
        <w:sz w:val="28"/>
      </w:rPr>
      <w:instrText xml:space="preserve"> PAGE </w:instrText>
    </w:r>
    <w:r>
      <w:rPr>
        <w:rFonts w:eastAsia="方正楷体_GBK"/>
        <w:kern w:val="0"/>
        <w:sz w:val="28"/>
      </w:rPr>
      <w:fldChar w:fldCharType="separate"/>
    </w:r>
    <w:r>
      <w:rPr>
        <w:rFonts w:eastAsia="方正楷体_GBK"/>
        <w:noProof/>
        <w:kern w:val="0"/>
        <w:sz w:val="28"/>
      </w:rPr>
      <w:t>5</w:t>
    </w:r>
    <w:r>
      <w:rPr>
        <w:rFonts w:eastAsia="方正楷体_GBK"/>
        <w:kern w:val="0"/>
        <w:sz w:val="28"/>
      </w:rPr>
      <w:fldChar w:fldCharType="end"/>
    </w:r>
    <w:r>
      <w:rPr>
        <w:rFonts w:eastAsia="方正楷体_GBK"/>
        <w:kern w:val="0"/>
        <w:sz w:val="28"/>
      </w:rPr>
      <w:t xml:space="preserve"> </w:t>
    </w:r>
    <w:r>
      <w:rPr>
        <w:rStyle w:val="a7"/>
        <w:rFonts w:eastAsia="方正楷体_GBK"/>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9D4039">
      <w:r>
        <w:separator/>
      </w:r>
    </w:p>
  </w:footnote>
  <w:footnote w:type="continuationSeparator" w:id="0">
    <w:p w:rsidR="00000000" w:rsidRDefault="009D40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A1MTJjODVlZjBkNjhiNmE2MTJlNjI4N2E4MDdmMzYifQ=="/>
  </w:docVars>
  <w:rsids>
    <w:rsidRoot w:val="004F7D1D"/>
    <w:rsid w:val="00006FB1"/>
    <w:rsid w:val="0001271B"/>
    <w:rsid w:val="00023A4C"/>
    <w:rsid w:val="00042219"/>
    <w:rsid w:val="00047C7A"/>
    <w:rsid w:val="00053834"/>
    <w:rsid w:val="000551A4"/>
    <w:rsid w:val="000624D8"/>
    <w:rsid w:val="0007330D"/>
    <w:rsid w:val="00075914"/>
    <w:rsid w:val="0008570C"/>
    <w:rsid w:val="00091B93"/>
    <w:rsid w:val="00093301"/>
    <w:rsid w:val="00096685"/>
    <w:rsid w:val="000A60FC"/>
    <w:rsid w:val="000C3BC5"/>
    <w:rsid w:val="000C594E"/>
    <w:rsid w:val="000D2E8F"/>
    <w:rsid w:val="000D6437"/>
    <w:rsid w:val="000F1499"/>
    <w:rsid w:val="000F5707"/>
    <w:rsid w:val="0010264D"/>
    <w:rsid w:val="00106A76"/>
    <w:rsid w:val="00125C07"/>
    <w:rsid w:val="0014404E"/>
    <w:rsid w:val="001525DD"/>
    <w:rsid w:val="00161474"/>
    <w:rsid w:val="00165A74"/>
    <w:rsid w:val="00191ADC"/>
    <w:rsid w:val="001957F9"/>
    <w:rsid w:val="001C0A7C"/>
    <w:rsid w:val="001D0CAA"/>
    <w:rsid w:val="001D4937"/>
    <w:rsid w:val="001E1AED"/>
    <w:rsid w:val="001E31D9"/>
    <w:rsid w:val="00202E0A"/>
    <w:rsid w:val="002132E9"/>
    <w:rsid w:val="00213635"/>
    <w:rsid w:val="00226F1D"/>
    <w:rsid w:val="00242727"/>
    <w:rsid w:val="00246006"/>
    <w:rsid w:val="00246AA4"/>
    <w:rsid w:val="00252849"/>
    <w:rsid w:val="002605A5"/>
    <w:rsid w:val="0026529F"/>
    <w:rsid w:val="0027005A"/>
    <w:rsid w:val="002773F0"/>
    <w:rsid w:val="00280A93"/>
    <w:rsid w:val="00286440"/>
    <w:rsid w:val="002959B6"/>
    <w:rsid w:val="002B41F1"/>
    <w:rsid w:val="002C4122"/>
    <w:rsid w:val="002D2A88"/>
    <w:rsid w:val="002E46A9"/>
    <w:rsid w:val="0030024E"/>
    <w:rsid w:val="003019D9"/>
    <w:rsid w:val="00341606"/>
    <w:rsid w:val="00346387"/>
    <w:rsid w:val="0034700C"/>
    <w:rsid w:val="00357A28"/>
    <w:rsid w:val="00367516"/>
    <w:rsid w:val="00375FC9"/>
    <w:rsid w:val="00383298"/>
    <w:rsid w:val="003872D5"/>
    <w:rsid w:val="0039559F"/>
    <w:rsid w:val="003B11A5"/>
    <w:rsid w:val="003B33C4"/>
    <w:rsid w:val="003B36C2"/>
    <w:rsid w:val="003D14F0"/>
    <w:rsid w:val="003D7234"/>
    <w:rsid w:val="003D7504"/>
    <w:rsid w:val="003E4EB6"/>
    <w:rsid w:val="003F6450"/>
    <w:rsid w:val="00430B72"/>
    <w:rsid w:val="00437D88"/>
    <w:rsid w:val="004417DC"/>
    <w:rsid w:val="00445520"/>
    <w:rsid w:val="00462595"/>
    <w:rsid w:val="004756B4"/>
    <w:rsid w:val="00481BAA"/>
    <w:rsid w:val="0049017F"/>
    <w:rsid w:val="00492FB3"/>
    <w:rsid w:val="00496C6A"/>
    <w:rsid w:val="004B1650"/>
    <w:rsid w:val="004C42ED"/>
    <w:rsid w:val="004C60BD"/>
    <w:rsid w:val="004D1E02"/>
    <w:rsid w:val="004E592A"/>
    <w:rsid w:val="004E6E1A"/>
    <w:rsid w:val="004F1853"/>
    <w:rsid w:val="004F7D1D"/>
    <w:rsid w:val="00500B1D"/>
    <w:rsid w:val="00506DF4"/>
    <w:rsid w:val="00507823"/>
    <w:rsid w:val="005174B9"/>
    <w:rsid w:val="00536713"/>
    <w:rsid w:val="00543257"/>
    <w:rsid w:val="00572736"/>
    <w:rsid w:val="00580DDD"/>
    <w:rsid w:val="0058350C"/>
    <w:rsid w:val="00595C24"/>
    <w:rsid w:val="005A1227"/>
    <w:rsid w:val="005A4606"/>
    <w:rsid w:val="005A4AD7"/>
    <w:rsid w:val="005B0F11"/>
    <w:rsid w:val="005C3DD7"/>
    <w:rsid w:val="005E18A6"/>
    <w:rsid w:val="005F1960"/>
    <w:rsid w:val="006115F1"/>
    <w:rsid w:val="00620BCE"/>
    <w:rsid w:val="0066585E"/>
    <w:rsid w:val="006809FA"/>
    <w:rsid w:val="006C01C3"/>
    <w:rsid w:val="006D0C33"/>
    <w:rsid w:val="006D1609"/>
    <w:rsid w:val="006E0BEC"/>
    <w:rsid w:val="006E455F"/>
    <w:rsid w:val="006F7539"/>
    <w:rsid w:val="00714828"/>
    <w:rsid w:val="007158F8"/>
    <w:rsid w:val="0071734A"/>
    <w:rsid w:val="00724C69"/>
    <w:rsid w:val="007252E3"/>
    <w:rsid w:val="00742C4D"/>
    <w:rsid w:val="007620B8"/>
    <w:rsid w:val="00762CF8"/>
    <w:rsid w:val="00765DF5"/>
    <w:rsid w:val="007713EB"/>
    <w:rsid w:val="00791CE4"/>
    <w:rsid w:val="007B10D4"/>
    <w:rsid w:val="007B22D6"/>
    <w:rsid w:val="007B5ACF"/>
    <w:rsid w:val="007B6182"/>
    <w:rsid w:val="007C4C9B"/>
    <w:rsid w:val="007D2AEA"/>
    <w:rsid w:val="007E0B4D"/>
    <w:rsid w:val="007E6A39"/>
    <w:rsid w:val="007F68E5"/>
    <w:rsid w:val="00801BFF"/>
    <w:rsid w:val="00803270"/>
    <w:rsid w:val="00805D05"/>
    <w:rsid w:val="00813B4F"/>
    <w:rsid w:val="00830BF3"/>
    <w:rsid w:val="00833B65"/>
    <w:rsid w:val="008560C6"/>
    <w:rsid w:val="00876439"/>
    <w:rsid w:val="00880920"/>
    <w:rsid w:val="00893BF5"/>
    <w:rsid w:val="008A13B7"/>
    <w:rsid w:val="008A622D"/>
    <w:rsid w:val="008D2570"/>
    <w:rsid w:val="008E3C27"/>
    <w:rsid w:val="008E5A19"/>
    <w:rsid w:val="008E7590"/>
    <w:rsid w:val="008F1CA6"/>
    <w:rsid w:val="008F731A"/>
    <w:rsid w:val="00905727"/>
    <w:rsid w:val="00914195"/>
    <w:rsid w:val="00926FE2"/>
    <w:rsid w:val="00933A24"/>
    <w:rsid w:val="00936EDC"/>
    <w:rsid w:val="00940465"/>
    <w:rsid w:val="00942ED0"/>
    <w:rsid w:val="0094655E"/>
    <w:rsid w:val="00946D33"/>
    <w:rsid w:val="009561D9"/>
    <w:rsid w:val="009653AE"/>
    <w:rsid w:val="00972AB0"/>
    <w:rsid w:val="00983001"/>
    <w:rsid w:val="0098712E"/>
    <w:rsid w:val="009B77D4"/>
    <w:rsid w:val="009D4039"/>
    <w:rsid w:val="009E6734"/>
    <w:rsid w:val="009F01A9"/>
    <w:rsid w:val="00A05F72"/>
    <w:rsid w:val="00A07288"/>
    <w:rsid w:val="00A174AB"/>
    <w:rsid w:val="00A21DCD"/>
    <w:rsid w:val="00A33F5E"/>
    <w:rsid w:val="00A35F07"/>
    <w:rsid w:val="00A3721F"/>
    <w:rsid w:val="00A45A23"/>
    <w:rsid w:val="00A52D34"/>
    <w:rsid w:val="00A712EA"/>
    <w:rsid w:val="00A8020D"/>
    <w:rsid w:val="00A802E9"/>
    <w:rsid w:val="00A80B6C"/>
    <w:rsid w:val="00AA324B"/>
    <w:rsid w:val="00AB25DF"/>
    <w:rsid w:val="00AC6F85"/>
    <w:rsid w:val="00AE0A20"/>
    <w:rsid w:val="00AE4156"/>
    <w:rsid w:val="00B1352B"/>
    <w:rsid w:val="00B24FA7"/>
    <w:rsid w:val="00B257E3"/>
    <w:rsid w:val="00B54CE7"/>
    <w:rsid w:val="00B558CC"/>
    <w:rsid w:val="00B56688"/>
    <w:rsid w:val="00B65450"/>
    <w:rsid w:val="00B72347"/>
    <w:rsid w:val="00B86388"/>
    <w:rsid w:val="00BB3B39"/>
    <w:rsid w:val="00BC2C3D"/>
    <w:rsid w:val="00BD0BB9"/>
    <w:rsid w:val="00BD5FA5"/>
    <w:rsid w:val="00BE573E"/>
    <w:rsid w:val="00BF67E7"/>
    <w:rsid w:val="00C2696C"/>
    <w:rsid w:val="00C427D3"/>
    <w:rsid w:val="00C47446"/>
    <w:rsid w:val="00C5758E"/>
    <w:rsid w:val="00C601F9"/>
    <w:rsid w:val="00C7602D"/>
    <w:rsid w:val="00C827DC"/>
    <w:rsid w:val="00C95346"/>
    <w:rsid w:val="00CA4340"/>
    <w:rsid w:val="00CB0296"/>
    <w:rsid w:val="00CC4A96"/>
    <w:rsid w:val="00CD1C4A"/>
    <w:rsid w:val="00CE1014"/>
    <w:rsid w:val="00CF42ED"/>
    <w:rsid w:val="00D0143D"/>
    <w:rsid w:val="00D10AB7"/>
    <w:rsid w:val="00D160DD"/>
    <w:rsid w:val="00D21CDE"/>
    <w:rsid w:val="00D266C9"/>
    <w:rsid w:val="00D40ADE"/>
    <w:rsid w:val="00D411DD"/>
    <w:rsid w:val="00D46486"/>
    <w:rsid w:val="00D64C2C"/>
    <w:rsid w:val="00D66063"/>
    <w:rsid w:val="00D77D37"/>
    <w:rsid w:val="00D80BC2"/>
    <w:rsid w:val="00D8620E"/>
    <w:rsid w:val="00DA7788"/>
    <w:rsid w:val="00DA7FE6"/>
    <w:rsid w:val="00DB0EC5"/>
    <w:rsid w:val="00DB4539"/>
    <w:rsid w:val="00DE3685"/>
    <w:rsid w:val="00DE5805"/>
    <w:rsid w:val="00E00D68"/>
    <w:rsid w:val="00E01CEB"/>
    <w:rsid w:val="00E11FB2"/>
    <w:rsid w:val="00E275D0"/>
    <w:rsid w:val="00E40ED1"/>
    <w:rsid w:val="00E4747D"/>
    <w:rsid w:val="00E712B9"/>
    <w:rsid w:val="00E96899"/>
    <w:rsid w:val="00EC09E7"/>
    <w:rsid w:val="00EE21B6"/>
    <w:rsid w:val="00EF1B14"/>
    <w:rsid w:val="00EF782E"/>
    <w:rsid w:val="00EF7D6B"/>
    <w:rsid w:val="00F11A07"/>
    <w:rsid w:val="00F22254"/>
    <w:rsid w:val="00F258CE"/>
    <w:rsid w:val="00F46DD2"/>
    <w:rsid w:val="00F605C0"/>
    <w:rsid w:val="00F649FE"/>
    <w:rsid w:val="00F66710"/>
    <w:rsid w:val="00F84112"/>
    <w:rsid w:val="00F84AC6"/>
    <w:rsid w:val="00F86A3C"/>
    <w:rsid w:val="00F90464"/>
    <w:rsid w:val="00F9492F"/>
    <w:rsid w:val="00FC2169"/>
    <w:rsid w:val="00FC2267"/>
    <w:rsid w:val="00FE12C3"/>
    <w:rsid w:val="00FE28C5"/>
    <w:rsid w:val="00FF0B1F"/>
    <w:rsid w:val="00FF197F"/>
    <w:rsid w:val="02705443"/>
    <w:rsid w:val="0E7E754C"/>
    <w:rsid w:val="18CC21E2"/>
    <w:rsid w:val="19D75DEA"/>
    <w:rsid w:val="1F0A1A24"/>
    <w:rsid w:val="1F2F4F07"/>
    <w:rsid w:val="24C37CD9"/>
    <w:rsid w:val="3BC5739B"/>
    <w:rsid w:val="3BCB0DAA"/>
    <w:rsid w:val="42543C1B"/>
    <w:rsid w:val="48310C7F"/>
    <w:rsid w:val="52C57B1F"/>
    <w:rsid w:val="589A2BB6"/>
    <w:rsid w:val="6A282807"/>
    <w:rsid w:val="76160881"/>
    <w:rsid w:val="79F23ED9"/>
    <w:rsid w:val="7DC4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15:chartTrackingRefBased/>
  <w15:docId w15:val="{37D994FE-1DC3-4D13-BB7C-83E003B8C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age number" w:unhideWhenUsed="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qFormat/>
    <w:pPr>
      <w:keepNext/>
      <w:keepLines/>
      <w:spacing w:before="340" w:after="330" w:line="576" w:lineRule="auto"/>
      <w:outlineLvl w:val="0"/>
    </w:pPr>
    <w:rPr>
      <w:b/>
      <w:kern w:val="44"/>
      <w:sz w:val="4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Pr>
      <w:sz w:val="18"/>
      <w:szCs w:val="18"/>
    </w:rPr>
  </w:style>
  <w:style w:type="character" w:customStyle="1" w:styleId="Char">
    <w:name w:val="批注框文本 Char"/>
    <w:link w:val="a3"/>
    <w:rPr>
      <w:kern w:val="2"/>
      <w:sz w:val="18"/>
      <w:szCs w:val="18"/>
    </w:rPr>
  </w:style>
  <w:style w:type="paragraph" w:styleId="a4">
    <w:name w:val="footer"/>
    <w:basedOn w:val="a"/>
    <w:link w:val="Char0"/>
    <w:pPr>
      <w:tabs>
        <w:tab w:val="center" w:pos="4153"/>
        <w:tab w:val="right" w:pos="8306"/>
      </w:tabs>
      <w:snapToGrid w:val="0"/>
      <w:jc w:val="left"/>
    </w:pPr>
    <w:rPr>
      <w:sz w:val="18"/>
      <w:szCs w:val="18"/>
    </w:rPr>
  </w:style>
  <w:style w:type="character" w:customStyle="1" w:styleId="Char0">
    <w:name w:val="页脚 Char"/>
    <w:link w:val="a4"/>
    <w:rPr>
      <w:kern w:val="2"/>
      <w:sz w:val="18"/>
      <w:szCs w:val="18"/>
    </w:rPr>
  </w:style>
  <w:style w:type="paragraph" w:styleId="a5">
    <w:name w:val="header"/>
    <w:basedOn w:val="a"/>
    <w:link w:val="Char1"/>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5"/>
    <w:rPr>
      <w:kern w:val="2"/>
      <w:sz w:val="18"/>
      <w:szCs w:val="18"/>
    </w:rPr>
  </w:style>
  <w:style w:type="paragraph" w:styleId="a6">
    <w:name w:val="Normal (Web)"/>
    <w:basedOn w:val="a"/>
    <w:uiPriority w:val="99"/>
    <w:unhideWhenUsed/>
    <w:pPr>
      <w:widowControl/>
      <w:spacing w:before="100" w:beforeAutospacing="1" w:after="100" w:afterAutospacing="1"/>
      <w:jc w:val="left"/>
    </w:pPr>
    <w:rPr>
      <w:rFonts w:ascii="宋体" w:hAnsi="宋体" w:cs="宋体"/>
      <w:kern w:val="0"/>
      <w:sz w:val="24"/>
      <w:szCs w:val="24"/>
    </w:rPr>
  </w:style>
  <w:style w:type="character" w:styleId="a7">
    <w:name w:val="page number"/>
    <w:unhideWhenUsed/>
  </w:style>
  <w:style w:type="character" w:customStyle="1" w:styleId="10">
    <w:name w:val="页脚 字符1"/>
    <w:semiHidden/>
    <w:locked/>
    <w:rPr>
      <w:kern w:val="2"/>
      <w:sz w:val="18"/>
      <w:szCs w:val="18"/>
    </w:rPr>
  </w:style>
  <w:style w:type="paragraph" w:styleId="a8">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reamsoft\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wdzx97.dot</Template>
  <TotalTime>0</TotalTime>
  <Pages>5</Pages>
  <Words>2134</Words>
  <Characters>209</Characters>
  <Application>Microsoft Office Word</Application>
  <DocSecurity>0</DocSecurity>
  <PresentationFormat/>
  <Lines>1</Lines>
  <Paragraphs>4</Paragraphs>
  <Slides>0</Slides>
  <Notes>0</Notes>
  <HiddenSlides>0</HiddenSlides>
  <MMClips>0</MMClips>
  <ScaleCrop>false</ScaleCrop>
  <Manager/>
  <Company/>
  <LinksUpToDate>false</LinksUpToDate>
  <CharactersWithSpaces>2339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China</cp:lastModifiedBy>
  <cp:revision>2</cp:revision>
  <cp:lastPrinted>2023-03-03T09:22:00Z</cp:lastPrinted>
  <dcterms:created xsi:type="dcterms:W3CDTF">2024-03-22T09:00:00Z</dcterms:created>
  <dcterms:modified xsi:type="dcterms:W3CDTF">2024-03-22T09:00:00Z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8FCBDE95974B4F20912E3DE6E50E6700</vt:lpwstr>
  </property>
</Properties>
</file>