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重庆市万州区白羊镇人民政府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白羊镇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限额以下工程项目发包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制度</w:t>
      </w:r>
    </w:p>
    <w:p>
      <w:pPr>
        <w:jc w:val="center"/>
        <w:rPr>
          <w:rFonts w:hint="eastAsia"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万州白羊府发〔20</w:t>
      </w:r>
      <w:r>
        <w:rPr>
          <w:rFonts w:hint="eastAsia" w:ascii="方正仿宋_GBK" w:eastAsia="方正仿宋_GBK"/>
          <w:sz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</w:rPr>
        <w:t>〕</w:t>
      </w:r>
      <w:r>
        <w:rPr>
          <w:rFonts w:hint="eastAsia" w:ascii="方正仿宋_GBK" w:eastAsia="方正仿宋_GBK"/>
          <w:sz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" w:firstLineChars="15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仿宋" w:eastAsia="黑体" w:cs="MS Shell Dlg"/>
          <w:color w:val="000000"/>
          <w:sz w:val="32"/>
          <w:szCs w:val="32"/>
        </w:rPr>
        <w:t>第一条</w:t>
      </w:r>
      <w:r>
        <w:rPr>
          <w:rFonts w:ascii="黑体" w:hAnsi="仿宋" w:eastAsia="黑体" w:cs="MS Shell Dlg"/>
          <w:color w:val="00000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按照万州区人民政府办公室《关于进一步规范国有投资限额以下工程项目发包行为的通知》（万州府办发</w:t>
      </w:r>
      <w:r>
        <w:rPr>
          <w:rFonts w:hint="eastAsia" w:ascii="方正仿宋_GBK" w:hAnsi="方正仿宋_GBK" w:eastAsia="方正仿宋_GBK" w:cs="方正仿宋_GBK"/>
          <w:sz w:val="32"/>
        </w:rPr>
        <w:t>〔20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</w:rPr>
        <w:t>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115号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）文件精神，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为加强对国有投资限额以下工程建设项目的管理，规范工程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发包行为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制定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白羊镇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限额以下工程项目发包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制度。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黑体" w:hAnsi="仿宋" w:eastAsia="黑体" w:cs="MS Shell Dlg"/>
          <w:color w:val="000000"/>
          <w:sz w:val="32"/>
          <w:szCs w:val="32"/>
        </w:rPr>
        <w:t>第二条</w:t>
      </w:r>
      <w:r>
        <w:rPr>
          <w:rFonts w:ascii="仿宋_GB2312" w:hAnsi="仿宋" w:eastAsia="仿宋_GB2312" w:cs="MS Shell Dlg"/>
          <w:color w:val="000000"/>
          <w:sz w:val="32"/>
          <w:szCs w:val="32"/>
        </w:rPr>
        <w:t xml:space="preserve"> </w:t>
      </w:r>
      <w:r>
        <w:rPr>
          <w:rFonts w:ascii="仿宋_GB2312" w:hAnsi="仿宋" w:eastAsia="仿宋_GB2312" w:cs="MS Shell Dlg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本制度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称限额以下项目是指国家发改委《必须招标的工程项目规定》（国家发改委16号令）明确的必须招标标准以下的勘察、设计、施工、监理以及与工程建设有关的重要设备、材料等的采购。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黑体" w:hAnsi="仿宋" w:eastAsia="黑体" w:cs="MS Shell Dlg"/>
          <w:color w:val="000000"/>
          <w:sz w:val="32"/>
          <w:szCs w:val="32"/>
        </w:rPr>
        <w:t>第</w:t>
      </w:r>
      <w:r>
        <w:rPr>
          <w:rFonts w:hint="eastAsia" w:ascii="黑体" w:hAnsi="仿宋" w:eastAsia="黑体" w:cs="MS Shell Dlg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仿宋" w:eastAsia="黑体" w:cs="MS Shell Dlg"/>
          <w:color w:val="000000"/>
          <w:sz w:val="32"/>
          <w:szCs w:val="32"/>
        </w:rPr>
        <w:t>条</w:t>
      </w:r>
      <w:r>
        <w:rPr>
          <w:rFonts w:ascii="黑体" w:hAnsi="仿宋" w:eastAsia="黑体" w:cs="MS Shell Dlg"/>
          <w:color w:val="000000"/>
          <w:sz w:val="32"/>
          <w:szCs w:val="32"/>
        </w:rPr>
        <w:t xml:space="preserve"> </w:t>
      </w:r>
      <w:r>
        <w:rPr>
          <w:rFonts w:ascii="仿宋_GB2312" w:hAnsi="仿宋" w:eastAsia="仿宋_GB2312" w:cs="MS Shell Dlg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具体标准：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施工单项合同估算价在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30万元以上（含30万元）至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400 万元人民币以下（不含400万）；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勘察、设计、监理等服务的采购，单项合同估算价在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30万元以上（含30万元）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至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100万元人民币以下（不含100万）；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重要设备、材料等货物的采购，单项合同估算价在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30万元以上（含30万元）至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200万元人民币以下（不含200万）。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  <w:lang w:eastAsia="zh-CN"/>
        </w:rPr>
        <w:t>第四条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万元人民币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（不含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30万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以下的国有投资工程项目由镇党委会集体研究决定，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直接确定承包单位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黑体" w:hAnsi="仿宋" w:eastAsia="黑体" w:cs="MS Shell Dlg"/>
          <w:color w:val="000000"/>
          <w:sz w:val="32"/>
          <w:szCs w:val="32"/>
          <w:lang w:eastAsia="zh-CN"/>
        </w:rPr>
        <w:t>第五条</w:t>
      </w:r>
      <w:r>
        <w:rPr>
          <w:rFonts w:hint="eastAsia" w:ascii="黑体" w:hAnsi="仿宋" w:eastAsia="黑体" w:cs="MS Shell Dlg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按照万州区人民政府办公室《关于进一步规范国有投资限额以下工程项目发包行为的通知》（万州府办发</w:t>
      </w:r>
      <w:r>
        <w:rPr>
          <w:rFonts w:hint="eastAsia" w:ascii="方正仿宋_GBK" w:hAnsi="方正仿宋_GBK" w:eastAsia="方正仿宋_GBK" w:cs="方正仿宋_GBK"/>
          <w:sz w:val="32"/>
        </w:rPr>
        <w:t>〔20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</w:rPr>
        <w:t>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115号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）文件精神，限额以下工程项目实行发包人负责制，具体发包方式（包括公开招投标、邀请招标、竞争性比选、公开比价、在备选承包商库中随机抽取等方式）由镇党委会研究决定。发包方式确定后，由镇政府委托招投标代理单位组织实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第</w:t>
      </w:r>
      <w:r>
        <w:rPr>
          <w:rFonts w:hint="eastAsia" w:ascii="黑体" w:hAnsi="仿宋" w:eastAsia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仿宋" w:eastAsia="黑体"/>
          <w:color w:val="000000"/>
          <w:sz w:val="32"/>
          <w:szCs w:val="32"/>
        </w:rPr>
        <w:t>条</w:t>
      </w:r>
      <w:r>
        <w:rPr>
          <w:rFonts w:ascii="黑体" w:hAnsi="仿宋" w:eastAsia="黑体"/>
          <w:color w:val="00000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限额以下工程项目发包程序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按以下程序进行：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（一）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根据工程项目计划文件，由相关分管领导提出建议提交党委会研究确定发包方式。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（二）项目具体承办科室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委托招标代理机构编制公告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文件及相关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文件，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经项目业务分管领导、分管公共资源交易分管领导、主要领导审核定案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）由党政办在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镇政府公示栏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上发布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公示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公告；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由招投标代理单位按照具体发包方式相关程序确定项目承包人。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由招投标代理单位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向项目业主提交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相关情况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报告；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（六）在镇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公示栏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上公示结果；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由招投标代理单位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发出中选通知书；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）项目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具体承办科室落实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与中选人签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合同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，并将合同报镇经发办及财政所备案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黑体" w:hAnsi="仿宋" w:eastAsia="黑体"/>
          <w:sz w:val="32"/>
          <w:szCs w:val="32"/>
        </w:rPr>
        <w:t>第</w:t>
      </w:r>
      <w:r>
        <w:rPr>
          <w:rFonts w:hint="eastAsia" w:ascii="黑体" w:hAnsi="仿宋" w:eastAsia="黑体"/>
          <w:sz w:val="32"/>
          <w:szCs w:val="32"/>
          <w:lang w:eastAsia="zh-CN"/>
        </w:rPr>
        <w:t>七</w:t>
      </w:r>
      <w:r>
        <w:rPr>
          <w:rFonts w:hint="eastAsia" w:ascii="黑体" w:hAnsi="仿宋" w:eastAsia="黑体"/>
          <w:sz w:val="32"/>
          <w:szCs w:val="32"/>
        </w:rPr>
        <w:t>条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公示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公告的发布。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公示公告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应在镇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政府公众号及政务公示栏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上公开发布，发布时间不得少于3天。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</w:rPr>
        <w:t>条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承包单位确定过程监督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项目承包单位的确定过程应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邀请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镇人大监督小组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到场监督。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确定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过程应当记录，并存档备案。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</w:rPr>
        <w:t>第九条</w:t>
      </w:r>
      <w:r>
        <w:rPr>
          <w:rFonts w:ascii="仿宋_GB2312" w:hAnsi="仿宋" w:eastAsia="仿宋_GB2312" w:cs="MS Shell Dlg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招投标代理单位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当在确定中选人后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日内发出中选通知书。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</w:rPr>
        <w:t>第十条</w:t>
      </w:r>
      <w:r>
        <w:rPr>
          <w:rFonts w:ascii="仿宋_GB2312" w:hAnsi="仿宋" w:eastAsia="仿宋_GB2312" w:cs="MS Shell Dlg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项目业主和中选人应当自中选通知书发出之日起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日内订立书面合同。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中选人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按要求缴纳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履约保证金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及民工工资保证金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。中选人拒绝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缴纳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的，视为放弃中选项目。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</w:rPr>
        <w:t>第十</w:t>
      </w: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  <w:lang w:eastAsia="zh-CN"/>
        </w:rPr>
        <w:t>一</w:t>
      </w: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</w:rPr>
        <w:t>条</w:t>
      </w:r>
      <w:r>
        <w:rPr>
          <w:rFonts w:ascii="仿宋_GB2312" w:hAnsi="仿宋" w:eastAsia="仿宋_GB2312" w:cs="MS Shell Dlg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依本办法组织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发包两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次失败的，由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镇党委会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直接确定中选人。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</w:rPr>
        <w:t>第十</w:t>
      </w: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</w:rPr>
        <w:t>条</w:t>
      </w:r>
      <w:r>
        <w:rPr>
          <w:rFonts w:ascii="仿宋_GB2312" w:hAnsi="仿宋" w:eastAsia="仿宋_GB2312" w:cs="MS Shell Dlg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不执行本办法,违规操作的,将追究相关人员的责任,情节严重的,给予相关人员党纪政纪处分。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</w:rPr>
        <w:t>十</w:t>
      </w: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仿宋" w:eastAsia="黑体"/>
          <w:color w:val="000000"/>
          <w:sz w:val="32"/>
          <w:szCs w:val="32"/>
          <w:highlight w:val="none"/>
        </w:rPr>
        <w:t>条</w:t>
      </w:r>
      <w:r>
        <w:rPr>
          <w:rFonts w:ascii="仿宋_GB2312" w:hAnsi="仿宋" w:eastAsia="仿宋_GB2312" w:cs="MS Shell Dlg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镇经发办负责指导、协调和综合监督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项目发包过程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；各站办所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中心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依据各自职责加强对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项目发包过程的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监督和管理，并受理相关投诉；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  <w:lang w:eastAsia="zh-CN"/>
        </w:rPr>
        <w:t>十四</w:t>
      </w: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</w:rPr>
        <w:t>条</w:t>
      </w:r>
      <w:r>
        <w:rPr>
          <w:rFonts w:ascii="仿宋_GB2312" w:hAnsi="仿宋" w:eastAsia="仿宋_GB2312" w:cs="MS Shell Dlg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工程项目承包单位确定后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各责任部门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必须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7日内将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项目情况进行公示公告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  <w:lang w:eastAsia="zh-CN"/>
        </w:rPr>
        <w:t>十五</w:t>
      </w:r>
      <w:r>
        <w:rPr>
          <w:rFonts w:hint="eastAsia" w:ascii="黑体" w:hAnsi="仿宋" w:eastAsia="黑体" w:cs="MS Shell Dlg"/>
          <w:color w:val="000000"/>
          <w:sz w:val="32"/>
          <w:szCs w:val="32"/>
          <w:highlight w:val="none"/>
        </w:rPr>
        <w:t>条</w:t>
      </w:r>
      <w:r>
        <w:rPr>
          <w:rFonts w:ascii="仿宋_GB2312" w:hAnsi="仿宋" w:eastAsia="仿宋_GB2312" w:cs="MS Shell Dlg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本办法由镇经发办负责解释。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仿宋" w:eastAsia="黑体"/>
          <w:color w:val="000000"/>
          <w:sz w:val="32"/>
          <w:szCs w:val="32"/>
          <w:highlight w:val="none"/>
          <w:lang w:eastAsia="zh-CN"/>
        </w:rPr>
        <w:t>十六</w:t>
      </w:r>
      <w:r>
        <w:rPr>
          <w:rFonts w:hint="eastAsia" w:ascii="黑体" w:hAnsi="仿宋" w:eastAsia="黑体"/>
          <w:color w:val="000000"/>
          <w:sz w:val="32"/>
          <w:szCs w:val="32"/>
          <w:highlight w:val="none"/>
        </w:rPr>
        <w:t>条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本办法自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2019年12月1日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　      　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宋体" w:eastAsia="方正仿宋_GBK" w:cs="宋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1984" w:right="1474" w:bottom="1644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hell Dlg">
    <w:altName w:val="Microsoft Sans Serif"/>
    <w:panose1 w:val="00000000000000000000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  <w:p>
    <w:pPr>
      <w:pStyle w:val="2"/>
      <w:ind w:right="360" w:firstLine="360"/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33020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007745" y="9401175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5pt;margin-top:2.6pt;height:0.15pt;width:442.25pt;z-index:251661312;mso-width-relative:page;mso-height-relative:page;" filled="f" stroked="t" coordsize="21600,21600" o:gfxdata="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Fuz&#10;zNIAAAAGAQAADwAAAAAAAAABACAAAAAiAAAAZHJzL2Rvd25yZXYueG1sUEsBAhQAFAAAAAgAh07i&#10;QDLECYDvAQAAuAMAAA4AAAAAAAAAAQAgAAAAIQEAAGRycy9lMm9Eb2MueG1sUEsFBgAAAAAGAAYA&#10;WQEAAIIF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2"/>
      <w:ind w:right="360" w:firstLine="4216" w:firstLineChars="1500"/>
      <w:jc w:val="left"/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重庆市万州区白羊镇人民政府发布</w:t>
    </w:r>
  </w:p>
  <w:p>
    <w:pPr>
      <w:pStyle w:val="2"/>
      <w:ind w:right="360" w:firstLine="360"/>
      <w:jc w:val="left"/>
    </w:pPr>
  </w:p>
  <w:p>
    <w:pPr>
      <w:pStyle w:val="2"/>
      <w:ind w:right="360" w:firstLine="36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3"/>
      <w:pBdr>
        <w:bottom w:val="none" w:color="auto" w:sz="0" w:space="0"/>
      </w:pBdr>
      <w:jc w:val="left"/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467995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007745" y="124333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36.85pt;height:0pt;width:442.55pt;z-index:251662336;mso-width-relative:page;mso-height-relative:page;" filled="f" stroked="t" coordsize="21600,21600" o:gfxdata="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N+Zav0QAA&#10;AAYBAAAPAAAAAAAAAAEAIAAAACIAAABkcnMvZG93bnJldi54bWxQSwECFAAUAAAACACHTuJAg8D7&#10;zuwBAAC1AwAADgAAAAAAAAABACAAAAAgAQAAZHJzL2Uyb0RvYy54bWxQSwUGAAAAAAYABgBZAQAA&#10;fg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重庆市万州区白羊镇人民政府行政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ZmI3MzNlYmYwZjQ3YmQ4Y2QzNzA2NmI3YTAxMjcifQ=="/>
  </w:docVars>
  <w:rsids>
    <w:rsidRoot w:val="76DE6753"/>
    <w:rsid w:val="13A52DAD"/>
    <w:rsid w:val="44647056"/>
    <w:rsid w:val="68F77E6E"/>
    <w:rsid w:val="6A353CFE"/>
    <w:rsid w:val="76D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ˎ̥" w:hAnsi="ˎ̥" w:cs="宋体"/>
      <w:color w:val="000000"/>
      <w:kern w:val="0"/>
      <w:szCs w:val="21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256</Characters>
  <Lines>0</Lines>
  <Paragraphs>0</Paragraphs>
  <TotalTime>3</TotalTime>
  <ScaleCrop>false</ScaleCrop>
  <LinksUpToDate>false</LinksUpToDate>
  <CharactersWithSpaces>305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2023-06-09T03:16:00Z</dcterms:created>
  <dc:creator>⊙_⊙</dc:creator>
  <cp:lastModifiedBy>Administrator</cp:lastModifiedBy>
  <dcterms:modified xsi:type="dcterms:W3CDTF">2023-11-14T09:15:30Z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6DE6E129049B401CA8BCA78A529FF369_13</vt:lpwstr>
  </property>
</Properties>
</file>