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重庆市万州区白羊镇人民政府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color w:val="auto"/>
          <w:sz w:val="44"/>
          <w:szCs w:val="44"/>
          <w:highlight w:val="none"/>
          <w:lang w:val="en-US"/>
        </w:rPr>
      </w:pPr>
      <w:r>
        <w:rPr>
          <w:rFonts w:hint="default" w:ascii="Times New Roman" w:hAnsi="Times New Roman" w:eastAsia="方正小标宋_GBK" w:cs="Times New Roman"/>
          <w:color w:val="auto"/>
          <w:kern w:val="0"/>
          <w:sz w:val="44"/>
          <w:szCs w:val="44"/>
          <w:highlight w:val="none"/>
          <w:lang w:val="en-US" w:eastAsia="zh-CN"/>
        </w:rPr>
        <w:t>关于印发《</w:t>
      </w:r>
      <w:r>
        <w:rPr>
          <w:rFonts w:hint="default" w:ascii="Times New Roman" w:hAnsi="Times New Roman" w:eastAsia="方正小标宋_GBK" w:cs="Times New Roman"/>
          <w:color w:val="auto"/>
          <w:sz w:val="44"/>
          <w:szCs w:val="44"/>
          <w:lang w:val="en-US" w:eastAsia="zh-CN"/>
        </w:rPr>
        <w:t>重庆市万州区</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年城乡居民基本医疗保险</w:t>
      </w:r>
      <w:r>
        <w:rPr>
          <w:rFonts w:hint="default" w:ascii="Times New Roman" w:hAnsi="Times New Roman" w:eastAsia="方正小标宋_GBK" w:cs="Times New Roman"/>
          <w:color w:val="auto"/>
          <w:sz w:val="44"/>
          <w:szCs w:val="44"/>
          <w:lang w:val="en-US" w:eastAsia="zh-CN"/>
        </w:rPr>
        <w:t>集中</w:t>
      </w:r>
      <w:r>
        <w:rPr>
          <w:rFonts w:hint="default" w:ascii="Times New Roman" w:hAnsi="Times New Roman" w:eastAsia="方正小标宋_GBK" w:cs="Times New Roman"/>
          <w:color w:val="auto"/>
          <w:sz w:val="44"/>
          <w:szCs w:val="44"/>
        </w:rPr>
        <w:t>筹资工作</w:t>
      </w:r>
      <w:r>
        <w:rPr>
          <w:rFonts w:hint="default" w:ascii="Times New Roman" w:hAnsi="Times New Roman" w:eastAsia="方正小标宋_GBK" w:cs="Times New Roman"/>
          <w:color w:val="auto"/>
          <w:kern w:val="0"/>
          <w:sz w:val="44"/>
          <w:szCs w:val="44"/>
          <w:highlight w:val="none"/>
        </w:rPr>
        <w:t>实施方案</w:t>
      </w:r>
      <w:r>
        <w:rPr>
          <w:rFonts w:hint="default" w:ascii="Times New Roman" w:hAnsi="Times New Roman" w:eastAsia="方正小标宋_GBK" w:cs="Times New Roman"/>
          <w:color w:val="auto"/>
          <w:kern w:val="0"/>
          <w:sz w:val="44"/>
          <w:szCs w:val="44"/>
          <w:highlight w:val="none"/>
          <w:lang w:val="en-US" w:eastAsia="zh-CN"/>
        </w:rPr>
        <w:t>》的通知</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万州白羊府发〔</w:t>
      </w: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小标宋_GBK" w:cs="Times New Roman"/>
          <w:b w:val="0"/>
          <w:bCs w:val="0"/>
          <w:color w:val="auto"/>
          <w:sz w:val="44"/>
          <w:szCs w:val="44"/>
          <w:lang w:val="en-US" w:eastAsia="zh-CN"/>
        </w:rPr>
      </w:pPr>
    </w:p>
    <w:p>
      <w:pPr>
        <w:keepNext w:val="0"/>
        <w:keepLines w:val="0"/>
        <w:pageBreakBefore w:val="0"/>
        <w:kinsoku/>
        <w:wordWrap/>
        <w:topLinePunct w:val="0"/>
        <w:autoSpaceDE/>
        <w:autoSpaceDN/>
        <w:bidi w:val="0"/>
        <w:adjustRightInd/>
        <w:spacing w:line="600" w:lineRule="exac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sz w:val="32"/>
          <w:szCs w:val="32"/>
        </w:rPr>
        <w:t>各村（</w:t>
      </w:r>
      <w:r>
        <w:rPr>
          <w:rFonts w:hint="default" w:ascii="Times New Roman" w:hAnsi="Times New Roman" w:eastAsia="方正仿宋_GBK" w:cs="Times New Roman"/>
          <w:color w:val="auto"/>
          <w:sz w:val="32"/>
          <w:szCs w:val="32"/>
          <w:lang w:eastAsia="zh-CN"/>
        </w:rPr>
        <w:t>居</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委会</w:t>
      </w:r>
      <w:r>
        <w:rPr>
          <w:rFonts w:hint="default" w:ascii="Times New Roman" w:hAnsi="Times New Roman" w:eastAsia="方正仿宋_GBK" w:cs="Times New Roman"/>
          <w:color w:val="auto"/>
          <w:sz w:val="32"/>
          <w:szCs w:val="32"/>
        </w:rPr>
        <w:t>、镇辖各单位：</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i w:val="0"/>
          <w:caps w:val="0"/>
          <w:color w:val="auto"/>
          <w:spacing w:val="0"/>
          <w:sz w:val="32"/>
          <w:szCs w:val="32"/>
          <w:highlight w:val="none"/>
          <w:u w:val="none"/>
          <w:shd w:val="clear" w:color="auto" w:fill="FFFFFF"/>
        </w:rPr>
        <w:t>为进一步深化医疗保障制度改革，</w:t>
      </w: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持续完善我镇</w:t>
      </w:r>
      <w:r>
        <w:rPr>
          <w:rFonts w:hint="default" w:ascii="Times New Roman" w:hAnsi="Times New Roman" w:eastAsia="方正仿宋_GBK" w:cs="Times New Roman"/>
          <w:color w:val="auto"/>
          <w:sz w:val="32"/>
          <w:szCs w:val="32"/>
          <w:highlight w:val="none"/>
          <w:u w:val="none"/>
        </w:rPr>
        <w:t>城乡居民基本医疗保险制度（以下简称“居民医保”）</w:t>
      </w:r>
      <w:r>
        <w:rPr>
          <w:rFonts w:hint="default" w:ascii="Times New Roman" w:hAnsi="Times New Roman" w:eastAsia="方正仿宋_GBK" w:cs="Times New Roman"/>
          <w:b w:val="0"/>
          <w:bCs w:val="0"/>
          <w:color w:val="auto"/>
          <w:sz w:val="32"/>
          <w:szCs w:val="32"/>
        </w:rPr>
        <w:t>和大病保险制度</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kern w:val="0"/>
          <w:sz w:val="32"/>
          <w:szCs w:val="32"/>
          <w:highlight w:val="none"/>
        </w:rPr>
        <w:t>实现全民依法参保和应保尽保，</w:t>
      </w:r>
      <w:r>
        <w:rPr>
          <w:rFonts w:hint="default" w:ascii="Times New Roman" w:hAnsi="Times New Roman" w:eastAsia="方正仿宋_GBK" w:cs="Times New Roman"/>
          <w:i w:val="0"/>
          <w:caps w:val="0"/>
          <w:color w:val="auto"/>
          <w:spacing w:val="0"/>
          <w:sz w:val="32"/>
          <w:szCs w:val="32"/>
          <w:highlight w:val="none"/>
          <w:u w:val="none"/>
          <w:shd w:val="clear" w:color="auto" w:fill="FFFFFF"/>
        </w:rPr>
        <w:t>促进医疗保障</w:t>
      </w: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事业</w:t>
      </w:r>
      <w:r>
        <w:rPr>
          <w:rFonts w:hint="default" w:ascii="Times New Roman" w:hAnsi="Times New Roman" w:eastAsia="方正仿宋_GBK" w:cs="Times New Roman"/>
          <w:i w:val="0"/>
          <w:caps w:val="0"/>
          <w:color w:val="auto"/>
          <w:spacing w:val="0"/>
          <w:sz w:val="32"/>
          <w:szCs w:val="32"/>
          <w:highlight w:val="none"/>
          <w:u w:val="none"/>
          <w:shd w:val="clear" w:color="auto" w:fill="FFFFFF"/>
        </w:rPr>
        <w:t>高质量发展，</w:t>
      </w:r>
      <w:r>
        <w:rPr>
          <w:rFonts w:hint="default" w:ascii="Times New Roman" w:hAnsi="Times New Roman" w:eastAsia="方正仿宋_GBK" w:cs="Times New Roman"/>
          <w:color w:val="auto"/>
          <w:kern w:val="0"/>
          <w:sz w:val="32"/>
          <w:szCs w:val="32"/>
          <w:highlight w:val="none"/>
        </w:rPr>
        <w:t>根据</w:t>
      </w:r>
      <w:r>
        <w:rPr>
          <w:rFonts w:hint="default" w:ascii="Times New Roman" w:hAnsi="Times New Roman" w:eastAsia="方正仿宋_GBK" w:cs="Times New Roman"/>
          <w:color w:val="auto"/>
          <w:sz w:val="32"/>
          <w:szCs w:val="32"/>
          <w:lang w:val="en-US" w:eastAsia="zh-CN"/>
        </w:rPr>
        <w:t>《万州区医疗保障局办公室 万州区教育委员会办公室关于做好大学生参加基本医疗保险相关工作的通知》（万医保办〔2023〕46号）和《重庆市医疗保障局 重庆市财政局 国家税务总局重庆市税务局关于做好2024年城乡居民基本医疗保障工作的通知》</w:t>
      </w:r>
      <w:r>
        <w:rPr>
          <w:rFonts w:hint="default" w:ascii="Times New Roman" w:hAnsi="Times New Roman" w:eastAsia="方正仿宋_GBK" w:cs="Times New Roman"/>
          <w:color w:val="auto"/>
          <w:kern w:val="0"/>
          <w:sz w:val="32"/>
          <w:szCs w:val="32"/>
          <w:highlight w:val="none"/>
        </w:rPr>
        <w:t>精神，切实做好</w:t>
      </w:r>
      <w:r>
        <w:rPr>
          <w:rFonts w:hint="default" w:ascii="Times New Roman" w:hAnsi="Times New Roman" w:eastAsia="方正仿宋_GBK" w:cs="Times New Roman"/>
          <w:color w:val="auto"/>
          <w:kern w:val="0"/>
          <w:sz w:val="32"/>
          <w:szCs w:val="32"/>
          <w:highlight w:val="none"/>
          <w:lang w:val="en-US" w:eastAsia="zh-CN"/>
        </w:rPr>
        <w:t>2024年</w:t>
      </w:r>
      <w:r>
        <w:rPr>
          <w:rFonts w:hint="default" w:ascii="Times New Roman" w:hAnsi="Times New Roman" w:eastAsia="方正仿宋_GBK" w:cs="Times New Roman"/>
          <w:color w:val="auto"/>
          <w:kern w:val="0"/>
          <w:sz w:val="32"/>
          <w:szCs w:val="32"/>
          <w:highlight w:val="none"/>
        </w:rPr>
        <w:t>城乡居民基本医疗保险</w:t>
      </w:r>
      <w:r>
        <w:rPr>
          <w:rFonts w:hint="default" w:ascii="Times New Roman" w:hAnsi="Times New Roman" w:eastAsia="方正仿宋_GBK" w:cs="Times New Roman"/>
          <w:color w:val="auto"/>
          <w:kern w:val="0"/>
          <w:sz w:val="32"/>
          <w:szCs w:val="32"/>
          <w:highlight w:val="none"/>
          <w:lang w:val="en-US" w:eastAsia="zh-CN"/>
        </w:rPr>
        <w:t>集中</w:t>
      </w:r>
      <w:r>
        <w:rPr>
          <w:rFonts w:hint="default" w:ascii="Times New Roman" w:hAnsi="Times New Roman" w:eastAsia="方正仿宋_GBK" w:cs="Times New Roman"/>
          <w:color w:val="auto"/>
          <w:kern w:val="0"/>
          <w:sz w:val="32"/>
          <w:szCs w:val="32"/>
          <w:highlight w:val="none"/>
        </w:rPr>
        <w:t>筹资工作，</w:t>
      </w:r>
      <w:r>
        <w:rPr>
          <w:rFonts w:hint="default" w:ascii="Times New Roman" w:hAnsi="Times New Roman" w:eastAsia="方正仿宋_GBK" w:cs="Times New Roman"/>
          <w:color w:val="auto"/>
          <w:kern w:val="0"/>
          <w:sz w:val="32"/>
          <w:szCs w:val="32"/>
        </w:rPr>
        <w:t>结合我</w:t>
      </w:r>
      <w:r>
        <w:rPr>
          <w:rFonts w:hint="default" w:ascii="Times New Roman" w:hAnsi="Times New Roman" w:eastAsia="方正仿宋_GBK" w:cs="Times New Roman"/>
          <w:color w:val="auto"/>
          <w:kern w:val="0"/>
          <w:sz w:val="32"/>
          <w:szCs w:val="32"/>
          <w:lang w:eastAsia="zh-CN"/>
        </w:rPr>
        <w:t>镇</w:t>
      </w:r>
      <w:r>
        <w:rPr>
          <w:rFonts w:hint="default" w:ascii="Times New Roman" w:hAnsi="Times New Roman" w:eastAsia="方正仿宋_GBK" w:cs="Times New Roman"/>
          <w:color w:val="auto"/>
          <w:kern w:val="0"/>
          <w:sz w:val="32"/>
          <w:szCs w:val="32"/>
        </w:rPr>
        <w:t>实际，制定本方案</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一、工作目标</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w:t>
      </w:r>
      <w:r>
        <w:rPr>
          <w:rFonts w:hint="default" w:ascii="Times New Roman" w:hAnsi="Times New Roman" w:eastAsia="方正仿宋_GBK" w:cs="Times New Roman"/>
          <w:color w:val="auto"/>
          <w:sz w:val="32"/>
          <w:szCs w:val="32"/>
        </w:rPr>
        <w:t>各村（社区）、镇辖各单位、村居户籍人口数、常住人口数以及近年来的参保人数等情况，确定全镇202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年度城乡居民基本医疗保险参保缴费目标任务总数为</w:t>
      </w:r>
      <w:r>
        <w:rPr>
          <w:rFonts w:hint="default" w:ascii="Times New Roman" w:hAnsi="Times New Roman" w:eastAsia="方正仿宋_GBK" w:cs="Times New Roman"/>
          <w:color w:val="auto"/>
          <w:sz w:val="32"/>
          <w:szCs w:val="32"/>
          <w:lang w:val="en-US" w:eastAsia="zh-CN"/>
        </w:rPr>
        <w:t>40480</w:t>
      </w:r>
      <w:r>
        <w:rPr>
          <w:rFonts w:hint="default" w:ascii="Times New Roman" w:hAnsi="Times New Roman" w:eastAsia="方正仿宋_GBK" w:cs="Times New Roman"/>
          <w:color w:val="auto"/>
          <w:sz w:val="32"/>
          <w:szCs w:val="32"/>
        </w:rPr>
        <w:t>万人</w:t>
      </w:r>
      <w:r>
        <w:rPr>
          <w:rFonts w:hint="default" w:ascii="Times New Roman" w:hAnsi="Times New Roman" w:eastAsia="方正仿宋_GBK" w:cs="Times New Roman"/>
          <w:color w:val="auto"/>
          <w:sz w:val="32"/>
          <w:szCs w:val="32"/>
          <w:lang w:val="en-US" w:eastAsia="zh-CN"/>
        </w:rPr>
        <w:t>（详见附件1）。全镇2024年基本医疗保险参保率持续巩固在95%以上。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特困人员、低保对象、返贫致贫人口、脱贫不稳定户、边缘易致贫户、突发严重困难户、低保边缘户等低收入人口及稳定脱贫人口等困难群众的医保参保率达到99%以上。</w:t>
      </w:r>
    </w:p>
    <w:p>
      <w:pPr>
        <w:keepNext w:val="0"/>
        <w:keepLines w:val="0"/>
        <w:pageBreakBefore w:val="0"/>
        <w:widowControl w:val="0"/>
        <w:kinsoku/>
        <w:wordWrap/>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在镇中小学校、</w:t>
      </w:r>
      <w:r>
        <w:rPr>
          <w:rFonts w:hint="default" w:ascii="Times New Roman" w:hAnsi="Times New Roman" w:eastAsia="方正仿宋_GBK" w:cs="Times New Roman"/>
          <w:color w:val="auto"/>
          <w:kern w:val="0"/>
          <w:sz w:val="32"/>
          <w:szCs w:val="32"/>
          <w:highlight w:val="none"/>
        </w:rPr>
        <w:t>幼儿</w:t>
      </w:r>
      <w:r>
        <w:rPr>
          <w:rFonts w:hint="default" w:ascii="Times New Roman" w:hAnsi="Times New Roman" w:eastAsia="方正仿宋_GBK" w:cs="Times New Roman"/>
          <w:color w:val="auto"/>
          <w:kern w:val="0"/>
          <w:sz w:val="32"/>
          <w:szCs w:val="32"/>
          <w:highlight w:val="none"/>
          <w:lang w:val="en-US" w:eastAsia="zh-CN"/>
        </w:rPr>
        <w:t>园</w:t>
      </w:r>
      <w:r>
        <w:rPr>
          <w:rFonts w:hint="default" w:ascii="Times New Roman" w:hAnsi="Times New Roman" w:eastAsia="方正仿宋_GBK" w:cs="Times New Roman"/>
          <w:color w:val="auto"/>
          <w:sz w:val="32"/>
          <w:szCs w:val="32"/>
          <w:lang w:val="en-US" w:eastAsia="zh-CN"/>
        </w:rPr>
        <w:t>要组织本校</w:t>
      </w:r>
      <w:r>
        <w:rPr>
          <w:rFonts w:hint="default" w:ascii="Times New Roman" w:hAnsi="Times New Roman" w:eastAsia="方正仿宋_GBK" w:cs="Times New Roman"/>
          <w:color w:val="auto"/>
          <w:sz w:val="32"/>
          <w:szCs w:val="32"/>
        </w:rPr>
        <w:t>学生（含</w:t>
      </w:r>
      <w:r>
        <w:rPr>
          <w:rFonts w:hint="default" w:ascii="Times New Roman" w:hAnsi="Times New Roman" w:eastAsia="方正仿宋_GBK" w:cs="Times New Roman"/>
          <w:color w:val="auto"/>
          <w:kern w:val="0"/>
          <w:sz w:val="32"/>
          <w:szCs w:val="32"/>
          <w:highlight w:val="none"/>
        </w:rPr>
        <w:t>幼儿</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积极参加居民医保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确保应保尽保。</w:t>
      </w:r>
    </w:p>
    <w:p>
      <w:pPr>
        <w:keepNext w:val="0"/>
        <w:keepLines w:val="0"/>
        <w:pageBreakBefore w:val="0"/>
        <w:widowControl w:val="0"/>
        <w:kinsoku/>
        <w:wordWrap/>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司法所做好服刑人员的参保工作，充分发挥监管场所自身的管理优势，筹措资金促进参保工作，保障其合法权益。告知刑满释放等人员出狱后及时回到户籍所在地或常住地去申请办理迁移手续，确保其待遇不受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二、筹资标准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按照政策要求，2023年居民医保筹资人均财政补助标准新增30元，达到640元/人·年。确定参加我</w:t>
      </w:r>
      <w:r>
        <w:rPr>
          <w:rFonts w:hint="default" w:ascii="Times New Roman" w:hAnsi="Times New Roman" w:eastAsia="方正仿宋_GBK" w:cs="Times New Roman"/>
          <w:color w:val="auto"/>
          <w:kern w:val="0"/>
          <w:sz w:val="32"/>
          <w:szCs w:val="32"/>
          <w:highlight w:val="none"/>
          <w:lang w:val="en-US" w:eastAsia="zh-CN"/>
        </w:rPr>
        <w:t>镇</w:t>
      </w:r>
      <w:r>
        <w:rPr>
          <w:rFonts w:hint="default" w:ascii="Times New Roman" w:hAnsi="Times New Roman" w:eastAsia="方正仿宋_GBK" w:cs="Times New Roman"/>
          <w:color w:val="auto"/>
          <w:kern w:val="0"/>
          <w:sz w:val="32"/>
          <w:szCs w:val="32"/>
          <w:highlight w:val="none"/>
        </w:rPr>
        <w:t xml:space="preserve">2024年度居民医保个人缴费标准为一档380元/人·年、二档755元/人·年。在万高校大学生（含全日制研究生）参加居民医保个人缴费标准为一档350元/人·年、二档725元/人·年。2024年7月1日以后参保缴费的，缴费标准为全额缴费（包括个人缴费部分和财政补贴部分），不再享受各级财政补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三、参保对象</w:t>
      </w:r>
    </w:p>
    <w:p>
      <w:pPr>
        <w:keepNext w:val="0"/>
        <w:keepLines w:val="0"/>
        <w:pageBreakBefore w:val="0"/>
        <w:widowControl w:val="0"/>
        <w:kinsoku/>
        <w:wordWrap/>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val="0"/>
          <w:bCs w:val="0"/>
          <w:color w:val="auto"/>
          <w:sz w:val="32"/>
          <w:szCs w:val="32"/>
        </w:rPr>
        <w:t>具有</w:t>
      </w:r>
      <w:r>
        <w:rPr>
          <w:rFonts w:hint="default" w:ascii="Times New Roman" w:hAnsi="Times New Roman" w:eastAsia="方正仿宋_GBK" w:cs="Times New Roman"/>
          <w:b w:val="0"/>
          <w:bCs w:val="0"/>
          <w:color w:val="auto"/>
          <w:sz w:val="32"/>
          <w:szCs w:val="32"/>
          <w:lang w:eastAsia="zh-CN"/>
        </w:rPr>
        <w:t>白羊镇</w:t>
      </w:r>
      <w:r>
        <w:rPr>
          <w:rFonts w:hint="default" w:ascii="Times New Roman" w:hAnsi="Times New Roman" w:eastAsia="方正仿宋_GBK" w:cs="Times New Roman"/>
          <w:b w:val="0"/>
          <w:bCs w:val="0"/>
          <w:color w:val="auto"/>
          <w:sz w:val="32"/>
          <w:szCs w:val="32"/>
        </w:rPr>
        <w:t>城乡户籍的</w:t>
      </w:r>
      <w:r>
        <w:rPr>
          <w:rFonts w:hint="default" w:ascii="Times New Roman" w:hAnsi="Times New Roman" w:eastAsia="方正仿宋_GBK" w:cs="Times New Roman"/>
          <w:b w:val="0"/>
          <w:bCs w:val="0"/>
          <w:color w:val="auto"/>
          <w:sz w:val="32"/>
          <w:szCs w:val="32"/>
          <w:lang w:val="en-US" w:eastAsia="zh-CN"/>
        </w:rPr>
        <w:t>所有</w:t>
      </w:r>
      <w:r>
        <w:rPr>
          <w:rFonts w:hint="default" w:ascii="Times New Roman" w:hAnsi="Times New Roman" w:eastAsia="方正仿宋_GBK" w:cs="Times New Roman"/>
          <w:b w:val="0"/>
          <w:bCs w:val="0"/>
          <w:color w:val="auto"/>
          <w:sz w:val="32"/>
          <w:szCs w:val="32"/>
        </w:rPr>
        <w:t>居民</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含</w:t>
      </w:r>
      <w:r>
        <w:rPr>
          <w:rFonts w:hint="default" w:ascii="Times New Roman" w:hAnsi="Times New Roman" w:eastAsia="方正仿宋_GBK" w:cs="Times New Roman"/>
          <w:color w:val="auto"/>
          <w:sz w:val="32"/>
          <w:szCs w:val="32"/>
          <w:highlight w:val="none"/>
        </w:rPr>
        <w:t>中小学校、</w:t>
      </w:r>
      <w:r>
        <w:rPr>
          <w:rFonts w:hint="default" w:ascii="Times New Roman" w:hAnsi="Times New Roman" w:eastAsia="方正仿宋_GBK" w:cs="Times New Roman"/>
          <w:color w:val="auto"/>
          <w:sz w:val="32"/>
          <w:szCs w:val="32"/>
          <w:highlight w:val="none"/>
          <w:lang w:val="en-US" w:eastAsia="zh-CN"/>
        </w:rPr>
        <w:t>幼儿园的学生、幼儿等</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凡未参加</w:t>
      </w:r>
      <w:r>
        <w:rPr>
          <w:rFonts w:hint="default" w:ascii="Times New Roman" w:hAnsi="Times New Roman" w:eastAsia="方正仿宋_GBK" w:cs="Times New Roman"/>
          <w:b w:val="0"/>
          <w:bCs w:val="0"/>
          <w:color w:val="auto"/>
          <w:sz w:val="32"/>
          <w:szCs w:val="32"/>
        </w:rPr>
        <w:t>城镇职工医疗保险的，</w:t>
      </w:r>
      <w:r>
        <w:rPr>
          <w:rFonts w:hint="default" w:ascii="Times New Roman" w:hAnsi="Times New Roman" w:eastAsia="方正仿宋_GBK" w:cs="Times New Roman"/>
          <w:b w:val="0"/>
          <w:bCs w:val="0"/>
          <w:color w:val="auto"/>
          <w:sz w:val="32"/>
          <w:szCs w:val="32"/>
          <w:lang w:val="en-US" w:eastAsia="zh-CN"/>
        </w:rPr>
        <w:t>应</w:t>
      </w:r>
      <w:r>
        <w:rPr>
          <w:rFonts w:hint="default" w:ascii="Times New Roman" w:hAnsi="Times New Roman" w:eastAsia="方正仿宋_GBK" w:cs="Times New Roman"/>
          <w:b w:val="0"/>
          <w:bCs w:val="0"/>
          <w:color w:val="auto"/>
          <w:sz w:val="32"/>
          <w:szCs w:val="32"/>
        </w:rPr>
        <w:t>在户口所在地参加城乡居民</w:t>
      </w:r>
      <w:r>
        <w:rPr>
          <w:rFonts w:hint="default" w:ascii="Times New Roman" w:hAnsi="Times New Roman" w:eastAsia="方正仿宋_GBK" w:cs="Times New Roman"/>
          <w:b w:val="0"/>
          <w:bCs w:val="0"/>
          <w:color w:val="auto"/>
          <w:sz w:val="32"/>
          <w:szCs w:val="32"/>
          <w:lang w:val="en-US" w:eastAsia="zh-CN"/>
        </w:rPr>
        <w:t>基本</w:t>
      </w:r>
      <w:r>
        <w:rPr>
          <w:rFonts w:hint="default" w:ascii="Times New Roman" w:hAnsi="Times New Roman" w:eastAsia="方正仿宋_GBK" w:cs="Times New Roman"/>
          <w:b w:val="0"/>
          <w:bCs w:val="0"/>
          <w:color w:val="auto"/>
          <w:sz w:val="32"/>
          <w:szCs w:val="32"/>
        </w:rPr>
        <w:t>医疗保险。重庆市</w:t>
      </w:r>
      <w:r>
        <w:rPr>
          <w:rFonts w:hint="default" w:ascii="Times New Roman" w:hAnsi="Times New Roman" w:eastAsia="方正仿宋_GBK" w:cs="Times New Roman"/>
          <w:b w:val="0"/>
          <w:bCs w:val="0"/>
          <w:color w:val="auto"/>
          <w:sz w:val="32"/>
          <w:szCs w:val="32"/>
          <w:lang w:eastAsia="zh-CN"/>
        </w:rPr>
        <w:t>其他区县</w:t>
      </w:r>
      <w:r>
        <w:rPr>
          <w:rFonts w:hint="default" w:ascii="Times New Roman" w:hAnsi="Times New Roman" w:eastAsia="方正仿宋_GBK" w:cs="Times New Roman"/>
          <w:b w:val="0"/>
          <w:bCs w:val="0"/>
          <w:color w:val="auto"/>
          <w:sz w:val="32"/>
          <w:szCs w:val="32"/>
        </w:rPr>
        <w:t>居民，在</w:t>
      </w:r>
      <w:r>
        <w:rPr>
          <w:rFonts w:hint="default" w:ascii="Times New Roman" w:hAnsi="Times New Roman" w:eastAsia="方正仿宋_GBK" w:cs="Times New Roman"/>
          <w:b w:val="0"/>
          <w:bCs w:val="0"/>
          <w:color w:val="auto"/>
          <w:sz w:val="32"/>
          <w:szCs w:val="32"/>
          <w:lang w:eastAsia="zh-CN"/>
        </w:rPr>
        <w:t>万州区白羊镇</w:t>
      </w:r>
      <w:r>
        <w:rPr>
          <w:rFonts w:hint="default" w:ascii="Times New Roman" w:hAnsi="Times New Roman" w:eastAsia="方正仿宋_GBK" w:cs="Times New Roman"/>
          <w:b w:val="0"/>
          <w:bCs w:val="0"/>
          <w:color w:val="auto"/>
          <w:sz w:val="32"/>
          <w:szCs w:val="32"/>
        </w:rPr>
        <w:t>居住的，可在居住</w:t>
      </w:r>
      <w:r>
        <w:rPr>
          <w:rFonts w:hint="default" w:ascii="Times New Roman" w:hAnsi="Times New Roman" w:eastAsia="方正仿宋_GBK" w:cs="Times New Roman"/>
          <w:b w:val="0"/>
          <w:bCs w:val="0"/>
          <w:color w:val="auto"/>
          <w:sz w:val="32"/>
          <w:szCs w:val="32"/>
          <w:lang w:eastAsia="zh-CN"/>
        </w:rPr>
        <w:t>村（社区）</w:t>
      </w:r>
      <w:r>
        <w:rPr>
          <w:rFonts w:hint="default" w:ascii="Times New Roman" w:hAnsi="Times New Roman" w:eastAsia="方正仿宋_GBK" w:cs="Times New Roman"/>
          <w:b w:val="0"/>
          <w:bCs w:val="0"/>
          <w:color w:val="auto"/>
          <w:sz w:val="32"/>
          <w:szCs w:val="32"/>
        </w:rPr>
        <w:t>参加城乡居民基本医疗保险。在</w:t>
      </w:r>
      <w:r>
        <w:rPr>
          <w:rFonts w:hint="default" w:ascii="Times New Roman" w:hAnsi="Times New Roman" w:eastAsia="方正仿宋_GBK" w:cs="Times New Roman"/>
          <w:b w:val="0"/>
          <w:bCs w:val="0"/>
          <w:color w:val="auto"/>
          <w:sz w:val="32"/>
          <w:szCs w:val="32"/>
          <w:lang w:eastAsia="zh-CN"/>
        </w:rPr>
        <w:t>白羊镇</w:t>
      </w:r>
      <w:r>
        <w:rPr>
          <w:rFonts w:hint="default" w:ascii="Times New Roman" w:hAnsi="Times New Roman" w:eastAsia="方正仿宋_GBK" w:cs="Times New Roman"/>
          <w:b w:val="0"/>
          <w:bCs w:val="0"/>
          <w:color w:val="auto"/>
          <w:sz w:val="32"/>
          <w:szCs w:val="32"/>
        </w:rPr>
        <w:t>取得《居住证》的</w:t>
      </w:r>
      <w:r>
        <w:rPr>
          <w:rFonts w:hint="default" w:ascii="Times New Roman" w:hAnsi="Times New Roman" w:eastAsia="方正仿宋_GBK" w:cs="Times New Roman"/>
          <w:b w:val="0"/>
          <w:bCs w:val="0"/>
          <w:color w:val="auto"/>
          <w:sz w:val="32"/>
          <w:szCs w:val="32"/>
          <w:lang w:eastAsia="zh-CN"/>
        </w:rPr>
        <w:t>镇</w:t>
      </w:r>
      <w:r>
        <w:rPr>
          <w:rFonts w:hint="default" w:ascii="Times New Roman" w:hAnsi="Times New Roman" w:eastAsia="方正仿宋_GBK" w:cs="Times New Roman"/>
          <w:b w:val="0"/>
          <w:bCs w:val="0"/>
          <w:color w:val="auto"/>
          <w:sz w:val="32"/>
          <w:szCs w:val="32"/>
        </w:rPr>
        <w:t>外户籍人员，</w:t>
      </w:r>
      <w:r>
        <w:rPr>
          <w:rFonts w:hint="default" w:ascii="Times New Roman" w:hAnsi="Times New Roman" w:eastAsia="方正仿宋_GBK" w:cs="Times New Roman"/>
          <w:b w:val="0"/>
          <w:bCs w:val="0"/>
          <w:color w:val="auto"/>
          <w:sz w:val="32"/>
          <w:szCs w:val="32"/>
          <w:lang w:val="en-US" w:eastAsia="zh-CN"/>
        </w:rPr>
        <w:t>以及符合我镇规定的其他人员，</w:t>
      </w:r>
      <w:r>
        <w:rPr>
          <w:rFonts w:hint="default" w:ascii="Times New Roman" w:hAnsi="Times New Roman" w:eastAsia="方正仿宋_GBK" w:cs="Times New Roman"/>
          <w:b w:val="0"/>
          <w:bCs w:val="0"/>
          <w:color w:val="auto"/>
          <w:sz w:val="32"/>
          <w:szCs w:val="32"/>
        </w:rPr>
        <w:t>可在居住</w:t>
      </w:r>
      <w:r>
        <w:rPr>
          <w:rFonts w:hint="default" w:ascii="Times New Roman" w:hAnsi="Times New Roman" w:eastAsia="方正仿宋_GBK" w:cs="Times New Roman"/>
          <w:b w:val="0"/>
          <w:bCs w:val="0"/>
          <w:color w:val="auto"/>
          <w:sz w:val="32"/>
          <w:szCs w:val="32"/>
          <w:lang w:eastAsia="zh-CN"/>
        </w:rPr>
        <w:t>村（社区）</w:t>
      </w:r>
      <w:r>
        <w:rPr>
          <w:rFonts w:hint="default" w:ascii="Times New Roman" w:hAnsi="Times New Roman" w:eastAsia="方正仿宋_GBK" w:cs="Times New Roman"/>
          <w:b w:val="0"/>
          <w:bCs w:val="0"/>
          <w:color w:val="auto"/>
          <w:sz w:val="32"/>
          <w:szCs w:val="32"/>
        </w:rPr>
        <w:t>参加城乡居民基本医疗保险。已经参加职工医保</w:t>
      </w:r>
      <w:r>
        <w:rPr>
          <w:rFonts w:hint="default" w:ascii="Times New Roman" w:hAnsi="Times New Roman" w:eastAsia="方正仿宋_GBK" w:cs="Times New Roman"/>
          <w:b w:val="0"/>
          <w:bCs w:val="0"/>
          <w:color w:val="auto"/>
          <w:sz w:val="32"/>
          <w:szCs w:val="32"/>
          <w:lang w:val="en-US" w:eastAsia="zh-CN"/>
        </w:rPr>
        <w:t>或</w:t>
      </w:r>
      <w:r>
        <w:rPr>
          <w:rFonts w:hint="default" w:ascii="Times New Roman" w:hAnsi="Times New Roman" w:eastAsia="方正仿宋_GBK" w:cs="Times New Roman"/>
          <w:b w:val="0"/>
          <w:bCs w:val="0"/>
          <w:color w:val="auto"/>
          <w:sz w:val="32"/>
          <w:szCs w:val="32"/>
        </w:rPr>
        <w:t>大学生医保的人员不再重复参保。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rPr>
        <w:t>四、</w:t>
      </w:r>
      <w:r>
        <w:rPr>
          <w:rFonts w:hint="default" w:ascii="Times New Roman" w:hAnsi="Times New Roman" w:eastAsia="方正黑体_GBK" w:cs="Times New Roman"/>
          <w:color w:val="auto"/>
          <w:kern w:val="0"/>
          <w:sz w:val="32"/>
          <w:szCs w:val="32"/>
          <w:highlight w:val="none"/>
          <w:lang w:val="en-US" w:eastAsia="zh-CN"/>
        </w:rPr>
        <w:t>参保资助</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楷体_GBK" w:cs="Times New Roman"/>
          <w:b w:val="0"/>
          <w:bCs w:val="0"/>
          <w:color w:val="auto"/>
          <w:sz w:val="32"/>
          <w:szCs w:val="32"/>
          <w:lang w:val="en-US" w:eastAsia="zh-CN"/>
        </w:rPr>
        <w:t>（一）资助对象。</w:t>
      </w:r>
      <w:r>
        <w:rPr>
          <w:rFonts w:hint="default" w:ascii="Times New Roman" w:hAnsi="Times New Roman" w:eastAsia="方正仿宋_GBK" w:cs="Times New Roman"/>
          <w:b w:val="0"/>
          <w:bCs w:val="0"/>
          <w:color w:val="auto"/>
          <w:sz w:val="32"/>
          <w:szCs w:val="32"/>
        </w:rPr>
        <w:t>按照</w:t>
      </w:r>
      <w:r>
        <w:rPr>
          <w:rFonts w:hint="default" w:ascii="Times New Roman" w:hAnsi="Times New Roman" w:eastAsia="方正仿宋_GBK" w:cs="Times New Roman"/>
          <w:b w:val="0"/>
          <w:bCs w:val="0"/>
          <w:color w:val="auto"/>
          <w:sz w:val="32"/>
          <w:szCs w:val="32"/>
          <w:lang w:val="en-US" w:eastAsia="zh-CN"/>
        </w:rPr>
        <w:t>渝医保发〔2021〕66号文件规定，继续</w:t>
      </w:r>
      <w:r>
        <w:rPr>
          <w:rFonts w:hint="default" w:ascii="Times New Roman" w:hAnsi="Times New Roman" w:eastAsia="方正仿宋_GBK" w:cs="Times New Roman"/>
          <w:b w:val="0"/>
          <w:bCs w:val="0"/>
          <w:color w:val="auto"/>
          <w:sz w:val="32"/>
          <w:szCs w:val="32"/>
        </w:rPr>
        <w:t>对</w:t>
      </w:r>
      <w:r>
        <w:rPr>
          <w:rFonts w:hint="default" w:ascii="Times New Roman" w:hAnsi="Times New Roman" w:eastAsia="方正仿宋_GBK" w:cs="Times New Roman"/>
          <w:b w:val="0"/>
          <w:bCs w:val="0"/>
          <w:color w:val="auto"/>
          <w:sz w:val="32"/>
          <w:szCs w:val="32"/>
          <w:lang w:val="en-US" w:eastAsia="zh-CN"/>
        </w:rPr>
        <w:t>特困人员、低保对象、返贫致贫人口、脱贫不稳定户、边缘易致贫户、突发严重困难户、低保边缘户等7类低收入人口，参加居民医保的个人缴费部分给予资助。</w:t>
      </w:r>
      <w:r>
        <w:rPr>
          <w:rFonts w:hint="default" w:ascii="Times New Roman" w:hAnsi="Times New Roman" w:eastAsia="方正仿宋_GBK" w:cs="Times New Roman"/>
          <w:b w:val="0"/>
          <w:bCs w:val="0"/>
          <w:color w:val="auto"/>
          <w:kern w:val="0"/>
          <w:sz w:val="32"/>
          <w:szCs w:val="32"/>
          <w:lang w:val="en-US" w:eastAsia="zh-CN" w:bidi="ar"/>
        </w:rPr>
        <w:t>对在乡重点优抚对象（不含1-6级残疾军人）、城乡重度（一、二级）残疾人员、</w:t>
      </w:r>
      <w:r>
        <w:rPr>
          <w:rFonts w:hint="default" w:ascii="Times New Roman" w:hAnsi="Times New Roman" w:eastAsia="方正仿宋_GBK" w:cs="Times New Roman"/>
          <w:color w:val="auto"/>
          <w:kern w:val="32"/>
          <w:sz w:val="32"/>
          <w:szCs w:val="32"/>
        </w:rPr>
        <w:t>在万高校审核确认的家庭经济困难大学生</w:t>
      </w:r>
      <w:r>
        <w:rPr>
          <w:rFonts w:hint="default" w:ascii="Times New Roman" w:hAnsi="Times New Roman" w:eastAsia="方正仿宋_GBK" w:cs="Times New Roman"/>
          <w:b w:val="0"/>
          <w:bCs w:val="0"/>
          <w:color w:val="auto"/>
          <w:kern w:val="0"/>
          <w:sz w:val="32"/>
          <w:szCs w:val="32"/>
          <w:lang w:val="en-US" w:eastAsia="zh-CN" w:bidi="ar"/>
        </w:rPr>
        <w:t>等其他各类医疗救助对象的参保资助政策保持不变。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楷体_GBK" w:cs="Times New Roman"/>
          <w:b w:val="0"/>
          <w:bCs w:val="0"/>
          <w:color w:val="auto"/>
          <w:sz w:val="32"/>
          <w:szCs w:val="32"/>
          <w:lang w:val="en-US" w:eastAsia="zh-CN"/>
        </w:rPr>
        <w:t>（二）资助标准。</w:t>
      </w:r>
      <w:r>
        <w:rPr>
          <w:rFonts w:hint="default" w:ascii="Times New Roman" w:hAnsi="Times New Roman" w:eastAsia="方正仿宋_GBK" w:cs="Times New Roman"/>
          <w:b w:val="0"/>
          <w:bCs w:val="0"/>
          <w:color w:val="auto"/>
          <w:kern w:val="0"/>
          <w:sz w:val="32"/>
          <w:szCs w:val="32"/>
          <w:lang w:val="en-US" w:eastAsia="zh-CN" w:bidi="ar"/>
        </w:rPr>
        <w:t>参加居民医保一档的，对特困人员，按照一档个人缴费标准的100%给予全额资助；对低保对象，按照 90%给予定额资助；对返贫致贫人口、脱贫不稳定户、边缘易致贫户、突发严重困难户、低保边缘户，按照70%给予定额资助。上述人员参加居民医保二档的，统一按照参加居民医保一档个人缴费标准的100%给予资助。超过资助标准的个人应缴纳参保费用由参保对象自行负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kern w:val="0"/>
          <w:sz w:val="32"/>
          <w:szCs w:val="32"/>
          <w:lang w:val="en-US" w:eastAsia="zh-CN" w:bidi="ar"/>
        </w:rPr>
        <w:t>按照渝卫发〔2017〕123号文件规定，对卫生健康部门认定的计生残抚（特扶）对象及其子女、计划生育并发症对象统一按一档标准给予资助；计生优抚（奖扶）对象本人统一按一档标准80%给予资助。</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kern w:val="0"/>
          <w:sz w:val="32"/>
          <w:szCs w:val="32"/>
          <w:lang w:val="en-US" w:eastAsia="zh-CN" w:bidi="ar"/>
        </w:rPr>
        <w:t xml:space="preserve">上述人员享受资助参保时有多重身份，按参保缴费时就高身份确定，享受资助参保后人员身份发生变化的，不再进行差额资助（详见附件2）。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五、</w:t>
      </w:r>
      <w:r>
        <w:rPr>
          <w:rFonts w:hint="default" w:ascii="Times New Roman" w:hAnsi="Times New Roman" w:eastAsia="方正黑体_GBK" w:cs="Times New Roman"/>
          <w:color w:val="auto"/>
          <w:kern w:val="0"/>
          <w:sz w:val="32"/>
          <w:szCs w:val="32"/>
          <w:highlight w:val="none"/>
        </w:rPr>
        <w:t>参保及缴费方式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楷体_GBK" w:cs="Times New Roman"/>
          <w:color w:val="auto"/>
          <w:kern w:val="0"/>
          <w:sz w:val="32"/>
          <w:szCs w:val="32"/>
          <w:highlight w:val="none"/>
          <w:lang w:val="en-US" w:eastAsia="zh-CN"/>
        </w:rPr>
        <w:t>资助对象参保</w:t>
      </w:r>
      <w:r>
        <w:rPr>
          <w:rFonts w:hint="default" w:ascii="Times New Roman" w:hAnsi="Times New Roman" w:eastAsia="方正楷体_GBK" w:cs="Times New Roman"/>
          <w:color w:val="auto"/>
          <w:kern w:val="0"/>
          <w:sz w:val="32"/>
          <w:szCs w:val="32"/>
          <w:highlight w:val="none"/>
        </w:rPr>
        <w:t>及缴费方式</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区</w:t>
      </w:r>
      <w:r>
        <w:rPr>
          <w:rFonts w:hint="default" w:ascii="Times New Roman" w:hAnsi="Times New Roman" w:eastAsia="方正仿宋_GBK" w:cs="Times New Roman"/>
          <w:color w:val="auto"/>
          <w:kern w:val="0"/>
          <w:sz w:val="32"/>
          <w:szCs w:val="32"/>
          <w:highlight w:val="none"/>
          <w:lang w:val="en-US" w:eastAsia="zh-CN"/>
        </w:rPr>
        <w:t>民政局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区卫生健康委、区</w:t>
      </w:r>
      <w:r>
        <w:rPr>
          <w:rFonts w:hint="default" w:ascii="Times New Roman" w:hAnsi="Times New Roman" w:eastAsia="方正仿宋_GBK" w:cs="Times New Roman"/>
          <w:color w:val="auto"/>
          <w:kern w:val="0"/>
          <w:sz w:val="32"/>
          <w:szCs w:val="32"/>
          <w:highlight w:val="none"/>
        </w:rPr>
        <w:t>退役军人</w:t>
      </w:r>
      <w:r>
        <w:rPr>
          <w:rFonts w:hint="default" w:ascii="Times New Roman" w:hAnsi="Times New Roman" w:eastAsia="方正仿宋_GBK" w:cs="Times New Roman"/>
          <w:color w:val="auto"/>
          <w:kern w:val="0"/>
          <w:sz w:val="32"/>
          <w:szCs w:val="32"/>
          <w:highlight w:val="none"/>
          <w:lang w:val="en-US" w:eastAsia="zh-CN"/>
        </w:rPr>
        <w:t>事务局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区乡村振兴局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区</w:t>
      </w:r>
      <w:r>
        <w:rPr>
          <w:rFonts w:hint="default" w:ascii="Times New Roman" w:hAnsi="Times New Roman" w:eastAsia="方正仿宋_GBK" w:cs="Times New Roman"/>
          <w:color w:val="auto"/>
          <w:kern w:val="0"/>
          <w:sz w:val="32"/>
          <w:szCs w:val="32"/>
          <w:highlight w:val="none"/>
        </w:rPr>
        <w:t>残联等</w:t>
      </w:r>
      <w:r>
        <w:rPr>
          <w:rFonts w:hint="default" w:ascii="Times New Roman" w:hAnsi="Times New Roman" w:eastAsia="方正仿宋_GBK" w:cs="Times New Roman"/>
          <w:color w:val="auto"/>
          <w:kern w:val="0"/>
          <w:sz w:val="32"/>
          <w:szCs w:val="32"/>
          <w:highlight w:val="none"/>
          <w:lang w:eastAsia="zh-CN"/>
        </w:rPr>
        <w:t>认定</w:t>
      </w:r>
      <w:r>
        <w:rPr>
          <w:rFonts w:hint="default" w:ascii="Times New Roman" w:hAnsi="Times New Roman" w:eastAsia="方正仿宋_GBK" w:cs="Times New Roman"/>
          <w:color w:val="auto"/>
          <w:kern w:val="0"/>
          <w:sz w:val="32"/>
          <w:szCs w:val="32"/>
          <w:highlight w:val="none"/>
        </w:rPr>
        <w:t>部门确认资助名单后，将</w:t>
      </w:r>
      <w:r>
        <w:rPr>
          <w:rFonts w:hint="default" w:ascii="Times New Roman" w:hAnsi="Times New Roman" w:eastAsia="方正仿宋_GBK" w:cs="Times New Roman"/>
          <w:color w:val="auto"/>
          <w:kern w:val="32"/>
          <w:sz w:val="32"/>
          <w:szCs w:val="32"/>
        </w:rPr>
        <w:t>人员信息传递给区医保局</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lang w:val="en-US" w:eastAsia="zh-CN"/>
        </w:rPr>
        <w:t>由</w:t>
      </w:r>
      <w:r>
        <w:rPr>
          <w:rFonts w:hint="default" w:ascii="Times New Roman" w:hAnsi="Times New Roman" w:eastAsia="方正仿宋_GBK" w:cs="Times New Roman"/>
          <w:color w:val="auto"/>
          <w:kern w:val="32"/>
          <w:sz w:val="32"/>
          <w:szCs w:val="32"/>
        </w:rPr>
        <w:t>区医保局进行</w:t>
      </w:r>
      <w:r>
        <w:rPr>
          <w:rFonts w:hint="default" w:ascii="Times New Roman" w:hAnsi="Times New Roman" w:eastAsia="方正仿宋_GBK" w:cs="Times New Roman"/>
          <w:color w:val="auto"/>
          <w:kern w:val="32"/>
          <w:sz w:val="32"/>
          <w:szCs w:val="32"/>
          <w:lang w:val="en-US" w:eastAsia="zh-CN"/>
        </w:rPr>
        <w:t>数据</w:t>
      </w:r>
      <w:r>
        <w:rPr>
          <w:rFonts w:hint="default" w:ascii="Times New Roman" w:hAnsi="Times New Roman" w:eastAsia="方正仿宋_GBK" w:cs="Times New Roman"/>
          <w:color w:val="auto"/>
          <w:kern w:val="32"/>
          <w:sz w:val="32"/>
          <w:szCs w:val="32"/>
        </w:rPr>
        <w:t>比对</w:t>
      </w:r>
      <w:r>
        <w:rPr>
          <w:rFonts w:hint="default" w:ascii="Times New Roman" w:hAnsi="Times New Roman" w:eastAsia="方正仿宋_GBK" w:cs="Times New Roman"/>
          <w:color w:val="auto"/>
          <w:kern w:val="32"/>
          <w:sz w:val="32"/>
          <w:szCs w:val="32"/>
          <w:lang w:val="en-US" w:eastAsia="zh-CN"/>
        </w:rPr>
        <w:t>和信息标识</w:t>
      </w:r>
      <w:r>
        <w:rPr>
          <w:rFonts w:hint="default" w:ascii="Times New Roman" w:hAnsi="Times New Roman" w:eastAsia="方正仿宋_GBK" w:cs="Times New Roman"/>
          <w:color w:val="auto"/>
          <w:kern w:val="0"/>
          <w:sz w:val="32"/>
          <w:szCs w:val="32"/>
          <w:highlight w:val="none"/>
          <w:lang w:val="en-US" w:eastAsia="zh-CN"/>
        </w:rPr>
        <w:t>，并</w:t>
      </w:r>
      <w:r>
        <w:rPr>
          <w:rFonts w:hint="default" w:ascii="Times New Roman" w:hAnsi="Times New Roman" w:eastAsia="方正仿宋_GBK" w:cs="Times New Roman"/>
          <w:color w:val="auto"/>
          <w:kern w:val="0"/>
          <w:sz w:val="32"/>
          <w:szCs w:val="32"/>
          <w:highlight w:val="none"/>
        </w:rPr>
        <w:t>将登记</w:t>
      </w:r>
      <w:r>
        <w:rPr>
          <w:rFonts w:hint="default" w:ascii="Times New Roman" w:hAnsi="Times New Roman" w:eastAsia="方正仿宋_GBK" w:cs="Times New Roman"/>
          <w:color w:val="auto"/>
          <w:kern w:val="0"/>
          <w:sz w:val="32"/>
          <w:szCs w:val="32"/>
          <w:highlight w:val="none"/>
          <w:lang w:val="en-US" w:eastAsia="zh-CN"/>
        </w:rPr>
        <w:t>标识</w:t>
      </w:r>
      <w:r>
        <w:rPr>
          <w:rFonts w:hint="default" w:ascii="Times New Roman" w:hAnsi="Times New Roman" w:eastAsia="方正仿宋_GBK" w:cs="Times New Roman"/>
          <w:color w:val="auto"/>
          <w:kern w:val="0"/>
          <w:sz w:val="32"/>
          <w:szCs w:val="32"/>
          <w:highlight w:val="none"/>
        </w:rPr>
        <w:t>信息实时传递至</w:t>
      </w:r>
      <w:r>
        <w:rPr>
          <w:rFonts w:hint="default" w:ascii="Times New Roman" w:hAnsi="Times New Roman" w:eastAsia="方正仿宋_GBK" w:cs="Times New Roman"/>
          <w:color w:val="auto"/>
          <w:kern w:val="0"/>
          <w:sz w:val="32"/>
          <w:szCs w:val="32"/>
          <w:highlight w:val="none"/>
          <w:lang w:val="en-US" w:eastAsia="zh-CN"/>
        </w:rPr>
        <w:t>万州区税务局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32"/>
          <w:sz w:val="32"/>
          <w:szCs w:val="32"/>
        </w:rPr>
        <w:t>在万高校审核确认的家庭经济困难大学生由各认定高校</w:t>
      </w:r>
      <w:r>
        <w:rPr>
          <w:rFonts w:hint="default" w:ascii="Times New Roman" w:hAnsi="Times New Roman" w:eastAsia="方正仿宋_GBK" w:cs="Times New Roman"/>
          <w:color w:val="auto"/>
          <w:kern w:val="32"/>
          <w:sz w:val="32"/>
          <w:szCs w:val="32"/>
          <w:lang w:val="en-US" w:eastAsia="zh-CN"/>
        </w:rPr>
        <w:t>自行</w:t>
      </w:r>
      <w:r>
        <w:rPr>
          <w:rFonts w:hint="default" w:ascii="Times New Roman" w:hAnsi="Times New Roman" w:eastAsia="方正仿宋_GBK" w:cs="Times New Roman"/>
          <w:color w:val="auto"/>
          <w:kern w:val="32"/>
          <w:sz w:val="32"/>
          <w:szCs w:val="32"/>
        </w:rPr>
        <w:t>进行</w:t>
      </w:r>
      <w:r>
        <w:rPr>
          <w:rFonts w:hint="default" w:ascii="Times New Roman" w:hAnsi="Times New Roman" w:eastAsia="方正仿宋_GBK" w:cs="Times New Roman"/>
          <w:color w:val="auto"/>
          <w:kern w:val="32"/>
          <w:sz w:val="32"/>
          <w:szCs w:val="32"/>
          <w:lang w:val="en-US" w:eastAsia="zh-CN"/>
        </w:rPr>
        <w:t>登记标识，并按要求</w:t>
      </w:r>
      <w:r>
        <w:rPr>
          <w:rFonts w:hint="default" w:ascii="Times New Roman" w:hAnsi="Times New Roman" w:eastAsia="方正仿宋_GBK" w:cs="Times New Roman"/>
          <w:color w:val="auto"/>
          <w:kern w:val="0"/>
          <w:sz w:val="32"/>
          <w:szCs w:val="32"/>
          <w:highlight w:val="none"/>
        </w:rPr>
        <w:t>批量导录入医保信息系统</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0"/>
          <w:sz w:val="32"/>
          <w:szCs w:val="32"/>
          <w:highlight w:val="none"/>
          <w:lang w:val="en-US" w:eastAsia="zh-CN"/>
        </w:rPr>
        <w:t>区财政局、区乡村振兴局等</w:t>
      </w:r>
      <w:r>
        <w:rPr>
          <w:rFonts w:hint="default" w:ascii="Times New Roman" w:hAnsi="Times New Roman" w:eastAsia="方正仿宋_GBK" w:cs="Times New Roman"/>
          <w:color w:val="auto"/>
          <w:kern w:val="0"/>
          <w:sz w:val="32"/>
          <w:szCs w:val="32"/>
          <w:highlight w:val="none"/>
        </w:rPr>
        <w:t>资助部门依照实际资助情况完成实缴。</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val="en-US" w:eastAsia="zh-CN"/>
        </w:rPr>
        <w:t>二</w:t>
      </w:r>
      <w:r>
        <w:rPr>
          <w:rFonts w:hint="default" w:ascii="Times New Roman" w:hAnsi="Times New Roman" w:eastAsia="方正楷体_GBK" w:cs="Times New Roman"/>
          <w:color w:val="auto"/>
          <w:kern w:val="0"/>
          <w:sz w:val="32"/>
          <w:szCs w:val="32"/>
          <w:highlight w:val="none"/>
        </w:rPr>
        <w:t>）中小学校、幼儿园参保及征收方式</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在镇</w:t>
      </w:r>
      <w:r>
        <w:rPr>
          <w:rFonts w:hint="default" w:ascii="Times New Roman" w:hAnsi="Times New Roman" w:eastAsia="方正仿宋_GBK" w:cs="Times New Roman"/>
          <w:color w:val="auto"/>
          <w:kern w:val="0"/>
          <w:sz w:val="32"/>
          <w:szCs w:val="32"/>
          <w:highlight w:val="none"/>
          <w:lang w:val="en-US" w:eastAsia="zh-CN"/>
        </w:rPr>
        <w:t>属中小</w:t>
      </w:r>
      <w:r>
        <w:rPr>
          <w:rFonts w:hint="default" w:ascii="Times New Roman" w:hAnsi="Times New Roman" w:eastAsia="方正仿宋_GBK" w:cs="Times New Roman"/>
          <w:color w:val="auto"/>
          <w:kern w:val="0"/>
          <w:sz w:val="32"/>
          <w:szCs w:val="32"/>
          <w:highlight w:val="none"/>
        </w:rPr>
        <w:t>学校</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幼儿园在区</w:t>
      </w:r>
      <w:r>
        <w:rPr>
          <w:rFonts w:hint="default" w:ascii="Times New Roman" w:hAnsi="Times New Roman" w:eastAsia="方正仿宋_GBK" w:cs="Times New Roman"/>
          <w:color w:val="auto"/>
          <w:kern w:val="0"/>
          <w:sz w:val="32"/>
          <w:szCs w:val="32"/>
          <w:highlight w:val="none"/>
          <w:lang w:val="en-US" w:eastAsia="zh-CN"/>
        </w:rPr>
        <w:t>教委</w:t>
      </w:r>
      <w:r>
        <w:rPr>
          <w:rFonts w:hint="default" w:ascii="Times New Roman" w:hAnsi="Times New Roman" w:eastAsia="方正仿宋_GBK" w:cs="Times New Roman"/>
          <w:color w:val="auto"/>
          <w:kern w:val="0"/>
          <w:sz w:val="32"/>
          <w:szCs w:val="32"/>
          <w:highlight w:val="none"/>
        </w:rPr>
        <w:t>的指导下，根据实际情况完成</w:t>
      </w:r>
      <w:r>
        <w:rPr>
          <w:rFonts w:hint="default" w:ascii="Times New Roman" w:hAnsi="Times New Roman" w:eastAsia="方正仿宋_GBK" w:cs="Times New Roman"/>
          <w:color w:val="auto"/>
          <w:kern w:val="0"/>
          <w:sz w:val="32"/>
          <w:szCs w:val="32"/>
          <w:highlight w:val="none"/>
          <w:lang w:val="en-US" w:eastAsia="zh-CN"/>
        </w:rPr>
        <w:t>登记</w:t>
      </w:r>
      <w:r>
        <w:rPr>
          <w:rFonts w:hint="default" w:ascii="Times New Roman" w:hAnsi="Times New Roman" w:eastAsia="方正仿宋_GBK" w:cs="Times New Roman"/>
          <w:color w:val="auto"/>
          <w:kern w:val="0"/>
          <w:sz w:val="32"/>
          <w:szCs w:val="32"/>
          <w:highlight w:val="none"/>
        </w:rPr>
        <w:t>缴费或指导家长</w:t>
      </w:r>
      <w:r>
        <w:rPr>
          <w:rFonts w:hint="default" w:ascii="Times New Roman" w:hAnsi="Times New Roman" w:eastAsia="方正仿宋_GBK" w:cs="Times New Roman"/>
          <w:color w:val="auto"/>
          <w:kern w:val="0"/>
          <w:sz w:val="32"/>
          <w:szCs w:val="32"/>
          <w:highlight w:val="none"/>
          <w:lang w:val="en-US" w:eastAsia="zh-CN"/>
        </w:rPr>
        <w:t>到镇社保所进行登记</w:t>
      </w:r>
      <w:r>
        <w:rPr>
          <w:rFonts w:hint="default" w:ascii="Times New Roman" w:hAnsi="Times New Roman" w:eastAsia="方正仿宋_GBK" w:cs="Times New Roman"/>
          <w:color w:val="auto"/>
          <w:kern w:val="0"/>
          <w:sz w:val="32"/>
          <w:szCs w:val="32"/>
          <w:highlight w:val="none"/>
        </w:rPr>
        <w:t>缴费</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lang w:val="en-US" w:eastAsia="zh-CN"/>
        </w:rPr>
        <w:t>三</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rPr>
        <w:t>其他城乡居民参保及缴费方式</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对已参保登记的人员，可通过重庆电子税务局、支付宝、微信、云闪付、渝快办、重庆农商行APP缴费，也可到村（社区）便民服务中心刷POS机缴费。对</w:t>
      </w:r>
      <w:r>
        <w:rPr>
          <w:rFonts w:hint="default" w:ascii="Times New Roman" w:hAnsi="Times New Roman" w:eastAsia="方正仿宋_GBK" w:cs="Times New Roman"/>
          <w:color w:val="auto"/>
          <w:kern w:val="0"/>
          <w:sz w:val="32"/>
          <w:szCs w:val="32"/>
          <w:highlight w:val="none"/>
          <w:lang w:val="en-US" w:eastAsia="zh-CN"/>
        </w:rPr>
        <w:t>新参保登记人员</w:t>
      </w:r>
      <w:r>
        <w:rPr>
          <w:rFonts w:hint="default" w:ascii="Times New Roman" w:hAnsi="Times New Roman" w:eastAsia="方正仿宋_GBK" w:cs="Times New Roman"/>
          <w:color w:val="auto"/>
          <w:kern w:val="0"/>
          <w:sz w:val="32"/>
          <w:szCs w:val="32"/>
          <w:highlight w:val="none"/>
        </w:rPr>
        <w:t>，凭身份证、户口簿或居住证到</w:t>
      </w:r>
      <w:r>
        <w:rPr>
          <w:rFonts w:hint="default" w:ascii="Times New Roman" w:hAnsi="Times New Roman" w:eastAsia="方正仿宋_GBK" w:cs="Times New Roman"/>
          <w:color w:val="auto"/>
          <w:kern w:val="0"/>
          <w:sz w:val="32"/>
          <w:szCs w:val="32"/>
          <w:highlight w:val="none"/>
          <w:lang w:eastAsia="zh-CN"/>
        </w:rPr>
        <w:t>镇</w:t>
      </w:r>
      <w:r>
        <w:rPr>
          <w:rFonts w:hint="default" w:ascii="Times New Roman" w:hAnsi="Times New Roman" w:eastAsia="方正仿宋_GBK" w:cs="Times New Roman"/>
          <w:color w:val="auto"/>
          <w:kern w:val="0"/>
          <w:sz w:val="32"/>
          <w:szCs w:val="32"/>
          <w:highlight w:val="none"/>
        </w:rPr>
        <w:t>社保所办理参保登记手续后再缴费。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六、</w:t>
      </w:r>
      <w:r>
        <w:rPr>
          <w:rFonts w:hint="default" w:ascii="Times New Roman" w:hAnsi="Times New Roman" w:eastAsia="方正黑体_GBK" w:cs="Times New Roman"/>
          <w:color w:val="auto"/>
          <w:kern w:val="0"/>
          <w:sz w:val="32"/>
          <w:szCs w:val="32"/>
          <w:highlight w:val="none"/>
        </w:rPr>
        <w:t>集中筹资期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2024年</w:t>
      </w:r>
      <w:r>
        <w:rPr>
          <w:rFonts w:hint="default" w:ascii="Times New Roman" w:hAnsi="Times New Roman" w:eastAsia="方正仿宋_GBK" w:cs="Times New Roman"/>
          <w:color w:val="auto"/>
          <w:kern w:val="0"/>
          <w:sz w:val="32"/>
          <w:szCs w:val="32"/>
          <w:highlight w:val="none"/>
          <w:lang w:val="en-US" w:eastAsia="zh-CN"/>
        </w:rPr>
        <w:t>全区</w:t>
      </w:r>
      <w:r>
        <w:rPr>
          <w:rFonts w:hint="default" w:ascii="Times New Roman" w:hAnsi="Times New Roman" w:eastAsia="方正仿宋_GBK" w:cs="Times New Roman"/>
          <w:color w:val="auto"/>
          <w:kern w:val="0"/>
          <w:sz w:val="32"/>
          <w:szCs w:val="32"/>
          <w:highlight w:val="none"/>
        </w:rPr>
        <w:t>城乡居民基本医疗保险集中参保筹资时间为2023年12月31日</w:t>
      </w:r>
      <w:r>
        <w:rPr>
          <w:rFonts w:hint="default" w:ascii="Times New Roman" w:hAnsi="Times New Roman" w:eastAsia="方正仿宋_GBK" w:cs="Times New Roman"/>
          <w:color w:val="auto"/>
          <w:kern w:val="0"/>
          <w:sz w:val="32"/>
          <w:szCs w:val="32"/>
          <w:highlight w:val="none"/>
          <w:lang w:val="en-US" w:eastAsia="zh-CN"/>
        </w:rPr>
        <w:t>前</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val="en-US" w:eastAsia="zh-CN"/>
        </w:rPr>
        <w:t>七</w:t>
      </w:r>
      <w:r>
        <w:rPr>
          <w:rFonts w:hint="default" w:ascii="Times New Roman" w:hAnsi="Times New Roman" w:eastAsia="方正黑体_GBK" w:cs="Times New Roman"/>
          <w:color w:val="auto"/>
          <w:kern w:val="0"/>
          <w:sz w:val="32"/>
          <w:szCs w:val="32"/>
          <w:highlight w:val="none"/>
        </w:rPr>
        <w:t>、待遇</w:t>
      </w:r>
      <w:r>
        <w:rPr>
          <w:rFonts w:hint="default" w:ascii="Times New Roman" w:hAnsi="Times New Roman" w:eastAsia="方正黑体_GBK" w:cs="Times New Roman"/>
          <w:color w:val="auto"/>
          <w:kern w:val="0"/>
          <w:sz w:val="32"/>
          <w:szCs w:val="32"/>
          <w:highlight w:val="none"/>
          <w:lang w:eastAsia="zh-CN"/>
        </w:rPr>
        <w:t>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lang w:val="en-US" w:eastAsia="zh-CN"/>
        </w:rPr>
        <w:t>一</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rPr>
        <w:t>待遇享受期</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2023年12月31日</w:t>
      </w:r>
      <w:r>
        <w:rPr>
          <w:rFonts w:hint="default" w:ascii="Times New Roman" w:hAnsi="Times New Roman" w:eastAsia="方正仿宋_GBK" w:cs="Times New Roman"/>
          <w:color w:val="auto"/>
          <w:kern w:val="0"/>
          <w:sz w:val="32"/>
          <w:szCs w:val="32"/>
          <w:highlight w:val="none"/>
          <w:lang w:eastAsia="zh-CN"/>
        </w:rPr>
        <w:t>前</w:t>
      </w:r>
      <w:r>
        <w:rPr>
          <w:rFonts w:hint="default" w:ascii="Times New Roman" w:hAnsi="Times New Roman" w:eastAsia="方正仿宋_GBK" w:cs="Times New Roman"/>
          <w:color w:val="auto"/>
          <w:kern w:val="0"/>
          <w:sz w:val="32"/>
          <w:szCs w:val="32"/>
          <w:highlight w:val="none"/>
        </w:rPr>
        <w:t>缴费的参保人员，</w:t>
      </w:r>
      <w:r>
        <w:rPr>
          <w:rFonts w:hint="default" w:ascii="Times New Roman" w:hAnsi="Times New Roman" w:eastAsia="方正仿宋_GBK" w:cs="Times New Roman"/>
          <w:color w:val="auto"/>
          <w:kern w:val="0"/>
          <w:sz w:val="32"/>
          <w:szCs w:val="32"/>
          <w:highlight w:val="none"/>
          <w:lang w:val="en-US" w:eastAsia="zh-CN"/>
        </w:rPr>
        <w:t>医保</w:t>
      </w:r>
      <w:r>
        <w:rPr>
          <w:rFonts w:hint="default" w:ascii="Times New Roman" w:hAnsi="Times New Roman" w:eastAsia="方正仿宋_GBK" w:cs="Times New Roman"/>
          <w:color w:val="auto"/>
          <w:kern w:val="0"/>
          <w:sz w:val="32"/>
          <w:szCs w:val="32"/>
          <w:highlight w:val="none"/>
        </w:rPr>
        <w:t>待遇享受时间为2024年1月1日至12月31日</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为方便返乡农民工等群体参保</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在2024年1月1日至2月29日期间参保缴费的，自完清费用的次月1日起享受居民医保待遇。超过2024年2月29日后参保缴费的，居民医保待遇有90天等待期。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调整大学生参保缴费时间，自2023年起，在渝高校大学生（含全日制研究生）参加居民医保的参保缴费期从学年度调整为自然年度，待遇享受时间为次年1月1日至12月31日；新生入学时参加我</w:t>
      </w:r>
      <w:r>
        <w:rPr>
          <w:rFonts w:hint="default" w:ascii="Times New Roman" w:hAnsi="Times New Roman" w:eastAsia="方正仿宋_GBK" w:cs="Times New Roman"/>
          <w:color w:val="auto"/>
          <w:kern w:val="0"/>
          <w:sz w:val="32"/>
          <w:szCs w:val="32"/>
          <w:highlight w:val="none"/>
          <w:lang w:val="en-US" w:eastAsia="zh-CN"/>
        </w:rPr>
        <w:t>区</w:t>
      </w:r>
      <w:r>
        <w:rPr>
          <w:rFonts w:hint="default" w:ascii="Times New Roman" w:hAnsi="Times New Roman" w:eastAsia="方正仿宋_GBK" w:cs="Times New Roman"/>
          <w:color w:val="auto"/>
          <w:kern w:val="0"/>
          <w:sz w:val="32"/>
          <w:szCs w:val="32"/>
          <w:highlight w:val="none"/>
        </w:rPr>
        <w:t>下一年度居民医保的，待遇享受时间为完成缴费的次日至次年12月31日。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调整当年，已参加2023年9月至2024年学年度居民医保的大学生，待遇享受时间从2023年9月至2024年12月。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lang w:val="en-US" w:eastAsia="zh-CN"/>
        </w:rPr>
        <w:t>二</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rPr>
        <w:t>待遇</w:t>
      </w:r>
      <w:r>
        <w:rPr>
          <w:rFonts w:hint="default" w:ascii="Times New Roman" w:hAnsi="Times New Roman" w:eastAsia="方正楷体_GBK" w:cs="Times New Roman"/>
          <w:color w:val="auto"/>
          <w:kern w:val="0"/>
          <w:sz w:val="32"/>
          <w:szCs w:val="32"/>
          <w:highlight w:val="none"/>
          <w:lang w:val="en-US" w:eastAsia="zh-CN"/>
        </w:rPr>
        <w:t>水平。</w:t>
      </w:r>
      <w:r>
        <w:rPr>
          <w:rFonts w:hint="default" w:ascii="Times New Roman" w:hAnsi="Times New Roman" w:eastAsia="方正仿宋_GBK" w:cs="Times New Roman"/>
          <w:color w:val="auto"/>
          <w:sz w:val="32"/>
          <w:szCs w:val="32"/>
        </w:rPr>
        <w:t>巩固居民医保住院待遇水平，确保政策范围内基金支付比例稳定在70%左右。参加居民医保即自动参加大病保险，保费从统筹基金划转，个人无需缴费；从2024年1月1日起，大病保险起付线调整为17833元；大病保险继续对特困人员、低保对象和返贫致贫人口实施倾斜支付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居民医保生育医疗费用保障，从2024年起，孕产妇产前检查费补助限额提高至300元，住院顺产分娩定额补助提高至600元。剖宫产及并发症按照居民医保住院政策报销，报销额度低于600元的按600元补足。强化生育权益保障，参保人按规定履行缴费义务的，享受生育医疗费用保障待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color w:val="auto"/>
          <w:kern w:val="0"/>
          <w:sz w:val="32"/>
          <w:szCs w:val="32"/>
          <w:highlight w:val="none"/>
          <w:lang w:val="en-US" w:eastAsia="zh-CN"/>
        </w:rPr>
        <w:t>（三）兜底保障。</w:t>
      </w:r>
      <w:r>
        <w:rPr>
          <w:rFonts w:hint="default" w:ascii="Times New Roman" w:hAnsi="Times New Roman" w:eastAsia="方正仿宋_GBK" w:cs="Times New Roman"/>
          <w:b w:val="0"/>
          <w:bCs w:val="0"/>
          <w:color w:val="auto"/>
          <w:sz w:val="32"/>
          <w:szCs w:val="32"/>
          <w:highlight w:val="none"/>
          <w:lang w:val="en-US" w:eastAsia="zh-CN"/>
        </w:rPr>
        <w:t>巩固拓展医疗保障脱贫攻坚成果，夯实医疗救助托底功能，全面落实重特大疾病医疗保险和救助制度，促进三重制度互补衔接。对规范转诊且在市内就医的救助对象，政策范围内医疗费用经三重制度综合保障后个人负担仍然较重的，</w:t>
      </w:r>
      <w:r>
        <w:rPr>
          <w:rFonts w:hint="default" w:ascii="Times New Roman" w:hAnsi="Times New Roman" w:eastAsia="方正仿宋_GBK" w:cs="Times New Roman"/>
          <w:b w:val="0"/>
          <w:bCs w:val="0"/>
          <w:color w:val="auto"/>
          <w:sz w:val="32"/>
          <w:szCs w:val="32"/>
          <w:lang w:val="en-US" w:eastAsia="zh-CN"/>
        </w:rPr>
        <w:t>按《重庆市万州区人民政府办公室关于印发重庆市万州区健全重特大疾病医疗保险和救助制度实施方案的通知》（</w:t>
      </w:r>
      <w:r>
        <w:rPr>
          <w:rFonts w:hint="default" w:ascii="Times New Roman" w:hAnsi="Times New Roman" w:eastAsia="方正仿宋_GBK" w:cs="Times New Roman"/>
          <w:color w:val="auto"/>
          <w:sz w:val="32"/>
          <w:szCs w:val="32"/>
        </w:rPr>
        <w:t>万州府办发〔20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
        </w:rPr>
        <w:t>32</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b w:val="0"/>
          <w:bCs w:val="0"/>
          <w:color w:val="auto"/>
          <w:sz w:val="32"/>
          <w:szCs w:val="32"/>
          <w:lang w:val="en-US" w:eastAsia="zh-CN"/>
        </w:rPr>
        <w:t>）精神，予以倾斜救助。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持续</w:t>
      </w:r>
      <w:r>
        <w:rPr>
          <w:rFonts w:hint="default" w:ascii="Times New Roman" w:hAnsi="Times New Roman" w:eastAsia="方正仿宋_GBK" w:cs="Times New Roman"/>
          <w:i w:val="0"/>
          <w:caps w:val="0"/>
          <w:color w:val="auto"/>
          <w:spacing w:val="0"/>
          <w:sz w:val="32"/>
          <w:szCs w:val="32"/>
          <w:highlight w:val="none"/>
          <w:u w:val="none"/>
          <w:shd w:val="clear" w:color="auto" w:fill="FFFFFF"/>
          <w:lang w:eastAsia="zh-CN"/>
        </w:rPr>
        <w:t>构建</w:t>
      </w:r>
      <w:r>
        <w:rPr>
          <w:rFonts w:hint="default" w:ascii="Times New Roman" w:hAnsi="Times New Roman" w:eastAsia="方正仿宋_GBK" w:cs="Times New Roman"/>
          <w:color w:val="auto"/>
          <w:sz w:val="32"/>
          <w:szCs w:val="32"/>
          <w:highlight w:val="none"/>
          <w:lang w:val="en-US" w:eastAsia="zh-CN"/>
        </w:rPr>
        <w:t>多层次医疗保障体系。按照市医保局对完善多层次医疗保障体系的实施意见要求，在推进2024年度城乡居民基本医疗保险集中筹资工作的同时，同步推进宣传“渝快保”，构建以基本医疗保险为主体，大病保险为辅助，医疗救助为托底，商业保险为补充的多层次医疗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w:t>
      </w:r>
      <w:r>
        <w:rPr>
          <w:rFonts w:hint="default" w:ascii="Times New Roman" w:hAnsi="Times New Roman" w:eastAsia="方正黑体_GBK" w:cs="Times New Roman"/>
          <w:color w:val="auto"/>
          <w:kern w:val="0"/>
          <w:sz w:val="32"/>
          <w:szCs w:val="32"/>
          <w:highlight w:val="none"/>
        </w:rPr>
        <w:t>、职责</w:t>
      </w:r>
      <w:r>
        <w:rPr>
          <w:rFonts w:hint="default" w:ascii="Times New Roman" w:hAnsi="Times New Roman" w:eastAsia="方正黑体_GBK" w:cs="Times New Roman"/>
          <w:color w:val="auto"/>
          <w:kern w:val="0"/>
          <w:sz w:val="32"/>
          <w:szCs w:val="32"/>
          <w:highlight w:val="none"/>
          <w:lang w:val="en-US" w:eastAsia="zh-CN"/>
        </w:rPr>
        <w:t>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仿宋_GBK" w:cs="Times New Roman"/>
          <w:color w:val="auto"/>
          <w:kern w:val="0"/>
          <w:sz w:val="32"/>
          <w:szCs w:val="32"/>
          <w:highlight w:val="none"/>
          <w:lang w:val="en-US" w:eastAsia="zh-CN"/>
        </w:rPr>
        <w:t>万州</w:t>
      </w:r>
      <w:r>
        <w:rPr>
          <w:rFonts w:hint="default" w:ascii="Times New Roman" w:hAnsi="Times New Roman" w:eastAsia="方正仿宋_GBK" w:cs="Times New Roman"/>
          <w:color w:val="auto"/>
          <w:kern w:val="0"/>
          <w:sz w:val="32"/>
          <w:szCs w:val="32"/>
          <w:highlight w:val="none"/>
        </w:rPr>
        <w:t>区税务局</w:t>
      </w:r>
      <w:r>
        <w:rPr>
          <w:rFonts w:hint="default" w:ascii="Times New Roman" w:hAnsi="Times New Roman" w:eastAsia="方正仿宋_GBK" w:cs="Times New Roman"/>
          <w:b w:val="0"/>
          <w:bCs w:val="0"/>
          <w:color w:val="auto"/>
          <w:sz w:val="32"/>
          <w:szCs w:val="32"/>
        </w:rPr>
        <w:t>作为征缴工作的牵头单位，</w:t>
      </w:r>
      <w:r>
        <w:rPr>
          <w:rFonts w:hint="default" w:ascii="Times New Roman" w:hAnsi="Times New Roman" w:eastAsia="方正仿宋_GBK" w:cs="Times New Roman"/>
          <w:b w:val="0"/>
          <w:bCs w:val="0"/>
          <w:color w:val="auto"/>
          <w:sz w:val="32"/>
          <w:szCs w:val="32"/>
          <w:lang w:val="en-US" w:eastAsia="zh-CN"/>
        </w:rPr>
        <w:t>负责</w:t>
      </w:r>
      <w:r>
        <w:rPr>
          <w:rFonts w:hint="default" w:ascii="Times New Roman" w:hAnsi="Times New Roman" w:eastAsia="方正仿宋_GBK" w:cs="Times New Roman"/>
          <w:b w:val="0"/>
          <w:bCs w:val="0"/>
          <w:color w:val="auto"/>
          <w:sz w:val="32"/>
          <w:szCs w:val="32"/>
        </w:rPr>
        <w:t>优化工作流程，做好城乡居民个人缴费征收工作</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负责</w:t>
      </w:r>
      <w:r>
        <w:rPr>
          <w:rFonts w:hint="default" w:ascii="Times New Roman" w:hAnsi="Times New Roman" w:eastAsia="方正仿宋_GBK" w:cs="Times New Roman"/>
          <w:b w:val="0"/>
          <w:bCs w:val="0"/>
          <w:color w:val="auto"/>
          <w:sz w:val="32"/>
          <w:szCs w:val="32"/>
        </w:rPr>
        <w:t>协调</w:t>
      </w:r>
      <w:r>
        <w:rPr>
          <w:rFonts w:hint="default" w:ascii="Times New Roman" w:hAnsi="Times New Roman" w:eastAsia="方正仿宋_GBK" w:cs="Times New Roman"/>
          <w:b w:val="0"/>
          <w:bCs w:val="0"/>
          <w:color w:val="auto"/>
          <w:sz w:val="32"/>
          <w:szCs w:val="32"/>
          <w:lang w:val="en-US" w:eastAsia="zh-CN"/>
        </w:rPr>
        <w:t>有关</w:t>
      </w:r>
      <w:r>
        <w:rPr>
          <w:rFonts w:hint="default" w:ascii="Times New Roman" w:hAnsi="Times New Roman" w:eastAsia="方正仿宋_GBK" w:cs="Times New Roman"/>
          <w:b w:val="0"/>
          <w:bCs w:val="0"/>
          <w:color w:val="auto"/>
          <w:sz w:val="32"/>
          <w:szCs w:val="32"/>
        </w:rPr>
        <w:t>部门对参与征缴的工作人员进行培训，广泛宣传，做到应收尽收，确保医保基金及时、足额入库</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（二）</w:t>
      </w:r>
      <w:r>
        <w:rPr>
          <w:rFonts w:hint="default" w:ascii="Times New Roman" w:hAnsi="Times New Roman" w:eastAsia="方正仿宋_GBK" w:cs="Times New Roman"/>
          <w:color w:val="auto"/>
          <w:kern w:val="0"/>
          <w:sz w:val="32"/>
          <w:szCs w:val="32"/>
          <w:highlight w:val="none"/>
          <w:lang w:eastAsia="zh-CN"/>
        </w:rPr>
        <w:t>镇社保所</w:t>
      </w:r>
      <w:r>
        <w:rPr>
          <w:rFonts w:hint="default" w:ascii="Times New Roman" w:hAnsi="Times New Roman" w:eastAsia="方正仿宋_GBK" w:cs="Times New Roman"/>
          <w:color w:val="auto"/>
          <w:kern w:val="0"/>
          <w:sz w:val="32"/>
          <w:szCs w:val="32"/>
          <w:highlight w:val="none"/>
        </w:rPr>
        <w:t>负责抓好</w:t>
      </w:r>
      <w:r>
        <w:rPr>
          <w:rFonts w:hint="default" w:ascii="Times New Roman" w:hAnsi="Times New Roman" w:eastAsia="方正仿宋_GBK" w:cs="Times New Roman"/>
          <w:color w:val="auto"/>
          <w:kern w:val="0"/>
          <w:sz w:val="32"/>
          <w:szCs w:val="32"/>
          <w:highlight w:val="none"/>
          <w:lang w:val="en-US" w:eastAsia="zh-CN"/>
        </w:rPr>
        <w:t>城乡</w:t>
      </w:r>
      <w:r>
        <w:rPr>
          <w:rFonts w:hint="default" w:ascii="Times New Roman" w:hAnsi="Times New Roman" w:eastAsia="方正仿宋_GBK" w:cs="Times New Roman"/>
          <w:color w:val="auto"/>
          <w:kern w:val="0"/>
          <w:sz w:val="32"/>
          <w:szCs w:val="32"/>
          <w:highlight w:val="none"/>
        </w:rPr>
        <w:t>居民</w:t>
      </w:r>
      <w:r>
        <w:rPr>
          <w:rFonts w:hint="default" w:ascii="Times New Roman" w:hAnsi="Times New Roman" w:eastAsia="方正仿宋_GBK" w:cs="Times New Roman"/>
          <w:color w:val="auto"/>
          <w:kern w:val="0"/>
          <w:sz w:val="32"/>
          <w:szCs w:val="32"/>
          <w:highlight w:val="none"/>
          <w:lang w:val="en-US" w:eastAsia="zh-CN"/>
        </w:rPr>
        <w:t>基本医疗保险参保</w:t>
      </w:r>
      <w:r>
        <w:rPr>
          <w:rFonts w:hint="default" w:ascii="Times New Roman" w:hAnsi="Times New Roman" w:eastAsia="方正仿宋_GBK" w:cs="Times New Roman"/>
          <w:color w:val="auto"/>
          <w:kern w:val="0"/>
          <w:sz w:val="32"/>
          <w:szCs w:val="32"/>
          <w:highlight w:val="none"/>
        </w:rPr>
        <w:t>登记、</w:t>
      </w:r>
      <w:r>
        <w:rPr>
          <w:rFonts w:hint="default" w:ascii="Times New Roman" w:hAnsi="Times New Roman" w:eastAsia="方正仿宋_GBK" w:cs="Times New Roman"/>
          <w:color w:val="auto"/>
          <w:kern w:val="0"/>
          <w:sz w:val="32"/>
          <w:szCs w:val="32"/>
          <w:highlight w:val="none"/>
          <w:lang w:val="en-US" w:eastAsia="zh-CN"/>
        </w:rPr>
        <w:t>医保</w:t>
      </w:r>
      <w:r>
        <w:rPr>
          <w:rFonts w:hint="default" w:ascii="Times New Roman" w:hAnsi="Times New Roman" w:eastAsia="方正仿宋_GBK" w:cs="Times New Roman"/>
          <w:color w:val="auto"/>
          <w:kern w:val="0"/>
          <w:sz w:val="32"/>
          <w:szCs w:val="32"/>
          <w:highlight w:val="none"/>
        </w:rPr>
        <w:t>待遇落实和管理服务</w:t>
      </w:r>
      <w:r>
        <w:rPr>
          <w:rFonts w:hint="default" w:ascii="Times New Roman" w:hAnsi="Times New Roman" w:eastAsia="方正仿宋_GBK" w:cs="Times New Roman"/>
          <w:color w:val="auto"/>
          <w:kern w:val="0"/>
          <w:sz w:val="32"/>
          <w:szCs w:val="32"/>
          <w:highlight w:val="none"/>
          <w:lang w:val="en-US" w:eastAsia="zh-CN"/>
        </w:rPr>
        <w:t>等工作</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三</w:t>
      </w: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社事办</w:t>
      </w:r>
      <w:r>
        <w:rPr>
          <w:rFonts w:hint="default" w:ascii="Times New Roman" w:hAnsi="Times New Roman" w:eastAsia="方正仿宋_GBK" w:cs="Times New Roman"/>
          <w:color w:val="auto"/>
          <w:kern w:val="0"/>
          <w:sz w:val="32"/>
          <w:szCs w:val="32"/>
          <w:highlight w:val="none"/>
        </w:rPr>
        <w:t>负责</w:t>
      </w:r>
      <w:r>
        <w:rPr>
          <w:rFonts w:hint="default" w:ascii="Times New Roman" w:hAnsi="Times New Roman" w:eastAsia="方正仿宋_GBK" w:cs="Times New Roman"/>
          <w:color w:val="auto"/>
          <w:sz w:val="32"/>
          <w:szCs w:val="32"/>
          <w:highlight w:val="none"/>
          <w:lang w:eastAsia="zh-CN"/>
        </w:rPr>
        <w:t>镇</w:t>
      </w:r>
      <w:r>
        <w:rPr>
          <w:rFonts w:hint="default" w:ascii="Times New Roman" w:hAnsi="Times New Roman" w:eastAsia="方正仿宋_GBK" w:cs="Times New Roman"/>
          <w:color w:val="auto"/>
          <w:sz w:val="32"/>
          <w:szCs w:val="32"/>
          <w:lang w:val="en-US" w:eastAsia="zh-CN"/>
        </w:rPr>
        <w:t>中小学校、</w:t>
      </w:r>
      <w:r>
        <w:rPr>
          <w:rFonts w:hint="default" w:ascii="Times New Roman" w:hAnsi="Times New Roman" w:eastAsia="方正仿宋_GBK" w:cs="Times New Roman"/>
          <w:color w:val="auto"/>
          <w:kern w:val="0"/>
          <w:sz w:val="32"/>
          <w:szCs w:val="32"/>
          <w:highlight w:val="none"/>
        </w:rPr>
        <w:t>幼儿</w:t>
      </w:r>
      <w:r>
        <w:rPr>
          <w:rFonts w:hint="default" w:ascii="Times New Roman" w:hAnsi="Times New Roman" w:eastAsia="方正仿宋_GBK" w:cs="Times New Roman"/>
          <w:color w:val="auto"/>
          <w:kern w:val="0"/>
          <w:sz w:val="32"/>
          <w:szCs w:val="32"/>
          <w:highlight w:val="none"/>
          <w:lang w:val="en-US" w:eastAsia="zh-CN"/>
        </w:rPr>
        <w:t>园的参保宣传等工作</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四</w:t>
      </w: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社事办</w:t>
      </w:r>
      <w:r>
        <w:rPr>
          <w:rFonts w:hint="default" w:ascii="Times New Roman" w:hAnsi="Times New Roman" w:eastAsia="方正仿宋_GBK" w:cs="Times New Roman"/>
          <w:color w:val="auto"/>
          <w:kern w:val="0"/>
          <w:sz w:val="32"/>
          <w:szCs w:val="32"/>
          <w:highlight w:val="none"/>
        </w:rPr>
        <w:t>、退役军人事务</w:t>
      </w:r>
      <w:r>
        <w:rPr>
          <w:rFonts w:hint="default" w:ascii="Times New Roman" w:hAnsi="Times New Roman" w:eastAsia="方正仿宋_GBK" w:cs="Times New Roman"/>
          <w:color w:val="auto"/>
          <w:kern w:val="0"/>
          <w:sz w:val="32"/>
          <w:szCs w:val="32"/>
          <w:highlight w:val="none"/>
          <w:lang w:eastAsia="zh-CN"/>
        </w:rPr>
        <w:t>服务站</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经发办</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镇</w:t>
      </w:r>
      <w:r>
        <w:rPr>
          <w:rFonts w:hint="default" w:ascii="Times New Roman" w:hAnsi="Times New Roman" w:eastAsia="方正仿宋_GBK" w:cs="Times New Roman"/>
          <w:color w:val="auto"/>
          <w:kern w:val="0"/>
          <w:sz w:val="32"/>
          <w:szCs w:val="32"/>
          <w:highlight w:val="none"/>
        </w:rPr>
        <w:t>残联</w:t>
      </w:r>
      <w:r>
        <w:rPr>
          <w:rFonts w:hint="default" w:ascii="Times New Roman" w:hAnsi="Times New Roman" w:eastAsia="方正仿宋_GBK" w:cs="Times New Roman"/>
          <w:color w:val="auto"/>
          <w:kern w:val="0"/>
          <w:sz w:val="32"/>
          <w:szCs w:val="32"/>
          <w:highlight w:val="none"/>
          <w:lang w:val="en-US" w:eastAsia="zh-CN"/>
        </w:rPr>
        <w:t>等部门，</w:t>
      </w:r>
      <w:r>
        <w:rPr>
          <w:rFonts w:hint="default" w:ascii="Times New Roman" w:hAnsi="Times New Roman" w:eastAsia="方正仿宋_GBK" w:cs="Times New Roman"/>
          <w:color w:val="auto"/>
          <w:kern w:val="0"/>
          <w:sz w:val="32"/>
          <w:szCs w:val="32"/>
          <w:highlight w:val="none"/>
        </w:rPr>
        <w:t>负责做好相关特殊群体的信息上报、资格认定</w:t>
      </w:r>
      <w:r>
        <w:rPr>
          <w:rFonts w:hint="default" w:ascii="Times New Roman" w:hAnsi="Times New Roman" w:eastAsia="方正仿宋_GBK" w:cs="Times New Roman"/>
          <w:color w:val="auto"/>
          <w:kern w:val="0"/>
          <w:sz w:val="32"/>
          <w:szCs w:val="32"/>
          <w:highlight w:val="none"/>
          <w:lang w:val="en-US" w:eastAsia="zh-CN"/>
        </w:rPr>
        <w:t>等</w:t>
      </w:r>
      <w:r>
        <w:rPr>
          <w:rFonts w:hint="default" w:ascii="Times New Roman" w:hAnsi="Times New Roman" w:eastAsia="方正仿宋_GBK" w:cs="Times New Roman"/>
          <w:color w:val="auto"/>
          <w:kern w:val="0"/>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五</w:t>
      </w: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rPr>
        <w:t>各</w:t>
      </w:r>
      <w:r>
        <w:rPr>
          <w:rFonts w:hint="default" w:ascii="Times New Roman" w:hAnsi="Times New Roman" w:eastAsia="方正仿宋_GBK" w:cs="Times New Roman"/>
          <w:color w:val="auto"/>
          <w:kern w:val="0"/>
          <w:sz w:val="32"/>
          <w:szCs w:val="32"/>
          <w:highlight w:val="none"/>
          <w:lang w:eastAsia="zh-CN"/>
        </w:rPr>
        <w:t>村（社区）</w:t>
      </w:r>
      <w:r>
        <w:rPr>
          <w:rFonts w:hint="default" w:ascii="Times New Roman" w:hAnsi="Times New Roman" w:eastAsia="方正仿宋_GBK" w:cs="Times New Roman"/>
          <w:color w:val="auto"/>
          <w:kern w:val="0"/>
          <w:sz w:val="32"/>
          <w:szCs w:val="32"/>
          <w:highlight w:val="none"/>
          <w:lang w:val="en-US" w:eastAsia="zh-CN"/>
        </w:rPr>
        <w:t>履行城乡</w:t>
      </w:r>
      <w:r>
        <w:rPr>
          <w:rFonts w:hint="default" w:ascii="Times New Roman" w:hAnsi="Times New Roman" w:eastAsia="方正仿宋_GBK" w:cs="Times New Roman"/>
          <w:color w:val="auto"/>
          <w:kern w:val="0"/>
          <w:sz w:val="32"/>
          <w:szCs w:val="32"/>
          <w:highlight w:val="none"/>
        </w:rPr>
        <w:t>居民</w:t>
      </w:r>
      <w:r>
        <w:rPr>
          <w:rFonts w:hint="default" w:ascii="Times New Roman" w:hAnsi="Times New Roman" w:eastAsia="方正仿宋_GBK" w:cs="Times New Roman"/>
          <w:color w:val="auto"/>
          <w:kern w:val="0"/>
          <w:sz w:val="32"/>
          <w:szCs w:val="32"/>
          <w:highlight w:val="none"/>
          <w:lang w:val="en-US" w:eastAsia="zh-CN"/>
        </w:rPr>
        <w:t>基本医疗保险集中筹资工作的主体责任，负责本辖区居民医保参保工作的宣传引导、政策解读、</w:t>
      </w:r>
      <w:r>
        <w:rPr>
          <w:rFonts w:hint="default" w:ascii="Times New Roman" w:hAnsi="Times New Roman" w:eastAsia="方正仿宋_GBK" w:cs="Times New Roman"/>
          <w:color w:val="auto"/>
          <w:kern w:val="0"/>
          <w:sz w:val="32"/>
          <w:szCs w:val="32"/>
          <w:highlight w:val="none"/>
          <w:lang w:eastAsia="zh-CN"/>
        </w:rPr>
        <w:t>登记缴费、</w:t>
      </w:r>
      <w:r>
        <w:rPr>
          <w:rFonts w:hint="default" w:ascii="Times New Roman" w:hAnsi="Times New Roman" w:eastAsia="方正仿宋_GBK" w:cs="Times New Roman"/>
          <w:color w:val="auto"/>
          <w:kern w:val="0"/>
          <w:sz w:val="32"/>
          <w:szCs w:val="32"/>
          <w:highlight w:val="none"/>
          <w:lang w:val="en-US" w:eastAsia="zh-CN"/>
        </w:rPr>
        <w:t>经办服务</w:t>
      </w:r>
      <w:r>
        <w:rPr>
          <w:rFonts w:hint="default" w:ascii="Times New Roman" w:hAnsi="Times New Roman" w:eastAsia="方正仿宋_GBK" w:cs="Times New Roman"/>
          <w:b w:val="0"/>
          <w:bCs w:val="0"/>
          <w:snapToGrid w:val="0"/>
          <w:color w:val="auto"/>
          <w:sz w:val="32"/>
          <w:szCs w:val="32"/>
          <w:lang w:eastAsia="zh-CN"/>
        </w:rPr>
        <w:t>、</w:t>
      </w:r>
      <w:r>
        <w:rPr>
          <w:rFonts w:hint="default" w:ascii="Times New Roman" w:hAnsi="Times New Roman" w:eastAsia="方正仿宋_GBK" w:cs="Times New Roman"/>
          <w:b w:val="0"/>
          <w:bCs w:val="0"/>
          <w:snapToGrid w:val="0"/>
          <w:color w:val="auto"/>
          <w:sz w:val="32"/>
          <w:szCs w:val="32"/>
          <w:lang w:val="en-US" w:eastAsia="zh-CN"/>
        </w:rPr>
        <w:t>统筹协调等工作</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做到</w:t>
      </w:r>
      <w:r>
        <w:rPr>
          <w:rFonts w:hint="default" w:ascii="Times New Roman" w:hAnsi="Times New Roman" w:eastAsia="方正仿宋_GBK" w:cs="Times New Roman"/>
          <w:color w:val="auto"/>
          <w:sz w:val="32"/>
          <w:szCs w:val="32"/>
          <w:lang w:val="en-US" w:eastAsia="zh-CN"/>
        </w:rPr>
        <w:t>应保尽保和应助尽助</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九</w:t>
      </w:r>
      <w:r>
        <w:rPr>
          <w:rFonts w:hint="default" w:ascii="Times New Roman" w:hAnsi="Times New Roman" w:eastAsia="方正黑体_GBK" w:cs="Times New Roman"/>
          <w:color w:val="auto"/>
          <w:kern w:val="0"/>
          <w:sz w:val="32"/>
          <w:szCs w:val="32"/>
          <w:highlight w:val="none"/>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rPr>
        <w:t>（一）提高政治站位。</w:t>
      </w:r>
      <w:r>
        <w:rPr>
          <w:rFonts w:hint="default" w:ascii="Times New Roman" w:hAnsi="Times New Roman" w:eastAsia="方正仿宋_GBK" w:cs="Times New Roman"/>
          <w:color w:val="auto"/>
          <w:kern w:val="0"/>
          <w:sz w:val="32"/>
          <w:szCs w:val="32"/>
          <w:highlight w:val="none"/>
          <w:lang w:val="en-US" w:eastAsia="zh-CN"/>
        </w:rPr>
        <w:t>居民医保参保缴费工作是城乡居民基本医疗保障工作的重要环节，是提升人民群众幸福感、获得感和安全感的重要保障，事关千家万户，事关老百姓的切身利益，任务重，责任大，涉及面广。此项工作将继续作为区委区政府民生实事综合目标考核内容，各村（社区）要强化思想认识，高度重视，从讲政治的高度把征缴工作抓实抓细抓到位；要建立和落实工作联动机制和协调机制，加强沟通配合，提早谋划、共同推进，确保参保缴费征收任务顺利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highlight w:val="none"/>
          <w:lang w:val="en-US" w:eastAsia="zh-CN"/>
        </w:rPr>
        <w:t>（二）宣传联动</w:t>
      </w:r>
      <w:r>
        <w:rPr>
          <w:rFonts w:hint="default" w:ascii="Times New Roman" w:hAnsi="Times New Roman" w:eastAsia="方正楷体_GBK" w:cs="Times New Roman"/>
          <w:color w:val="auto"/>
          <w:kern w:val="0"/>
          <w:sz w:val="32"/>
          <w:szCs w:val="32"/>
          <w:highlight w:val="none"/>
        </w:rPr>
        <w:t>扩面</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shd w:val="clear" w:color="auto" w:fill="FFFFFF"/>
          <w:lang w:val="en-US" w:eastAsia="zh-CN"/>
        </w:rPr>
        <w:t>按照《重庆市医疗保障局关于开展基本医保全民参保计划集中宣传活动的通知》精神，</w:t>
      </w:r>
      <w:r>
        <w:rPr>
          <w:rFonts w:hint="default" w:ascii="Times New Roman" w:hAnsi="Times New Roman" w:eastAsia="方正仿宋_GBK" w:cs="Times New Roman"/>
          <w:b w:val="0"/>
          <w:bCs w:val="0"/>
          <w:color w:val="auto"/>
          <w:sz w:val="32"/>
          <w:szCs w:val="32"/>
          <w:lang w:val="en-US" w:eastAsia="zh-CN"/>
        </w:rPr>
        <w:t>各村（社区）</w:t>
      </w:r>
      <w:r>
        <w:rPr>
          <w:rFonts w:hint="default" w:ascii="Times New Roman" w:hAnsi="Times New Roman" w:eastAsia="方正仿宋_GBK" w:cs="Times New Roman"/>
          <w:color w:val="auto"/>
          <w:sz w:val="32"/>
          <w:szCs w:val="32"/>
          <w:shd w:val="clear" w:color="auto" w:fill="FFFFFF"/>
          <w:lang w:val="en-US" w:eastAsia="zh-CN"/>
        </w:rPr>
        <w:t>要以“全民医保手牵手·医保护航心连心”为主题，开展形式多样的宣传活动；充分</w:t>
      </w:r>
      <w:r>
        <w:rPr>
          <w:rFonts w:hint="default" w:ascii="Times New Roman" w:hAnsi="Times New Roman" w:eastAsia="方正仿宋_GBK" w:cs="Times New Roman"/>
          <w:color w:val="auto"/>
          <w:sz w:val="32"/>
          <w:szCs w:val="32"/>
          <w:shd w:val="clear" w:color="auto" w:fill="FFFFFF"/>
        </w:rPr>
        <w:t>利用电视、</w:t>
      </w:r>
      <w:r>
        <w:rPr>
          <w:rFonts w:hint="default" w:ascii="Times New Roman" w:hAnsi="Times New Roman" w:eastAsia="方正仿宋_GBK" w:cs="Times New Roman"/>
          <w:color w:val="auto"/>
          <w:sz w:val="32"/>
          <w:szCs w:val="32"/>
          <w:shd w:val="clear" w:color="auto" w:fill="FFFFFF"/>
          <w:lang w:val="en-US" w:eastAsia="zh-CN"/>
        </w:rPr>
        <w:t>广播、报纸、</w:t>
      </w:r>
      <w:r>
        <w:rPr>
          <w:rFonts w:hint="default" w:ascii="Times New Roman" w:hAnsi="Times New Roman" w:eastAsia="方正仿宋_GBK" w:cs="Times New Roman"/>
          <w:color w:val="auto"/>
          <w:sz w:val="32"/>
          <w:szCs w:val="32"/>
          <w:shd w:val="clear" w:color="auto" w:fill="FFFFFF"/>
        </w:rPr>
        <w:t>微信、</w:t>
      </w:r>
      <w:r>
        <w:rPr>
          <w:rFonts w:hint="default" w:ascii="Times New Roman" w:hAnsi="Times New Roman" w:eastAsia="方正仿宋_GBK" w:cs="Times New Roman"/>
          <w:color w:val="auto"/>
          <w:sz w:val="32"/>
          <w:szCs w:val="32"/>
          <w:shd w:val="clear" w:color="auto" w:fill="FFFFFF"/>
          <w:lang w:val="en-US" w:eastAsia="zh-CN"/>
        </w:rPr>
        <w:t>网站</w:t>
      </w:r>
      <w:r>
        <w:rPr>
          <w:rFonts w:hint="default" w:ascii="Times New Roman" w:hAnsi="Times New Roman" w:eastAsia="方正仿宋_GBK" w:cs="Times New Roman"/>
          <w:color w:val="auto"/>
          <w:sz w:val="32"/>
          <w:szCs w:val="32"/>
          <w:shd w:val="clear" w:color="auto" w:fill="FFFFFF"/>
        </w:rPr>
        <w:t>等</w:t>
      </w:r>
      <w:r>
        <w:rPr>
          <w:rFonts w:hint="default" w:ascii="Times New Roman" w:hAnsi="Times New Roman" w:eastAsia="方正仿宋_GBK" w:cs="Times New Roman"/>
          <w:color w:val="auto"/>
          <w:sz w:val="32"/>
          <w:szCs w:val="32"/>
          <w:shd w:val="clear" w:color="auto" w:fill="FFFFFF"/>
          <w:lang w:val="en-US" w:eastAsia="zh-CN"/>
        </w:rPr>
        <w:t>多种渠道，</w:t>
      </w:r>
      <w:r>
        <w:rPr>
          <w:rFonts w:hint="default" w:ascii="Times New Roman" w:hAnsi="Times New Roman" w:eastAsia="方正仿宋_GBK" w:cs="Times New Roman"/>
          <w:color w:val="auto"/>
          <w:sz w:val="32"/>
          <w:szCs w:val="32"/>
          <w:shd w:val="clear" w:color="auto" w:fill="FFFFFF"/>
        </w:rPr>
        <w:t>全覆盖宣传，做到“村不漏户、户不漏人”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确保</w:t>
      </w:r>
      <w:r>
        <w:rPr>
          <w:rFonts w:hint="default" w:ascii="Times New Roman" w:hAnsi="Times New Roman" w:eastAsia="方正仿宋_GBK" w:cs="Times New Roman"/>
          <w:color w:val="auto"/>
          <w:sz w:val="32"/>
          <w:szCs w:val="32"/>
          <w:shd w:val="clear" w:color="auto" w:fill="FFFFFF"/>
          <w:lang w:eastAsia="zh-CN"/>
        </w:rPr>
        <w:t>参保</w:t>
      </w:r>
      <w:r>
        <w:rPr>
          <w:rFonts w:hint="default" w:ascii="Times New Roman" w:hAnsi="Times New Roman" w:eastAsia="方正仿宋_GBK" w:cs="Times New Roman"/>
          <w:color w:val="auto"/>
          <w:sz w:val="32"/>
          <w:szCs w:val="32"/>
          <w:shd w:val="clear" w:color="auto" w:fill="FFFFFF"/>
        </w:rPr>
        <w:t>政策深入人心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全面</w:t>
      </w:r>
      <w:r>
        <w:rPr>
          <w:rFonts w:hint="default" w:ascii="Times New Roman" w:hAnsi="Times New Roman" w:eastAsia="方正仿宋_GBK" w:cs="Times New Roman"/>
          <w:color w:val="auto"/>
          <w:sz w:val="32"/>
          <w:szCs w:val="32"/>
        </w:rPr>
        <w:t>强化教育、卫生健康、人力社保等部门</w:t>
      </w:r>
      <w:r>
        <w:rPr>
          <w:rFonts w:hint="default" w:ascii="Times New Roman" w:hAnsi="Times New Roman" w:eastAsia="方正仿宋_GBK" w:cs="Times New Roman"/>
          <w:color w:val="auto"/>
          <w:sz w:val="32"/>
          <w:szCs w:val="32"/>
          <w:lang w:val="en-US" w:eastAsia="zh-CN"/>
        </w:rPr>
        <w:t>之间的</w:t>
      </w:r>
      <w:r>
        <w:rPr>
          <w:rFonts w:hint="default" w:ascii="Times New Roman" w:hAnsi="Times New Roman" w:eastAsia="方正仿宋_GBK" w:cs="Times New Roman"/>
          <w:color w:val="auto"/>
          <w:sz w:val="32"/>
          <w:szCs w:val="32"/>
        </w:rPr>
        <w:t>协同，</w:t>
      </w:r>
      <w:r>
        <w:rPr>
          <w:rFonts w:hint="default" w:ascii="Times New Roman" w:hAnsi="Times New Roman" w:eastAsia="方正仿宋_GBK" w:cs="Times New Roman"/>
          <w:color w:val="auto"/>
          <w:sz w:val="32"/>
          <w:szCs w:val="32"/>
          <w:lang w:val="en-US" w:eastAsia="zh-CN"/>
        </w:rPr>
        <w:t>全方位</w:t>
      </w:r>
      <w:r>
        <w:rPr>
          <w:rFonts w:hint="default" w:ascii="Times New Roman" w:hAnsi="Times New Roman" w:eastAsia="方正仿宋_GBK" w:cs="Times New Roman"/>
          <w:color w:val="auto"/>
          <w:sz w:val="32"/>
          <w:szCs w:val="32"/>
        </w:rPr>
        <w:t>获取学生、儿童和新生儿、流动人口等重点人群信息，切实做好重点人群精准参保，深度挖掘扩面潜力，动员更多符合条件的人员参保。</w:t>
      </w:r>
      <w:r>
        <w:rPr>
          <w:rFonts w:hint="default" w:ascii="Times New Roman" w:hAnsi="Times New Roman" w:eastAsia="方正仿宋_GBK" w:cs="Times New Roman"/>
          <w:color w:val="auto"/>
          <w:kern w:val="0"/>
          <w:sz w:val="32"/>
          <w:szCs w:val="32"/>
          <w:highlight w:val="none"/>
        </w:rPr>
        <w:t>加强沟通配合，</w:t>
      </w:r>
      <w:r>
        <w:rPr>
          <w:rFonts w:hint="default" w:ascii="Times New Roman" w:hAnsi="Times New Roman" w:eastAsia="方正仿宋_GBK" w:cs="Times New Roman"/>
          <w:color w:val="auto"/>
          <w:sz w:val="32"/>
          <w:szCs w:val="32"/>
        </w:rPr>
        <w:t>积极推进线上“一网通办”、线下“一厅联办”，为参保人员提供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一站式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w:t>
      </w:r>
      <w:r>
        <w:rPr>
          <w:rFonts w:hint="default" w:ascii="Times New Roman" w:hAnsi="Times New Roman" w:eastAsia="方正仿宋_GBK" w:cs="Times New Roman"/>
          <w:color w:val="auto"/>
          <w:kern w:val="0"/>
          <w:sz w:val="32"/>
          <w:szCs w:val="32"/>
          <w:highlight w:val="none"/>
        </w:rPr>
        <w:t>形成上下联动合力</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rPr>
        <w:t>方便群众参保缴费。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val="en-US" w:eastAsia="zh-CN"/>
        </w:rPr>
        <w:t>（三）开展业务培训。</w:t>
      </w:r>
      <w:r>
        <w:rPr>
          <w:rFonts w:hint="default" w:ascii="Times New Roman" w:hAnsi="Times New Roman" w:eastAsia="方正仿宋_GBK" w:cs="Times New Roman"/>
          <w:color w:val="auto"/>
          <w:kern w:val="0"/>
          <w:sz w:val="32"/>
          <w:szCs w:val="32"/>
          <w:highlight w:val="none"/>
        </w:rPr>
        <w:t>居民医保工作政策性、业务性非常强，加上</w:t>
      </w:r>
      <w:r>
        <w:rPr>
          <w:rFonts w:hint="default" w:ascii="Times New Roman" w:hAnsi="Times New Roman" w:eastAsia="方正仿宋_GBK" w:cs="Times New Roman"/>
          <w:color w:val="auto"/>
          <w:kern w:val="0"/>
          <w:sz w:val="32"/>
          <w:szCs w:val="32"/>
          <w:highlight w:val="none"/>
          <w:lang w:eastAsia="zh-CN"/>
        </w:rPr>
        <w:t>村（居）</w:t>
      </w:r>
      <w:r>
        <w:rPr>
          <w:rFonts w:hint="default" w:ascii="Times New Roman" w:hAnsi="Times New Roman" w:eastAsia="方正仿宋_GBK" w:cs="Times New Roman"/>
          <w:color w:val="auto"/>
          <w:kern w:val="0"/>
          <w:sz w:val="32"/>
          <w:szCs w:val="32"/>
          <w:highlight w:val="none"/>
        </w:rPr>
        <w:t>人员变动比较大，</w:t>
      </w:r>
      <w:r>
        <w:rPr>
          <w:rFonts w:hint="default" w:ascii="Times New Roman" w:hAnsi="Times New Roman" w:eastAsia="方正仿宋_GBK" w:cs="Times New Roman"/>
          <w:color w:val="auto"/>
          <w:kern w:val="0"/>
          <w:sz w:val="32"/>
          <w:szCs w:val="32"/>
          <w:highlight w:val="none"/>
          <w:lang w:eastAsia="zh-CN"/>
        </w:rPr>
        <w:t>社保所将</w:t>
      </w:r>
      <w:r>
        <w:rPr>
          <w:rFonts w:hint="default" w:ascii="Times New Roman" w:hAnsi="Times New Roman" w:eastAsia="方正仿宋_GBK" w:cs="Times New Roman"/>
          <w:color w:val="auto"/>
          <w:kern w:val="0"/>
          <w:sz w:val="32"/>
          <w:szCs w:val="32"/>
          <w:highlight w:val="none"/>
        </w:rPr>
        <w:t>进一步加大培训力度，</w:t>
      </w:r>
      <w:r>
        <w:rPr>
          <w:rFonts w:hint="default" w:ascii="Times New Roman" w:hAnsi="Times New Roman" w:eastAsia="方正仿宋_GBK" w:cs="Times New Roman"/>
          <w:color w:val="auto"/>
          <w:kern w:val="0"/>
          <w:sz w:val="32"/>
          <w:szCs w:val="32"/>
          <w:highlight w:val="none"/>
          <w:lang w:eastAsia="zh-CN"/>
        </w:rPr>
        <w:t>及时</w:t>
      </w:r>
      <w:r>
        <w:rPr>
          <w:rFonts w:hint="default" w:ascii="Times New Roman" w:hAnsi="Times New Roman" w:eastAsia="方正仿宋_GBK" w:cs="Times New Roman"/>
          <w:color w:val="auto"/>
          <w:kern w:val="0"/>
          <w:sz w:val="32"/>
          <w:szCs w:val="32"/>
          <w:highlight w:val="none"/>
        </w:rPr>
        <w:t>开展业务培训，搞好</w:t>
      </w:r>
      <w:r>
        <w:rPr>
          <w:rFonts w:hint="default" w:ascii="Times New Roman" w:hAnsi="Times New Roman" w:eastAsia="方正仿宋_GBK" w:cs="Times New Roman"/>
          <w:color w:val="auto"/>
          <w:kern w:val="0"/>
          <w:sz w:val="32"/>
          <w:szCs w:val="32"/>
          <w:highlight w:val="none"/>
          <w:lang w:val="en-US" w:eastAsia="zh-CN"/>
        </w:rPr>
        <w:t>工作</w:t>
      </w:r>
      <w:r>
        <w:rPr>
          <w:rFonts w:hint="default" w:ascii="Times New Roman" w:hAnsi="Times New Roman" w:eastAsia="方正仿宋_GBK" w:cs="Times New Roman"/>
          <w:color w:val="auto"/>
          <w:kern w:val="0"/>
          <w:sz w:val="32"/>
          <w:szCs w:val="32"/>
          <w:highlight w:val="none"/>
        </w:rPr>
        <w:t>交接，不断提高业务熟悉程度和系统操作水平，确保具体经办人员全面熟练掌握社保费代收客户端、专用POS机、微信、支付宝、云闪付、渝快办等办理渠道的操作流程，为参保人员提供高效、快捷、透明的服务</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color w:val="auto"/>
          <w:kern w:val="0"/>
          <w:sz w:val="32"/>
          <w:szCs w:val="32"/>
          <w:highlight w:val="none"/>
          <w:lang w:val="en-US" w:eastAsia="zh-CN"/>
        </w:rPr>
        <w:t>（四）有效防范风险。</w:t>
      </w:r>
      <w:r>
        <w:rPr>
          <w:rFonts w:hint="default" w:ascii="Times New Roman" w:hAnsi="Times New Roman" w:eastAsia="方正仿宋_GBK" w:cs="Times New Roman"/>
          <w:b w:val="0"/>
          <w:bCs w:val="0"/>
          <w:snapToGrid w:val="0"/>
          <w:color w:val="auto"/>
          <w:sz w:val="32"/>
          <w:szCs w:val="32"/>
        </w:rPr>
        <w:t>集中征收期由于业务量大增，各种突发事件均可能发生，各地各单位一定要切实增强风险防范意识，制定好应急预案，健全问题快速响应机制，做好应急保障的各项准备工作，对参保人反映的问题，及时解决，耐心回复。征收过程中，要保持对征收状况和网络舆情的密切关注，及时准确应对，最大程度防范和化解负面舆情</w:t>
      </w:r>
      <w:r>
        <w:rPr>
          <w:rFonts w:hint="default" w:ascii="Times New Roman" w:hAnsi="Times New Roman" w:eastAsia="方正仿宋_GBK" w:cs="Times New Roman"/>
          <w:b w:val="0"/>
          <w:bCs w:val="0"/>
          <w:snapToGrid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十</w:t>
      </w:r>
      <w:r>
        <w:rPr>
          <w:rFonts w:hint="default" w:ascii="Times New Roman" w:hAnsi="Times New Roman" w:eastAsia="方正黑体_GBK" w:cs="Times New Roman"/>
          <w:color w:val="auto"/>
          <w:kern w:val="0"/>
          <w:sz w:val="32"/>
          <w:szCs w:val="32"/>
          <w:highlight w:val="none"/>
        </w:rPr>
        <w:t>、其他</w:t>
      </w:r>
      <w:r>
        <w:rPr>
          <w:rFonts w:hint="default" w:ascii="Times New Roman" w:hAnsi="Times New Roman" w:eastAsia="方正黑体_GBK" w:cs="Times New Roman"/>
          <w:color w:val="auto"/>
          <w:kern w:val="0"/>
          <w:sz w:val="32"/>
          <w:szCs w:val="32"/>
          <w:highlight w:val="none"/>
          <w:lang w:val="en-US" w:eastAsia="zh-CN"/>
        </w:rPr>
        <w:t>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楷体_GBK" w:cs="Times New Roman"/>
          <w:b w:val="0"/>
          <w:bCs w:val="0"/>
          <w:color w:val="auto"/>
          <w:kern w:val="0"/>
          <w:sz w:val="32"/>
          <w:szCs w:val="32"/>
          <w:highlight w:val="none"/>
        </w:rPr>
        <w:t>（一）</w:t>
      </w:r>
      <w:r>
        <w:rPr>
          <w:rFonts w:hint="default" w:ascii="Times New Roman" w:hAnsi="Times New Roman" w:eastAsia="方正仿宋_GBK" w:cs="Times New Roman"/>
          <w:b w:val="0"/>
          <w:bCs w:val="0"/>
          <w:color w:val="auto"/>
          <w:kern w:val="0"/>
          <w:sz w:val="32"/>
          <w:szCs w:val="32"/>
          <w:highlight w:val="none"/>
        </w:rPr>
        <w:t>本方案实施过程中，国家、</w:t>
      </w:r>
      <w:r>
        <w:rPr>
          <w:rFonts w:hint="default" w:ascii="Times New Roman" w:hAnsi="Times New Roman" w:eastAsia="方正仿宋_GBK" w:cs="Times New Roman"/>
          <w:b w:val="0"/>
          <w:bCs w:val="0"/>
          <w:color w:val="auto"/>
          <w:kern w:val="0"/>
          <w:sz w:val="32"/>
          <w:szCs w:val="32"/>
          <w:highlight w:val="none"/>
          <w:lang w:val="en-US" w:eastAsia="zh-CN"/>
        </w:rPr>
        <w:t>重庆</w:t>
      </w:r>
      <w:r>
        <w:rPr>
          <w:rFonts w:hint="default" w:ascii="Times New Roman" w:hAnsi="Times New Roman" w:eastAsia="方正仿宋_GBK" w:cs="Times New Roman"/>
          <w:b w:val="0"/>
          <w:bCs w:val="0"/>
          <w:color w:val="auto"/>
          <w:kern w:val="0"/>
          <w:sz w:val="32"/>
          <w:szCs w:val="32"/>
          <w:highlight w:val="none"/>
        </w:rPr>
        <w:t>对城乡居民基本医疗保险政策做出调整时，应按调整内容及时进行修改。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楷体_GBK" w:cs="Times New Roman"/>
          <w:b w:val="0"/>
          <w:bCs w:val="0"/>
          <w:color w:val="auto"/>
          <w:kern w:val="0"/>
          <w:sz w:val="32"/>
          <w:szCs w:val="32"/>
          <w:highlight w:val="none"/>
        </w:rPr>
        <w:t>（二）</w:t>
      </w:r>
      <w:r>
        <w:rPr>
          <w:rFonts w:hint="default" w:ascii="Times New Roman" w:hAnsi="Times New Roman" w:eastAsia="方正仿宋_GBK" w:cs="Times New Roman"/>
          <w:b w:val="0"/>
          <w:bCs w:val="0"/>
          <w:color w:val="auto"/>
          <w:kern w:val="0"/>
          <w:sz w:val="32"/>
          <w:szCs w:val="32"/>
          <w:highlight w:val="none"/>
        </w:rPr>
        <w:t>由区医保局会同</w:t>
      </w:r>
      <w:r>
        <w:rPr>
          <w:rFonts w:hint="default" w:ascii="Times New Roman" w:hAnsi="Times New Roman" w:eastAsia="方正仿宋_GBK" w:cs="Times New Roman"/>
          <w:b w:val="0"/>
          <w:bCs w:val="0"/>
          <w:color w:val="auto"/>
          <w:kern w:val="0"/>
          <w:sz w:val="32"/>
          <w:szCs w:val="32"/>
          <w:highlight w:val="none"/>
          <w:lang w:val="en-US" w:eastAsia="zh-CN"/>
        </w:rPr>
        <w:t>区教委、区财政局、</w:t>
      </w:r>
      <w:r>
        <w:rPr>
          <w:rFonts w:hint="default" w:ascii="Times New Roman" w:hAnsi="Times New Roman" w:eastAsia="方正仿宋_GBK" w:cs="Times New Roman"/>
          <w:b w:val="0"/>
          <w:bCs w:val="0"/>
          <w:color w:val="auto"/>
          <w:kern w:val="0"/>
          <w:sz w:val="32"/>
          <w:szCs w:val="32"/>
          <w:highlight w:val="none"/>
        </w:rPr>
        <w:t>万州区税务局负责解答本方案具体实施内容。</w:t>
      </w:r>
    </w:p>
    <w:p>
      <w:pPr>
        <w:pageBreakBefore w:val="0"/>
        <w:kinsoku/>
        <w:wordWrap/>
        <w:topLinePunct w:val="0"/>
        <w:autoSpaceDE/>
        <w:autoSpaceDN/>
        <w:bidi w:val="0"/>
        <w:spacing w:line="600" w:lineRule="exact"/>
        <w:ind w:left="1688" w:leftChars="301" w:hanging="1056" w:hangingChars="330"/>
        <w:jc w:val="left"/>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附件：</w:t>
      </w:r>
      <w:r>
        <w:rPr>
          <w:rFonts w:hint="default" w:ascii="Times New Roman" w:hAnsi="Times New Roman" w:eastAsia="方正仿宋_GBK" w:cs="Times New Roman"/>
          <w:b w:val="0"/>
          <w:bCs w:val="0"/>
          <w:color w:val="auto"/>
          <w:kern w:val="0"/>
          <w:sz w:val="32"/>
          <w:szCs w:val="32"/>
          <w:highlight w:val="none"/>
          <w:lang w:val="en-US" w:eastAsia="zh-CN"/>
        </w:rPr>
        <w:t>1.</w:t>
      </w:r>
      <w:r>
        <w:rPr>
          <w:rFonts w:hint="default" w:ascii="Times New Roman" w:hAnsi="Times New Roman" w:eastAsia="方正仿宋_GBK" w:cs="Times New Roman"/>
          <w:b w:val="0"/>
          <w:bCs w:val="0"/>
          <w:color w:val="auto"/>
          <w:kern w:val="0"/>
          <w:sz w:val="32"/>
          <w:szCs w:val="32"/>
          <w:highlight w:val="none"/>
        </w:rPr>
        <w:t>202</w:t>
      </w:r>
      <w:r>
        <w:rPr>
          <w:rFonts w:hint="default" w:ascii="Times New Roman" w:hAnsi="Times New Roman" w:eastAsia="方正仿宋_GBK" w:cs="Times New Roman"/>
          <w:b w:val="0"/>
          <w:bCs w:val="0"/>
          <w:color w:val="auto"/>
          <w:kern w:val="0"/>
          <w:sz w:val="32"/>
          <w:szCs w:val="32"/>
          <w:highlight w:val="none"/>
          <w:lang w:val="en-US" w:eastAsia="zh-CN"/>
        </w:rPr>
        <w:t>4</w:t>
      </w:r>
      <w:r>
        <w:rPr>
          <w:rFonts w:hint="default" w:ascii="Times New Roman" w:hAnsi="Times New Roman" w:eastAsia="方正仿宋_GBK" w:cs="Times New Roman"/>
          <w:b w:val="0"/>
          <w:bCs w:val="0"/>
          <w:color w:val="auto"/>
          <w:kern w:val="0"/>
          <w:sz w:val="32"/>
          <w:szCs w:val="32"/>
          <w:highlight w:val="none"/>
        </w:rPr>
        <w:t>年度城乡居民基本医疗保险参保人数计划表</w:t>
      </w:r>
    </w:p>
    <w:p>
      <w:pPr>
        <w:keepNext w:val="0"/>
        <w:keepLines w:val="0"/>
        <w:pageBreakBefore w:val="0"/>
        <w:widowControl w:val="0"/>
        <w:kinsoku/>
        <w:wordWrap/>
        <w:overflowPunct/>
        <w:topLinePunct w:val="0"/>
        <w:autoSpaceDE/>
        <w:autoSpaceDN/>
        <w:bidi w:val="0"/>
        <w:adjustRightInd/>
        <w:snapToGrid/>
        <w:spacing w:line="600" w:lineRule="exact"/>
        <w:ind w:left="1920" w:leftChars="0" w:hanging="1920" w:hangingChars="6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 xml:space="preserve">          2.2024年度万州区城乡居民医保参保资助档次配置表（24类）</w:t>
      </w:r>
    </w:p>
    <w:p>
      <w:pPr>
        <w:pStyle w:val="3"/>
        <w:pageBreakBefore w:val="0"/>
        <w:kinsoku/>
        <w:wordWrap/>
        <w:topLinePunct w:val="0"/>
        <w:autoSpaceDE/>
        <w:autoSpaceDN/>
        <w:bidi w:val="0"/>
        <w:spacing w:before="0" w:after="0" w:line="600" w:lineRule="exact"/>
        <w:ind w:firstLine="3840" w:firstLineChars="1200"/>
        <w:jc w:val="left"/>
        <w:textAlignment w:val="auto"/>
        <w:rPr>
          <w:rFonts w:hint="default" w:ascii="Times New Roman" w:hAnsi="Times New Roman" w:eastAsia="方正仿宋_GBK" w:cs="Times New Roman"/>
          <w:b w:val="0"/>
          <w:bCs w:val="0"/>
          <w:color w:val="auto"/>
          <w:sz w:val="32"/>
          <w:szCs w:val="32"/>
          <w:lang w:eastAsia="zh-CN"/>
        </w:rPr>
      </w:pPr>
    </w:p>
    <w:p>
      <w:pPr>
        <w:pStyle w:val="3"/>
        <w:pageBreakBefore w:val="0"/>
        <w:kinsoku/>
        <w:wordWrap/>
        <w:topLinePunct w:val="0"/>
        <w:autoSpaceDE/>
        <w:autoSpaceDN/>
        <w:bidi w:val="0"/>
        <w:spacing w:before="0" w:after="0" w:line="600" w:lineRule="exact"/>
        <w:ind w:firstLine="3840" w:firstLineChars="1200"/>
        <w:jc w:val="left"/>
        <w:textAlignment w:val="auto"/>
        <w:rPr>
          <w:rFonts w:hint="default" w:ascii="Times New Roman" w:hAnsi="Times New Roman" w:eastAsia="方正仿宋_GBK" w:cs="Times New Roman"/>
          <w:b w:val="0"/>
          <w:bCs w:val="0"/>
          <w:color w:val="auto"/>
          <w:sz w:val="32"/>
          <w:szCs w:val="32"/>
          <w:lang w:eastAsia="zh-CN"/>
        </w:rPr>
      </w:pPr>
    </w:p>
    <w:p>
      <w:pPr>
        <w:pStyle w:val="3"/>
        <w:pageBreakBefore w:val="0"/>
        <w:kinsoku/>
        <w:wordWrap/>
        <w:topLinePunct w:val="0"/>
        <w:autoSpaceDE/>
        <w:autoSpaceDN/>
        <w:bidi w:val="0"/>
        <w:spacing w:before="0" w:after="0" w:line="600" w:lineRule="exact"/>
        <w:ind w:firstLine="4160" w:firstLineChars="1300"/>
        <w:jc w:val="left"/>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重庆市万州区白羊镇人民政府</w:t>
      </w:r>
    </w:p>
    <w:p>
      <w:pPr>
        <w:keepNext w:val="0"/>
        <w:keepLines w:val="0"/>
        <w:pageBreakBefore w:val="0"/>
        <w:kinsoku/>
        <w:wordWrap/>
        <w:overflowPunct/>
        <w:topLinePunct w:val="0"/>
        <w:autoSpaceDE/>
        <w:autoSpaceDN/>
        <w:bidi w:val="0"/>
        <w:adjustRightInd/>
        <w:snapToGrid/>
        <w:spacing w:line="600" w:lineRule="exact"/>
        <w:ind w:firstLine="4480" w:firstLineChars="140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 xml:space="preserve">  </w:t>
      </w:r>
      <w:r>
        <w:rPr>
          <w:rFonts w:hint="default" w:ascii="Times New Roman" w:hAnsi="Times New Roman" w:eastAsia="方正仿宋_GBK" w:cs="Times New Roman"/>
          <w:b w:val="0"/>
          <w:bCs w:val="0"/>
          <w:color w:val="auto"/>
          <w:kern w:val="0"/>
          <w:sz w:val="32"/>
          <w:szCs w:val="32"/>
          <w:highlight w:val="none"/>
        </w:rPr>
        <w:t>202</w:t>
      </w:r>
      <w:r>
        <w:rPr>
          <w:rFonts w:hint="default" w:ascii="Times New Roman" w:hAnsi="Times New Roman" w:eastAsia="方正仿宋_GBK" w:cs="Times New Roman"/>
          <w:b w:val="0"/>
          <w:bCs w:val="0"/>
          <w:color w:val="auto"/>
          <w:kern w:val="0"/>
          <w:sz w:val="32"/>
          <w:szCs w:val="32"/>
          <w:highlight w:val="none"/>
          <w:lang w:val="en-US" w:eastAsia="zh-CN"/>
        </w:rPr>
        <w:t>3</w:t>
      </w:r>
      <w:r>
        <w:rPr>
          <w:rFonts w:hint="default" w:ascii="Times New Roman" w:hAnsi="Times New Roman" w:eastAsia="方正仿宋_GBK" w:cs="Times New Roman"/>
          <w:b w:val="0"/>
          <w:bCs w:val="0"/>
          <w:color w:val="auto"/>
          <w:kern w:val="0"/>
          <w:sz w:val="32"/>
          <w:szCs w:val="32"/>
          <w:highlight w:val="none"/>
        </w:rPr>
        <w:t>年</w:t>
      </w:r>
      <w:r>
        <w:rPr>
          <w:rFonts w:hint="default" w:ascii="Times New Roman" w:hAnsi="Times New Roman" w:eastAsia="方正仿宋_GBK" w:cs="Times New Roman"/>
          <w:b w:val="0"/>
          <w:bCs w:val="0"/>
          <w:color w:val="auto"/>
          <w:kern w:val="0"/>
          <w:sz w:val="32"/>
          <w:szCs w:val="32"/>
          <w:highlight w:val="none"/>
          <w:lang w:val="en-US" w:eastAsia="zh-CN"/>
        </w:rPr>
        <w:t>10</w:t>
      </w:r>
      <w:r>
        <w:rPr>
          <w:rFonts w:hint="default" w:ascii="Times New Roman" w:hAnsi="Times New Roman" w:eastAsia="方正仿宋_GBK" w:cs="Times New Roman"/>
          <w:b w:val="0"/>
          <w:bCs w:val="0"/>
          <w:color w:val="auto"/>
          <w:kern w:val="0"/>
          <w:sz w:val="32"/>
          <w:szCs w:val="32"/>
          <w:highlight w:val="none"/>
        </w:rPr>
        <w:t>月</w:t>
      </w:r>
      <w:r>
        <w:rPr>
          <w:rFonts w:hint="default" w:ascii="Times New Roman" w:hAnsi="Times New Roman" w:eastAsia="方正仿宋_GBK" w:cs="Times New Roman"/>
          <w:b w:val="0"/>
          <w:bCs w:val="0"/>
          <w:color w:val="auto"/>
          <w:kern w:val="0"/>
          <w:sz w:val="32"/>
          <w:szCs w:val="32"/>
          <w:highlight w:val="none"/>
          <w:lang w:val="en-US" w:eastAsia="zh-CN"/>
        </w:rPr>
        <w:t>31</w:t>
      </w:r>
      <w:r>
        <w:rPr>
          <w:rFonts w:hint="default" w:ascii="Times New Roman" w:hAnsi="Times New Roman" w:eastAsia="方正仿宋_GBK" w:cs="Times New Roman"/>
          <w:b w:val="0"/>
          <w:bCs w:val="0"/>
          <w:color w:val="auto"/>
          <w:kern w:val="0"/>
          <w:sz w:val="32"/>
          <w:szCs w:val="32"/>
          <w:highlight w:val="none"/>
        </w:rPr>
        <w:t>日</w:t>
      </w:r>
    </w:p>
    <w:p>
      <w:pPr>
        <w:keepNext w:val="0"/>
        <w:keepLines w:val="0"/>
        <w:widowControl/>
        <w:suppressLineNumbers w:val="0"/>
        <w:jc w:val="left"/>
      </w:pPr>
      <w:r>
        <w:rPr>
          <w:rFonts w:ascii="方正仿宋_GBK" w:hAnsi="方正仿宋_GBK" w:eastAsia="方正仿宋_GBK" w:cs="方正仿宋_GBK"/>
          <w:i w:val="0"/>
          <w:caps w:val="0"/>
          <w:color w:val="000000"/>
          <w:spacing w:val="0"/>
          <w:kern w:val="0"/>
          <w:sz w:val="31"/>
          <w:szCs w:val="31"/>
          <w:lang w:val="en-US" w:eastAsia="zh-CN" w:bidi="ar"/>
        </w:rPr>
        <w:t>（</w:t>
      </w:r>
      <w:r>
        <w:rPr>
          <w:rFonts w:hint="eastAsia" w:ascii="方正仿宋_GBK" w:hAnsi="方正仿宋_GBK" w:eastAsia="方正仿宋_GBK" w:cs="方正仿宋_GBK"/>
          <w:i w:val="0"/>
          <w:caps w:val="0"/>
          <w:color w:val="000000"/>
          <w:spacing w:val="0"/>
          <w:kern w:val="0"/>
          <w:sz w:val="31"/>
          <w:szCs w:val="31"/>
          <w:lang w:val="en-US" w:eastAsia="zh-CN" w:bidi="ar"/>
        </w:rPr>
        <w:t>此件公开发布）</w:t>
      </w:r>
    </w:p>
    <w:p>
      <w:pPr>
        <w:rPr>
          <w:rFonts w:hint="default" w:ascii="Times New Roman" w:hAnsi="Times New Roman" w:eastAsia="方正黑体_GBK" w:cs="Times New Roman"/>
          <w:b w:val="0"/>
          <w:bCs w:val="0"/>
          <w:snapToGrid w:val="0"/>
          <w:color w:val="auto"/>
          <w:kern w:val="44"/>
          <w:sz w:val="32"/>
          <w:szCs w:val="32"/>
          <w:lang w:val="en-US" w:eastAsia="zh-CN" w:bidi="ar-SA"/>
        </w:rPr>
      </w:pPr>
      <w:r>
        <w:rPr>
          <w:rFonts w:hint="default" w:ascii="Times New Roman" w:hAnsi="Times New Roman" w:eastAsia="方正黑体_GBK" w:cs="Times New Roman"/>
          <w:b w:val="0"/>
          <w:bCs w:val="0"/>
          <w:snapToGrid w:val="0"/>
          <w:color w:val="auto"/>
          <w:kern w:val="44"/>
          <w:sz w:val="32"/>
          <w:szCs w:val="32"/>
          <w:lang w:val="en-US" w:eastAsia="zh-CN" w:bidi="ar-SA"/>
        </w:rPr>
        <w:br w:type="page"/>
      </w: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黑体_GBK" w:cs="Times New Roman"/>
          <w:b w:val="0"/>
          <w:bCs w:val="0"/>
          <w:snapToGrid w:val="0"/>
          <w:color w:val="auto"/>
          <w:kern w:val="44"/>
          <w:sz w:val="32"/>
          <w:szCs w:val="32"/>
          <w:lang w:val="en-US" w:eastAsia="zh-CN" w:bidi="ar-SA"/>
        </w:rPr>
      </w:pPr>
      <w:bookmarkStart w:id="0" w:name="_GoBack"/>
      <w:bookmarkEnd w:id="0"/>
      <w:r>
        <w:rPr>
          <w:rFonts w:hint="default" w:ascii="Times New Roman" w:hAnsi="Times New Roman" w:eastAsia="方正黑体_GBK" w:cs="Times New Roman"/>
          <w:b w:val="0"/>
          <w:bCs w:val="0"/>
          <w:snapToGrid w:val="0"/>
          <w:color w:val="auto"/>
          <w:kern w:val="44"/>
          <w:sz w:val="32"/>
          <w:szCs w:val="32"/>
          <w:lang w:val="en-US" w:eastAsia="zh-CN" w:bidi="ar-SA"/>
        </w:rPr>
        <w:t>附件1</w:t>
      </w: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b w:val="0"/>
          <w:bCs w:val="0"/>
          <w:color w:val="auto"/>
          <w:kern w:val="0"/>
          <w:sz w:val="36"/>
          <w:szCs w:val="36"/>
          <w:highlight w:val="none"/>
        </w:rPr>
        <w:t>202</w:t>
      </w:r>
      <w:r>
        <w:rPr>
          <w:rFonts w:hint="default" w:ascii="Times New Roman" w:hAnsi="Times New Roman" w:eastAsia="方正小标宋_GBK" w:cs="Times New Roman"/>
          <w:b w:val="0"/>
          <w:bCs w:val="0"/>
          <w:color w:val="auto"/>
          <w:kern w:val="0"/>
          <w:sz w:val="36"/>
          <w:szCs w:val="36"/>
          <w:highlight w:val="none"/>
          <w:lang w:val="en-US" w:eastAsia="zh-CN"/>
        </w:rPr>
        <w:t>4</w:t>
      </w:r>
      <w:r>
        <w:rPr>
          <w:rFonts w:hint="default" w:ascii="Times New Roman" w:hAnsi="Times New Roman" w:eastAsia="方正小标宋_GBK" w:cs="Times New Roman"/>
          <w:b w:val="0"/>
          <w:bCs w:val="0"/>
          <w:color w:val="auto"/>
          <w:kern w:val="0"/>
          <w:sz w:val="36"/>
          <w:szCs w:val="36"/>
          <w:highlight w:val="none"/>
        </w:rPr>
        <w:t>年度城乡居民基本医疗保险参保人数计划表</w:t>
      </w:r>
    </w:p>
    <w:tbl>
      <w:tblPr>
        <w:tblStyle w:val="10"/>
        <w:tblpPr w:leftFromText="180" w:rightFromText="180" w:vertAnchor="text" w:horzAnchor="page" w:tblpX="2041" w:tblpY="311"/>
        <w:tblOverlap w:val="never"/>
        <w:tblW w:w="8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349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2850" w:type="dxa"/>
            <w:vAlign w:val="center"/>
          </w:tcPr>
          <w:p>
            <w:pPr>
              <w:spacing w:line="520" w:lineRule="exact"/>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32"/>
                <w:szCs w:val="32"/>
              </w:rPr>
              <w:t>村（社区）</w:t>
            </w:r>
          </w:p>
        </w:tc>
        <w:tc>
          <w:tcPr>
            <w:tcW w:w="3495" w:type="dxa"/>
            <w:vAlign w:val="center"/>
          </w:tcPr>
          <w:p>
            <w:pPr>
              <w:spacing w:line="520" w:lineRule="exact"/>
              <w:ind w:firstLine="320" w:firstLineChars="100"/>
              <w:rPr>
                <w:rFonts w:hint="default" w:ascii="Times New Roman" w:hAnsi="Times New Roman" w:eastAsia="宋体" w:cs="Times New Roman"/>
                <w:color w:val="auto"/>
                <w:sz w:val="24"/>
              </w:rPr>
            </w:pPr>
            <w:r>
              <w:rPr>
                <w:rFonts w:hint="default" w:ascii="Times New Roman" w:hAnsi="Times New Roman" w:eastAsia="宋体" w:cs="Times New Roman"/>
                <w:color w:val="auto"/>
                <w:sz w:val="32"/>
                <w:szCs w:val="32"/>
              </w:rPr>
              <w:t>目标任务数（人）</w:t>
            </w:r>
          </w:p>
        </w:tc>
        <w:tc>
          <w:tcPr>
            <w:tcW w:w="1860" w:type="dxa"/>
            <w:vAlign w:val="center"/>
          </w:tcPr>
          <w:p>
            <w:pPr>
              <w:spacing w:line="520" w:lineRule="exact"/>
              <w:ind w:firstLine="320" w:firstLineChars="1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2850" w:type="dxa"/>
            <w:vAlign w:val="center"/>
          </w:tcPr>
          <w:p>
            <w:pPr>
              <w:spacing w:line="580" w:lineRule="exact"/>
              <w:ind w:firstLine="840" w:firstLineChars="3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白羊社区</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30</w:t>
            </w:r>
            <w:r>
              <w:rPr>
                <w:rFonts w:hint="default" w:ascii="Times New Roman" w:hAnsi="Times New Roman" w:eastAsia="宋体" w:cs="Times New Roman"/>
                <w:color w:val="auto"/>
                <w:sz w:val="28"/>
                <w:szCs w:val="28"/>
                <w:lang w:val="en-US" w:eastAsia="zh-CN"/>
              </w:rPr>
              <w:t>25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50" w:type="dxa"/>
            <w:vAlign w:val="center"/>
          </w:tcPr>
          <w:p>
            <w:pPr>
              <w:spacing w:line="580" w:lineRule="exact"/>
              <w:ind w:firstLine="840" w:firstLineChars="3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鱼泉社区</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28</w:t>
            </w:r>
            <w:r>
              <w:rPr>
                <w:rFonts w:hint="default" w:ascii="Times New Roman" w:hAnsi="Times New Roman" w:eastAsia="宋体" w:cs="Times New Roman"/>
                <w:color w:val="auto"/>
                <w:sz w:val="28"/>
                <w:szCs w:val="28"/>
                <w:lang w:val="en-US" w:eastAsia="zh-CN"/>
              </w:rPr>
              <w:t>15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2850" w:type="dxa"/>
            <w:vAlign w:val="center"/>
          </w:tcPr>
          <w:p>
            <w:pPr>
              <w:spacing w:line="580" w:lineRule="exact"/>
              <w:ind w:firstLine="840" w:firstLineChars="3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双石社区</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26</w:t>
            </w:r>
            <w:r>
              <w:rPr>
                <w:rFonts w:hint="default" w:ascii="Times New Roman" w:hAnsi="Times New Roman" w:eastAsia="宋体" w:cs="Times New Roman"/>
                <w:color w:val="auto"/>
                <w:sz w:val="28"/>
                <w:szCs w:val="28"/>
                <w:lang w:val="en-US" w:eastAsia="zh-CN"/>
              </w:rPr>
              <w:t>25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850" w:type="dxa"/>
            <w:vAlign w:val="center"/>
          </w:tcPr>
          <w:p>
            <w:pPr>
              <w:spacing w:line="580" w:lineRule="exact"/>
              <w:ind w:firstLine="840" w:firstLineChars="3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石龙社区</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31</w:t>
            </w:r>
            <w:r>
              <w:rPr>
                <w:rFonts w:hint="default" w:ascii="Times New Roman" w:hAnsi="Times New Roman" w:eastAsia="宋体" w:cs="Times New Roman"/>
                <w:color w:val="auto"/>
                <w:sz w:val="28"/>
                <w:szCs w:val="28"/>
                <w:lang w:val="en-US" w:eastAsia="zh-CN"/>
              </w:rPr>
              <w:t>15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2850" w:type="dxa"/>
            <w:vAlign w:val="center"/>
          </w:tcPr>
          <w:p>
            <w:pPr>
              <w:spacing w:line="580" w:lineRule="exact"/>
              <w:ind w:firstLine="840" w:firstLineChars="3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魏家社区</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10</w:t>
            </w:r>
            <w:r>
              <w:rPr>
                <w:rFonts w:hint="default" w:ascii="Times New Roman" w:hAnsi="Times New Roman" w:eastAsia="宋体" w:cs="Times New Roman"/>
                <w:color w:val="auto"/>
                <w:sz w:val="28"/>
                <w:szCs w:val="28"/>
                <w:lang w:val="en-US" w:eastAsia="zh-CN"/>
              </w:rPr>
              <w:t>45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2850" w:type="dxa"/>
            <w:vAlign w:val="center"/>
          </w:tcPr>
          <w:p>
            <w:pPr>
              <w:spacing w:line="580" w:lineRule="exact"/>
              <w:ind w:firstLine="840" w:firstLineChars="3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大石村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26</w:t>
            </w:r>
            <w:r>
              <w:rPr>
                <w:rFonts w:hint="default" w:ascii="Times New Roman" w:hAnsi="Times New Roman" w:eastAsia="宋体" w:cs="Times New Roman"/>
                <w:color w:val="auto"/>
                <w:sz w:val="28"/>
                <w:szCs w:val="28"/>
                <w:lang w:val="en-US" w:eastAsia="zh-CN"/>
              </w:rPr>
              <w:t>10</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清潭村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31</w:t>
            </w:r>
            <w:r>
              <w:rPr>
                <w:rFonts w:hint="default" w:ascii="Times New Roman" w:hAnsi="Times New Roman" w:eastAsia="宋体" w:cs="Times New Roman"/>
                <w:color w:val="auto"/>
                <w:sz w:val="28"/>
                <w:szCs w:val="28"/>
                <w:lang w:val="en-US" w:eastAsia="zh-CN"/>
              </w:rPr>
              <w:t>65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长石村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23</w:t>
            </w:r>
            <w:r>
              <w:rPr>
                <w:rFonts w:hint="default" w:ascii="Times New Roman" w:hAnsi="Times New Roman" w:eastAsia="宋体" w:cs="Times New Roman"/>
                <w:color w:val="auto"/>
                <w:sz w:val="28"/>
                <w:szCs w:val="28"/>
                <w:lang w:val="en-US" w:eastAsia="zh-CN"/>
              </w:rPr>
              <w:t>20</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大弯村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3</w:t>
            </w:r>
            <w:r>
              <w:rPr>
                <w:rFonts w:hint="default" w:ascii="Times New Roman" w:hAnsi="Times New Roman" w:eastAsia="宋体" w:cs="Times New Roman"/>
                <w:color w:val="auto"/>
                <w:sz w:val="28"/>
                <w:szCs w:val="28"/>
                <w:lang w:val="en-US" w:eastAsia="zh-CN"/>
              </w:rPr>
              <w:t>585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白燕村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3</w:t>
            </w:r>
            <w:r>
              <w:rPr>
                <w:rFonts w:hint="default" w:ascii="Times New Roman" w:hAnsi="Times New Roman" w:eastAsia="宋体" w:cs="Times New Roman"/>
                <w:color w:val="auto"/>
                <w:sz w:val="28"/>
                <w:szCs w:val="28"/>
                <w:lang w:val="en-US" w:eastAsia="zh-CN"/>
              </w:rPr>
              <w:t>575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大悟村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16</w:t>
            </w:r>
            <w:r>
              <w:rPr>
                <w:rFonts w:hint="default" w:ascii="Times New Roman" w:hAnsi="Times New Roman" w:eastAsia="宋体" w:cs="Times New Roman"/>
                <w:color w:val="auto"/>
                <w:sz w:val="28"/>
                <w:szCs w:val="28"/>
                <w:lang w:val="en-US" w:eastAsia="zh-CN"/>
              </w:rPr>
              <w:t>55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三元村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1990</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公平村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15</w:t>
            </w:r>
            <w:r>
              <w:rPr>
                <w:rFonts w:hint="default" w:ascii="Times New Roman" w:hAnsi="Times New Roman" w:eastAsia="宋体" w:cs="Times New Roman"/>
                <w:color w:val="auto"/>
                <w:sz w:val="28"/>
                <w:szCs w:val="28"/>
                <w:lang w:val="en-US" w:eastAsia="zh-CN"/>
              </w:rPr>
              <w:t>65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紫金村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13</w:t>
            </w:r>
            <w:r>
              <w:rPr>
                <w:rFonts w:hint="default" w:ascii="Times New Roman" w:hAnsi="Times New Roman" w:eastAsia="宋体" w:cs="Times New Roman"/>
                <w:color w:val="auto"/>
                <w:sz w:val="28"/>
                <w:szCs w:val="28"/>
                <w:lang w:val="en-US" w:eastAsia="zh-CN"/>
              </w:rPr>
              <w:t>05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友谊村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24</w:t>
            </w:r>
            <w:r>
              <w:rPr>
                <w:rFonts w:hint="default" w:ascii="Times New Roman" w:hAnsi="Times New Roman" w:eastAsia="宋体" w:cs="Times New Roman"/>
                <w:color w:val="auto"/>
                <w:sz w:val="28"/>
                <w:szCs w:val="28"/>
                <w:lang w:val="en-US" w:eastAsia="zh-CN"/>
              </w:rPr>
              <w:t>30</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惠民村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20</w:t>
            </w:r>
            <w:r>
              <w:rPr>
                <w:rFonts w:hint="default" w:ascii="Times New Roman" w:hAnsi="Times New Roman" w:eastAsia="宋体" w:cs="Times New Roman"/>
                <w:color w:val="auto"/>
                <w:sz w:val="28"/>
                <w:szCs w:val="28"/>
                <w:lang w:val="en-US" w:eastAsia="zh-CN"/>
              </w:rPr>
              <w:t>35</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2850" w:type="dxa"/>
            <w:vAlign w:val="center"/>
          </w:tcPr>
          <w:p>
            <w:pPr>
              <w:spacing w:line="58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太和村</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16</w:t>
            </w:r>
            <w:r>
              <w:rPr>
                <w:rFonts w:hint="default" w:ascii="Times New Roman" w:hAnsi="Times New Roman" w:eastAsia="宋体" w:cs="Times New Roman"/>
                <w:color w:val="auto"/>
                <w:sz w:val="28"/>
                <w:szCs w:val="28"/>
                <w:lang w:val="en-US" w:eastAsia="zh-CN"/>
              </w:rPr>
              <w:t>20</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850" w:type="dxa"/>
            <w:vAlign w:val="center"/>
          </w:tcPr>
          <w:p>
            <w:pPr>
              <w:spacing w:line="24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合计</w:t>
            </w:r>
          </w:p>
        </w:tc>
        <w:tc>
          <w:tcPr>
            <w:tcW w:w="3495"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40</w:t>
            </w:r>
            <w:r>
              <w:rPr>
                <w:rFonts w:hint="default" w:ascii="Times New Roman" w:hAnsi="Times New Roman" w:eastAsia="宋体" w:cs="Times New Roman"/>
                <w:color w:val="auto"/>
                <w:sz w:val="28"/>
                <w:szCs w:val="28"/>
                <w:lang w:val="en-US" w:eastAsia="zh-CN"/>
              </w:rPr>
              <w:t>480</w:t>
            </w:r>
          </w:p>
        </w:tc>
        <w:tc>
          <w:tcPr>
            <w:tcW w:w="1860" w:type="dxa"/>
            <w:vAlign w:val="center"/>
          </w:tcPr>
          <w:p>
            <w:pPr>
              <w:spacing w:line="580" w:lineRule="exact"/>
              <w:jc w:val="center"/>
              <w:rPr>
                <w:rFonts w:hint="default" w:ascii="Times New Roman" w:hAnsi="Times New Roman" w:eastAsia="宋体" w:cs="Times New Roman"/>
                <w:color w:val="auto"/>
                <w:sz w:val="28"/>
                <w:szCs w:val="28"/>
              </w:rPr>
            </w:pPr>
          </w:p>
        </w:tc>
      </w:tr>
    </w:tbl>
    <w:p>
      <w:pPr>
        <w:rPr>
          <w:rFonts w:hint="default" w:ascii="Times New Roman" w:hAnsi="Times New Roman" w:cs="Times New Roman"/>
          <w:color w:val="auto"/>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tbl>
      <w:tblPr>
        <w:tblStyle w:val="10"/>
        <w:tblpPr w:leftFromText="180" w:rightFromText="180" w:vertAnchor="text" w:horzAnchor="page" w:tblpX="1561" w:tblpY="354"/>
        <w:tblOverlap w:val="never"/>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3000"/>
        <w:gridCol w:w="1110"/>
        <w:gridCol w:w="1845"/>
        <w:gridCol w:w="2070"/>
        <w:gridCol w:w="243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4340" w:type="dxa"/>
            <w:gridSpan w:val="7"/>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auto"/>
                <w:kern w:val="0"/>
                <w:sz w:val="28"/>
                <w:szCs w:val="28"/>
                <w:u w:val="none"/>
                <w:lang w:val="en-US" w:eastAsia="zh-CN" w:bidi="ar"/>
              </w:rPr>
            </w:pPr>
            <w:r>
              <w:rPr>
                <w:rFonts w:hint="default" w:ascii="Times New Roman" w:hAnsi="Times New Roman" w:eastAsia="方正黑体_GBK" w:cs="Times New Roman"/>
                <w:b w:val="0"/>
                <w:bCs w:val="0"/>
                <w:snapToGrid w:val="0"/>
                <w:color w:val="auto"/>
                <w:kern w:val="44"/>
                <w:sz w:val="32"/>
                <w:szCs w:val="32"/>
                <w:lang w:val="en-US" w:eastAsia="zh-CN" w:bidi="ar-SA"/>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434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8"/>
                <w:szCs w:val="28"/>
                <w:u w:val="none"/>
                <w:lang w:val="en-US"/>
              </w:rPr>
            </w:pPr>
            <w:r>
              <w:rPr>
                <w:rFonts w:hint="default" w:ascii="Times New Roman" w:hAnsi="Times New Roman" w:eastAsia="方正小标宋_GBK" w:cs="Times New Roman"/>
                <w:b w:val="0"/>
                <w:bCs w:val="0"/>
                <w:i w:val="0"/>
                <w:iCs w:val="0"/>
                <w:color w:val="auto"/>
                <w:kern w:val="0"/>
                <w:sz w:val="44"/>
                <w:szCs w:val="44"/>
                <w:u w:val="none"/>
                <w:lang w:val="en-US" w:eastAsia="zh-CN" w:bidi="ar"/>
              </w:rPr>
              <w:t>2024年度万州区城乡居民医保参保资助档次配置表</w:t>
            </w:r>
            <w:r>
              <w:rPr>
                <w:rStyle w:val="13"/>
                <w:rFonts w:hint="default" w:ascii="Times New Roman" w:hAnsi="Times New Roman" w:eastAsia="方正小标宋_GBK" w:cs="Times New Roman"/>
                <w:b w:val="0"/>
                <w:bCs w:val="0"/>
                <w:color w:val="auto"/>
                <w:sz w:val="44"/>
                <w:szCs w:val="44"/>
                <w:lang w:val="en-US" w:eastAsia="zh-CN" w:bidi="ar"/>
              </w:rPr>
              <w:t>（24类）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代码值</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标记名称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档次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资助代缴金额（元）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个人实缴金额（元）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标准执行起止时间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资助对象认定部门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101</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民政城乡低保对象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342.00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民政城乡孤儿</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105</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民政在乡重点优抚对象（不含1-6级残疾军人）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106</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民政城乡重度（一、二级）残疾人员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108</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民政家庭经济困难大学生</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245.00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105.00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lang w:val="en-US"/>
              </w:rPr>
            </w:pPr>
            <w:r>
              <w:rPr>
                <w:rFonts w:hint="default" w:ascii="Times New Roman" w:hAnsi="Times New Roman" w:eastAsia="仿宋" w:cs="Times New Roman"/>
                <w:i w:val="0"/>
                <w:color w:val="auto"/>
                <w:kern w:val="0"/>
                <w:sz w:val="24"/>
                <w:szCs w:val="24"/>
                <w:u w:val="none"/>
                <w:lang w:val="en-US" w:eastAsia="zh-CN" w:bidi="ar"/>
              </w:rPr>
              <w:t>在万各高校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350.00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109</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在乡复员军人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755.00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110</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优抚六十岁以上老兵</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113</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特困人员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114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事实无人抚养儿童</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301</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计生优抚（奖扶）对象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304.00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76.00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304.00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451.00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302</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计生残抚（特扶）对象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304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独生子女残疾扶助对象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305</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计划生育手术并发症对象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520</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边缘易致贫户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602</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民政、计生重复类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304.00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76.00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603</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残联、计生重复类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304.00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76.00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区残联、区卫生健康委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民政、残联、计生重复类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304.00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 w:cs="Times New Roman"/>
                <w:i w:val="0"/>
                <w:color w:val="auto"/>
                <w:kern w:val="0"/>
                <w:sz w:val="24"/>
                <w:szCs w:val="24"/>
                <w:u w:val="none"/>
                <w:lang w:val="en-US" w:eastAsia="zh-CN" w:bidi="ar"/>
              </w:rPr>
              <w:t xml:space="preserve">76.00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区民政局、区残联、区卫生健康委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605</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脱贫不稳定户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607</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低保边缘户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608</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返贫致贫人口</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609</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突发严重困难户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2104</w:t>
            </w:r>
          </w:p>
        </w:tc>
        <w:tc>
          <w:tcPr>
            <w:tcW w:w="30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烈士遗属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30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 xml:space="preserve">755.00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2105</w:t>
            </w:r>
          </w:p>
        </w:tc>
        <w:tc>
          <w:tcPr>
            <w:tcW w:w="30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因公牺牲军人遗属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30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 xml:space="preserve">755.00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2106</w:t>
            </w:r>
          </w:p>
        </w:tc>
        <w:tc>
          <w:tcPr>
            <w:tcW w:w="30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病故军人遗属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30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 xml:space="preserve">755.00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r>
    </w:tbl>
    <w:p>
      <w:pPr>
        <w:pStyle w:val="3"/>
        <w:tabs>
          <w:tab w:val="left" w:pos="627"/>
        </w:tabs>
        <w:rPr>
          <w:rFonts w:hint="default" w:ascii="Times New Roman" w:hAnsi="Times New Roman" w:cs="Times New Roman" w:eastAsiaTheme="minorEastAsia"/>
          <w:color w:val="auto"/>
          <w:lang w:eastAsia="zh-CN"/>
        </w:rPr>
      </w:pPr>
    </w:p>
    <w:p>
      <w:pPr>
        <w:pStyle w:val="3"/>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lang w:val="en-US" w:eastAsia="zh-CN"/>
        </w:rPr>
      </w:pPr>
    </w:p>
    <w:sectPr>
      <w:pgSz w:w="16838" w:h="11906" w:orient="landscape"/>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604020202020204"/>
    <w:charset w:val="00"/>
    <w:family w:val="swiss"/>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MzIyZjUzOTAxMGRhNTk2NjVhYWZlMjQzMzkwNzEifQ=="/>
  </w:docVars>
  <w:rsids>
    <w:rsidRoot w:val="2EAD62E4"/>
    <w:rsid w:val="01390BCC"/>
    <w:rsid w:val="02284AF7"/>
    <w:rsid w:val="034D6BE2"/>
    <w:rsid w:val="06257970"/>
    <w:rsid w:val="078A2B50"/>
    <w:rsid w:val="081F54DD"/>
    <w:rsid w:val="082F0F7A"/>
    <w:rsid w:val="08470C96"/>
    <w:rsid w:val="0AC77248"/>
    <w:rsid w:val="0BB53545"/>
    <w:rsid w:val="0F401EA8"/>
    <w:rsid w:val="0FE60171"/>
    <w:rsid w:val="128F2D41"/>
    <w:rsid w:val="143560B1"/>
    <w:rsid w:val="157626FE"/>
    <w:rsid w:val="16932F46"/>
    <w:rsid w:val="16D57191"/>
    <w:rsid w:val="181D2B9D"/>
    <w:rsid w:val="1E0D117B"/>
    <w:rsid w:val="1E796654"/>
    <w:rsid w:val="1F2F3464"/>
    <w:rsid w:val="21843C8D"/>
    <w:rsid w:val="233C414C"/>
    <w:rsid w:val="24194B61"/>
    <w:rsid w:val="2637307C"/>
    <w:rsid w:val="26C64400"/>
    <w:rsid w:val="27BF157B"/>
    <w:rsid w:val="28A257D1"/>
    <w:rsid w:val="28D732D8"/>
    <w:rsid w:val="296E14AB"/>
    <w:rsid w:val="2B7841A6"/>
    <w:rsid w:val="2E3D769E"/>
    <w:rsid w:val="2E870919"/>
    <w:rsid w:val="2EAD62E4"/>
    <w:rsid w:val="2EFA0635"/>
    <w:rsid w:val="315A1EEF"/>
    <w:rsid w:val="316311C9"/>
    <w:rsid w:val="36B9188B"/>
    <w:rsid w:val="37904CE2"/>
    <w:rsid w:val="39B90520"/>
    <w:rsid w:val="3B127CDF"/>
    <w:rsid w:val="3CDB10F8"/>
    <w:rsid w:val="3D3B56F0"/>
    <w:rsid w:val="3DF22256"/>
    <w:rsid w:val="3F1E7077"/>
    <w:rsid w:val="412546ED"/>
    <w:rsid w:val="42B20202"/>
    <w:rsid w:val="446A24B7"/>
    <w:rsid w:val="454D7D6F"/>
    <w:rsid w:val="455C5AA0"/>
    <w:rsid w:val="4587162B"/>
    <w:rsid w:val="46E71943"/>
    <w:rsid w:val="48C37544"/>
    <w:rsid w:val="4B666365"/>
    <w:rsid w:val="505A4C98"/>
    <w:rsid w:val="539B439B"/>
    <w:rsid w:val="54A454D1"/>
    <w:rsid w:val="55AC59DA"/>
    <w:rsid w:val="57392849"/>
    <w:rsid w:val="5B3F6646"/>
    <w:rsid w:val="5B8930BB"/>
    <w:rsid w:val="5CFF1E3E"/>
    <w:rsid w:val="5DE4428C"/>
    <w:rsid w:val="5E287B4B"/>
    <w:rsid w:val="60A10F2A"/>
    <w:rsid w:val="61827739"/>
    <w:rsid w:val="61E9114E"/>
    <w:rsid w:val="62DD677E"/>
    <w:rsid w:val="63502D99"/>
    <w:rsid w:val="65F938CF"/>
    <w:rsid w:val="671D5367"/>
    <w:rsid w:val="6750104E"/>
    <w:rsid w:val="67D34322"/>
    <w:rsid w:val="68EF0FB9"/>
    <w:rsid w:val="6A26752E"/>
    <w:rsid w:val="6A27776B"/>
    <w:rsid w:val="6AA33E09"/>
    <w:rsid w:val="6B160A7F"/>
    <w:rsid w:val="6B7966F7"/>
    <w:rsid w:val="6B8E0B9C"/>
    <w:rsid w:val="6BE949FA"/>
    <w:rsid w:val="6D912FC0"/>
    <w:rsid w:val="70344F2E"/>
    <w:rsid w:val="70E231B1"/>
    <w:rsid w:val="723A1D35"/>
    <w:rsid w:val="74A25132"/>
    <w:rsid w:val="76471112"/>
    <w:rsid w:val="777F175A"/>
    <w:rsid w:val="78670B6C"/>
    <w:rsid w:val="7FA61B77"/>
    <w:rsid w:val="AF77DAAB"/>
    <w:rsid w:val="BFF50653"/>
    <w:rsid w:val="EE77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val="0"/>
      <w:spacing w:before="100" w:beforeAutospacing="1" w:after="100" w:afterAutospacing="1"/>
      <w:ind w:left="0" w:right="0"/>
      <w:jc w:val="left"/>
    </w:pPr>
    <w:rPr>
      <w:rFonts w:ascii="Calibri" w:hAnsi="Calibri" w:eastAsia="宋体" w:cs="Calibri"/>
      <w:kern w:val="0"/>
      <w:sz w:val="24"/>
      <w:szCs w:val="24"/>
      <w:lang w:val="en-US" w:eastAsia="zh-CN" w:bidi="ar"/>
    </w:rPr>
  </w:style>
  <w:style w:type="paragraph" w:customStyle="1" w:styleId="12">
    <w:name w:val="默认"/>
    <w:qFormat/>
    <w:uiPriority w:val="0"/>
    <w:rPr>
      <w:rFonts w:ascii="Helvetica" w:hAnsi="Helvetica" w:eastAsia="宋体" w:cs="Helvetica"/>
      <w:color w:val="000000"/>
      <w:sz w:val="22"/>
      <w:szCs w:val="22"/>
      <w:lang w:val="en-US" w:eastAsia="zh-CN" w:bidi="ar-SA"/>
    </w:rPr>
  </w:style>
  <w:style w:type="character" w:customStyle="1" w:styleId="13">
    <w:name w:val="font81"/>
    <w:basedOn w:val="11"/>
    <w:qFormat/>
    <w:uiPriority w:val="0"/>
    <w:rPr>
      <w:rFonts w:hint="eastAsia" w:ascii="宋体" w:hAnsi="宋体" w:eastAsia="宋体" w:cs="宋体"/>
      <w:b/>
      <w:bCs/>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5806</Words>
  <Characters>6842</Characters>
  <Lines>0</Lines>
  <Paragraphs>0</Paragraphs>
  <TotalTime>0</TotalTime>
  <ScaleCrop>false</ScaleCrop>
  <LinksUpToDate>false</LinksUpToDate>
  <CharactersWithSpaces>7009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2023-10-24T01:04:00Z</dcterms:created>
  <dc:creator>YB</dc:creator>
  <cp:lastModifiedBy>user</cp:lastModifiedBy>
  <cp:lastPrinted>2023-10-31T17:18:00Z</cp:lastPrinted>
  <dcterms:modified xsi:type="dcterms:W3CDTF">2024-06-28T10:45:43Z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4F9116AD2791432BACAFFCC1BF9B669A_13</vt:lpwstr>
  </property>
</Properties>
</file>