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05" w:beforeAutospacing="0" w:after="0" w:afterAutospacing="0" w:line="570" w:lineRule="atLeast"/>
        <w:ind w:left="0" w:right="0" w:firstLine="0"/>
        <w:jc w:val="center"/>
        <w:rPr>
          <w:rFonts w:ascii="Calibri" w:hAnsi="Calibri" w:cs="Calibri"/>
          <w:i w:val="0"/>
          <w:caps w:val="0"/>
          <w:color w:val="000000"/>
          <w:spacing w:val="0"/>
          <w:sz w:val="24"/>
          <w:szCs w:val="24"/>
        </w:rPr>
      </w:pPr>
      <w:r>
        <w:rPr>
          <w:rFonts w:ascii="方正小标宋_GBK" w:hAnsi="方正小标宋_GBK" w:eastAsia="方正小标宋_GBK" w:cs="方正小标宋_GBK"/>
          <w:i w:val="0"/>
          <w:caps w:val="0"/>
          <w:color w:val="000000"/>
          <w:spacing w:val="0"/>
          <w:sz w:val="43"/>
          <w:szCs w:val="43"/>
        </w:rPr>
        <w:t>重庆市万州区白土镇人民政府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pPr>
      <w:r>
        <w:rPr>
          <w:rFonts w:hint="eastAsia" w:ascii="方正小标宋_GBK" w:hAnsi="方正小标宋_GBK" w:eastAsia="方正小标宋_GBK" w:cs="方正小标宋_GBK"/>
          <w:i w:val="0"/>
          <w:caps w:val="0"/>
          <w:color w:val="000000"/>
          <w:spacing w:val="0"/>
          <w:sz w:val="43"/>
          <w:szCs w:val="43"/>
        </w:rPr>
        <w:t>关于转发</w:t>
      </w:r>
      <w:r>
        <w:rPr>
          <w:rFonts w:ascii="方正小标宋_GBK" w:hAnsi="方正小标宋_GBK" w:eastAsia="方正小标宋_GBK" w:cs="方正小标宋_GBK"/>
          <w:i w:val="0"/>
          <w:iCs w:val="0"/>
          <w:caps w:val="0"/>
          <w:color w:val="333333"/>
          <w:spacing w:val="0"/>
          <w:sz w:val="43"/>
          <w:szCs w:val="43"/>
          <w:shd w:val="clear" w:fill="FFFFFF"/>
        </w:rPr>
        <w:t>重庆市万州区人民政府办公室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eastAsia" w:ascii="方正小标宋_GBK" w:hAnsi="方正小标宋_GBK" w:eastAsia="方正小标宋_GBK" w:cs="方正小标宋_GBK"/>
          <w:i w:val="0"/>
          <w:iCs w:val="0"/>
          <w:caps w:val="0"/>
          <w:color w:val="333333"/>
          <w:spacing w:val="0"/>
          <w:sz w:val="43"/>
          <w:szCs w:val="43"/>
          <w:shd w:val="clear" w:fill="FFFFFF"/>
        </w:rPr>
      </w:pPr>
      <w:r>
        <w:rPr>
          <w:rFonts w:hint="eastAsia" w:ascii="方正小标宋_GBK" w:hAnsi="方正小标宋_GBK" w:eastAsia="方正小标宋_GBK" w:cs="方正小标宋_GBK"/>
          <w:i w:val="0"/>
          <w:iCs w:val="0"/>
          <w:caps w:val="0"/>
          <w:color w:val="333333"/>
          <w:spacing w:val="0"/>
          <w:sz w:val="43"/>
          <w:szCs w:val="43"/>
          <w:shd w:val="clear" w:fill="FFFFFF"/>
          <w:lang w:eastAsia="zh-CN"/>
        </w:rPr>
        <w:t>《</w:t>
      </w:r>
      <w:r>
        <w:rPr>
          <w:rFonts w:hint="eastAsia" w:ascii="方正小标宋_GBK" w:hAnsi="方正小标宋_GBK" w:eastAsia="方正小标宋_GBK" w:cs="方正小标宋_GBK"/>
          <w:i w:val="0"/>
          <w:iCs w:val="0"/>
          <w:caps w:val="0"/>
          <w:color w:val="333333"/>
          <w:spacing w:val="0"/>
          <w:sz w:val="43"/>
          <w:szCs w:val="43"/>
          <w:shd w:val="clear" w:fill="FFFFFF"/>
        </w:rPr>
        <w:t>关于印发</w:t>
      </w:r>
      <w:r>
        <w:rPr>
          <w:rFonts w:hint="eastAsia" w:ascii="方正小标宋_GBK" w:hAnsi="方正小标宋_GBK" w:eastAsia="方正小标宋_GBK" w:cs="方正小标宋_GBK"/>
          <w:i w:val="0"/>
          <w:iCs w:val="0"/>
          <w:caps w:val="0"/>
          <w:color w:val="333333"/>
          <w:spacing w:val="0"/>
          <w:sz w:val="43"/>
          <w:szCs w:val="43"/>
          <w:shd w:val="clear" w:fill="FFFFFF"/>
          <w:lang w:eastAsia="zh-CN"/>
        </w:rPr>
        <w:t>〈</w:t>
      </w:r>
      <w:r>
        <w:rPr>
          <w:rFonts w:hint="eastAsia" w:ascii="方正小标宋_GBK" w:hAnsi="方正小标宋_GBK" w:eastAsia="方正小标宋_GBK" w:cs="方正小标宋_GBK"/>
          <w:i w:val="0"/>
          <w:iCs w:val="0"/>
          <w:caps w:val="0"/>
          <w:color w:val="333333"/>
          <w:spacing w:val="0"/>
          <w:sz w:val="43"/>
          <w:szCs w:val="43"/>
          <w:shd w:val="clear" w:fill="FFFFFF"/>
        </w:rPr>
        <w:t>重庆市万州区开展农村房屋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hint="eastAsia" w:eastAsia="方正小标宋_GBK"/>
          <w:lang w:val="en-US" w:eastAsia="zh-CN"/>
        </w:rPr>
      </w:pPr>
      <w:r>
        <w:rPr>
          <w:rFonts w:hint="eastAsia" w:ascii="方正小标宋_GBK" w:hAnsi="方正小标宋_GBK" w:eastAsia="方正小标宋_GBK" w:cs="方正小标宋_GBK"/>
          <w:i w:val="0"/>
          <w:iCs w:val="0"/>
          <w:caps w:val="0"/>
          <w:color w:val="333333"/>
          <w:spacing w:val="0"/>
          <w:sz w:val="43"/>
          <w:szCs w:val="43"/>
          <w:shd w:val="clear" w:fill="FFFFFF"/>
        </w:rPr>
        <w:t>安全隐患排查整治工作方案</w:t>
      </w:r>
      <w:r>
        <w:rPr>
          <w:rFonts w:hint="eastAsia" w:ascii="方正小标宋_GBK" w:hAnsi="方正小标宋_GBK" w:eastAsia="方正小标宋_GBK" w:cs="方正小标宋_GBK"/>
          <w:i w:val="0"/>
          <w:iCs w:val="0"/>
          <w:caps w:val="0"/>
          <w:color w:val="333333"/>
          <w:spacing w:val="0"/>
          <w:sz w:val="43"/>
          <w:szCs w:val="43"/>
          <w:shd w:val="clear" w:fill="FFFFFF"/>
          <w:lang w:eastAsia="zh-CN"/>
        </w:rPr>
        <w:t>〉</w:t>
      </w:r>
      <w:r>
        <w:rPr>
          <w:rFonts w:hint="eastAsia" w:ascii="方正小标宋_GBK" w:hAnsi="方正小标宋_GBK" w:eastAsia="方正小标宋_GBK" w:cs="方正小标宋_GBK"/>
          <w:i w:val="0"/>
          <w:iCs w:val="0"/>
          <w:caps w:val="0"/>
          <w:color w:val="333333"/>
          <w:spacing w:val="0"/>
          <w:sz w:val="43"/>
          <w:szCs w:val="43"/>
          <w:shd w:val="clear" w:fill="FFFFFF"/>
        </w:rPr>
        <w:t>的通知</w:t>
      </w:r>
      <w:r>
        <w:rPr>
          <w:rFonts w:hint="eastAsia" w:ascii="方正小标宋_GBK" w:hAnsi="方正小标宋_GBK" w:eastAsia="方正小标宋_GBK" w:cs="方正小标宋_GBK"/>
          <w:i w:val="0"/>
          <w:iCs w:val="0"/>
          <w:caps w:val="0"/>
          <w:color w:val="333333"/>
          <w:spacing w:val="0"/>
          <w:sz w:val="43"/>
          <w:szCs w:val="43"/>
          <w:shd w:val="clear" w:fill="FFFFFF"/>
          <w:lang w:eastAsia="zh-CN"/>
        </w:rPr>
        <w:t>》</w:t>
      </w:r>
    </w:p>
    <w:p>
      <w:pPr>
        <w:pStyle w:val="2"/>
        <w:keepNext w:val="0"/>
        <w:keepLines w:val="0"/>
        <w:widowControl/>
        <w:suppressLineNumbers w:val="0"/>
        <w:spacing w:before="105" w:beforeAutospacing="0" w:after="0" w:afterAutospacing="0" w:line="570" w:lineRule="atLeast"/>
        <w:ind w:left="0" w:right="0" w:firstLine="0"/>
        <w:jc w:val="center"/>
        <w:rPr>
          <w:rFonts w:hint="default" w:ascii="Calibri" w:hAnsi="Calibri" w:cs="Calibri"/>
          <w:i w:val="0"/>
          <w:caps w:val="0"/>
          <w:color w:val="000000"/>
          <w:spacing w:val="0"/>
          <w:sz w:val="24"/>
          <w:szCs w:val="24"/>
        </w:rPr>
      </w:pPr>
      <w:r>
        <w:rPr>
          <w:rFonts w:hint="eastAsia" w:ascii="方正小标宋_GBK" w:hAnsi="方正小标宋_GBK" w:eastAsia="方正小标宋_GBK" w:cs="方正小标宋_GBK"/>
          <w:i w:val="0"/>
          <w:caps w:val="0"/>
          <w:color w:val="000000"/>
          <w:spacing w:val="0"/>
          <w:sz w:val="43"/>
          <w:szCs w:val="43"/>
        </w:rPr>
        <w:t>的通知</w:t>
      </w:r>
    </w:p>
    <w:p>
      <w:pPr>
        <w:pStyle w:val="2"/>
        <w:keepNext w:val="0"/>
        <w:keepLines w:val="0"/>
        <w:widowControl/>
        <w:suppressLineNumbers w:val="0"/>
        <w:spacing w:before="105" w:beforeAutospacing="0" w:after="0" w:afterAutospacing="0" w:line="570" w:lineRule="atLeast"/>
        <w:ind w:left="0" w:right="0" w:firstLine="0"/>
        <w:jc w:val="center"/>
        <w:rPr>
          <w:rFonts w:hint="default" w:ascii="Calibri" w:hAnsi="Calibri" w:cs="Calibri"/>
          <w:i w:val="0"/>
          <w:caps w:val="0"/>
          <w:color w:val="000000"/>
          <w:spacing w:val="0"/>
          <w:sz w:val="24"/>
          <w:szCs w:val="24"/>
        </w:rPr>
      </w:pPr>
      <w:r>
        <w:rPr>
          <w:rFonts w:ascii="方正仿宋_GBK" w:hAnsi="方正仿宋_GBK" w:eastAsia="方正仿宋_GBK" w:cs="方正仿宋_GBK"/>
          <w:i w:val="0"/>
          <w:caps w:val="0"/>
          <w:color w:val="000000"/>
          <w:spacing w:val="0"/>
          <w:sz w:val="31"/>
          <w:szCs w:val="31"/>
        </w:rPr>
        <w:t>万州白土</w:t>
      </w:r>
      <w:r>
        <w:rPr>
          <w:rFonts w:hint="eastAsia" w:ascii="方正仿宋_GBK" w:hAnsi="方正仿宋_GBK" w:eastAsia="方正仿宋_GBK" w:cs="方正仿宋_GBK"/>
          <w:i w:val="0"/>
          <w:caps w:val="0"/>
          <w:color w:val="000000"/>
          <w:spacing w:val="0"/>
          <w:sz w:val="31"/>
          <w:szCs w:val="31"/>
        </w:rPr>
        <w:t>府发〔</w:t>
      </w:r>
      <w:r>
        <w:rPr>
          <w:rFonts w:hint="default" w:ascii="Times New Roman" w:hAnsi="Times New Roman" w:cs="Times New Roman"/>
          <w:i w:val="0"/>
          <w:caps w:val="0"/>
          <w:color w:val="000000"/>
          <w:spacing w:val="0"/>
          <w:sz w:val="31"/>
          <w:szCs w:val="31"/>
        </w:rPr>
        <w:t>202</w:t>
      </w:r>
      <w:r>
        <w:rPr>
          <w:rFonts w:hint="eastAsia" w:ascii="Times New Roman" w:hAnsi="Times New Roman" w:eastAsia="方正小标宋_GBK" w:cs="Times New Roman"/>
          <w:i w:val="0"/>
          <w:caps w:val="0"/>
          <w:color w:val="000000"/>
          <w:spacing w:val="0"/>
          <w:sz w:val="31"/>
          <w:szCs w:val="31"/>
          <w:lang w:val="en-US" w:eastAsia="zh-CN"/>
        </w:rPr>
        <w:t>1</w:t>
      </w:r>
      <w:r>
        <w:rPr>
          <w:rFonts w:hint="eastAsia" w:ascii="方正仿宋_GBK" w:hAnsi="方正仿宋_GBK" w:eastAsia="方正仿宋_GBK" w:cs="方正仿宋_GBK"/>
          <w:i w:val="0"/>
          <w:caps w:val="0"/>
          <w:color w:val="000000"/>
          <w:spacing w:val="0"/>
          <w:sz w:val="31"/>
          <w:szCs w:val="31"/>
        </w:rPr>
        <w:t>〕</w:t>
      </w:r>
      <w:bookmarkStart w:id="0" w:name="_GoBack"/>
      <w:r>
        <w:rPr>
          <w:rFonts w:hint="eastAsia" w:ascii="Times New Roman" w:hAnsi="Times New Roman" w:eastAsia="方正小标宋_GBK" w:cs="Times New Roman"/>
          <w:i w:val="0"/>
          <w:caps w:val="0"/>
          <w:color w:val="000000"/>
          <w:spacing w:val="0"/>
          <w:sz w:val="31"/>
          <w:szCs w:val="31"/>
          <w:lang w:val="en-US" w:eastAsia="zh-CN"/>
        </w:rPr>
        <w:t>6</w:t>
      </w:r>
      <w:bookmarkEnd w:id="0"/>
      <w:r>
        <w:rPr>
          <w:rFonts w:hint="eastAsia" w:ascii="方正仿宋_GBK" w:hAnsi="方正仿宋_GBK" w:eastAsia="方正仿宋_GBK" w:cs="方正仿宋_GBK"/>
          <w:i w:val="0"/>
          <w:caps w:val="0"/>
          <w:color w:val="000000"/>
          <w:spacing w:val="0"/>
          <w:sz w:val="31"/>
          <w:szCs w:val="31"/>
        </w:rPr>
        <w:t>号</w:t>
      </w:r>
    </w:p>
    <w:p>
      <w:pPr>
        <w:pStyle w:val="2"/>
        <w:keepNext w:val="0"/>
        <w:keepLines w:val="0"/>
        <w:widowControl/>
        <w:suppressLineNumbers w:val="0"/>
        <w:spacing w:after="0" w:afterAutospacing="0" w:line="570" w:lineRule="atLeast"/>
        <w:ind w:left="0" w:firstLine="0"/>
        <w:rPr>
          <w:rFonts w:hint="default" w:ascii="Calibri" w:hAnsi="Calibri" w:cs="Calibri"/>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rPr>
        <w:t>各村（社区）：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645"/>
      </w:pPr>
      <w:r>
        <w:rPr>
          <w:rFonts w:hint="eastAsia" w:ascii="方正仿宋_GBK" w:hAnsi="方正仿宋_GBK" w:eastAsia="方正仿宋_GBK" w:cs="方正仿宋_GBK"/>
          <w:i w:val="0"/>
          <w:iCs w:val="0"/>
          <w:caps w:val="0"/>
          <w:color w:val="333333"/>
          <w:spacing w:val="0"/>
          <w:sz w:val="31"/>
          <w:szCs w:val="31"/>
          <w:shd w:val="clear" w:fill="FFFFFF"/>
        </w:rPr>
        <w:t>为认真落实党中央、国务院和市委、市政府决策部署，根据市政府开展农村房屋安全隐患排查整治工作要求，全面消除全区农村房屋安全隐患，切实保障人民群众生命财产安全</w:t>
      </w:r>
      <w:r>
        <w:rPr>
          <w:rFonts w:hint="eastAsia" w:ascii="方正仿宋_GBK" w:hAnsi="方正仿宋_GBK" w:eastAsia="方正仿宋_GBK" w:cs="方正仿宋_GBK"/>
          <w:i w:val="0"/>
          <w:iCs w:val="0"/>
          <w:caps w:val="0"/>
          <w:color w:val="333333"/>
          <w:spacing w:val="0"/>
          <w:sz w:val="31"/>
          <w:szCs w:val="31"/>
          <w:shd w:val="clear" w:fill="FFFFFF"/>
          <w:lang w:eastAsia="zh-CN"/>
        </w:rPr>
        <w:t>，</w:t>
      </w:r>
      <w:r>
        <w:rPr>
          <w:rFonts w:hint="eastAsia" w:ascii="方正仿宋_GBK" w:hAnsi="方正仿宋_GBK" w:eastAsia="方正仿宋_GBK" w:cs="方正仿宋_GBK"/>
          <w:i w:val="0"/>
          <w:iCs w:val="0"/>
          <w:caps w:val="0"/>
          <w:color w:val="333333"/>
          <w:spacing w:val="0"/>
          <w:sz w:val="31"/>
          <w:szCs w:val="31"/>
          <w:shd w:val="clear" w:fill="FFFFFF"/>
        </w:rPr>
        <w:t>《重庆市万州区开展农村房屋安全隐患排查整治工作方案》已经区政府同意，现印发给你们，请认真抓好落实。</w:t>
      </w:r>
    </w:p>
    <w:p>
      <w:pPr>
        <w:pStyle w:val="2"/>
        <w:keepNext w:val="0"/>
        <w:keepLines w:val="0"/>
        <w:widowControl/>
        <w:suppressLineNumbers w:val="0"/>
        <w:spacing w:after="0" w:afterAutospacing="0" w:line="570" w:lineRule="atLeast"/>
        <w:ind w:firstLine="480" w:firstLineChars="200"/>
        <w:rPr>
          <w:rFonts w:hint="eastAsia" w:ascii="Calibri" w:hAnsi="Calibri" w:eastAsia="方正仿宋_GBK" w:cs="Calibri"/>
          <w:i w:val="0"/>
          <w:caps w:val="0"/>
          <w:color w:val="000000"/>
          <w:spacing w:val="0"/>
          <w:sz w:val="24"/>
          <w:szCs w:val="24"/>
          <w:lang w:eastAsia="zh-CN"/>
        </w:rPr>
      </w:pPr>
    </w:p>
    <w:p>
      <w:pPr>
        <w:pStyle w:val="2"/>
        <w:keepNext w:val="0"/>
        <w:keepLines w:val="0"/>
        <w:widowControl/>
        <w:suppressLineNumbers w:val="0"/>
        <w:spacing w:after="0" w:afterAutospacing="0" w:line="570" w:lineRule="atLeast"/>
        <w:ind w:left="0" w:firstLine="4155"/>
        <w:rPr>
          <w:rFonts w:hint="default" w:ascii="Calibri" w:hAnsi="Calibri" w:cs="Calibri"/>
          <w:i w:val="0"/>
          <w:caps w:val="0"/>
          <w:color w:val="000000"/>
          <w:spacing w:val="0"/>
          <w:sz w:val="24"/>
          <w:szCs w:val="24"/>
        </w:rPr>
      </w:pPr>
      <w:r>
        <w:rPr>
          <w:rFonts w:hint="eastAsia" w:ascii="方正仿宋_GBK" w:hAnsi="方正仿宋_GBK" w:eastAsia="方正仿宋_GBK" w:cs="方正仿宋_GBK"/>
          <w:i w:val="0"/>
          <w:caps w:val="0"/>
          <w:color w:val="000000"/>
          <w:spacing w:val="0"/>
          <w:sz w:val="31"/>
          <w:szCs w:val="31"/>
        </w:rPr>
        <w:t>重庆市万州区白土镇人民政府</w:t>
      </w:r>
    </w:p>
    <w:p>
      <w:pPr>
        <w:pStyle w:val="2"/>
        <w:keepNext w:val="0"/>
        <w:keepLines w:val="0"/>
        <w:widowControl/>
        <w:suppressLineNumbers w:val="0"/>
        <w:spacing w:after="0" w:afterAutospacing="0" w:line="570" w:lineRule="atLeast"/>
        <w:ind w:left="0" w:firstLine="5115"/>
        <w:rPr>
          <w:rFonts w:hint="default" w:ascii="Calibri" w:hAnsi="Calibri" w:cs="Calibri"/>
          <w:i w:val="0"/>
          <w:caps w:val="0"/>
          <w:color w:val="000000"/>
          <w:spacing w:val="0"/>
          <w:sz w:val="24"/>
          <w:szCs w:val="24"/>
        </w:rPr>
      </w:pPr>
      <w:r>
        <w:rPr>
          <w:rFonts w:hint="default" w:ascii="Times New Roman" w:hAnsi="Times New Roman" w:cs="Times New Roman"/>
          <w:i w:val="0"/>
          <w:caps w:val="0"/>
          <w:color w:val="000000"/>
          <w:spacing w:val="0"/>
          <w:sz w:val="31"/>
          <w:szCs w:val="31"/>
        </w:rPr>
        <w:t>202</w:t>
      </w:r>
      <w:r>
        <w:rPr>
          <w:rFonts w:hint="eastAsia" w:ascii="Times New Roman" w:hAnsi="Times New Roman" w:cs="Times New Roman"/>
          <w:i w:val="0"/>
          <w:caps w:val="0"/>
          <w:color w:val="000000"/>
          <w:spacing w:val="0"/>
          <w:sz w:val="31"/>
          <w:szCs w:val="31"/>
          <w:lang w:val="en-US" w:eastAsia="zh-CN"/>
        </w:rPr>
        <w:t>1</w:t>
      </w:r>
      <w:r>
        <w:rPr>
          <w:rFonts w:hint="eastAsia" w:ascii="方正仿宋_GBK" w:hAnsi="方正仿宋_GBK" w:eastAsia="方正仿宋_GBK" w:cs="方正仿宋_GBK"/>
          <w:i w:val="0"/>
          <w:caps w:val="0"/>
          <w:color w:val="000000"/>
          <w:spacing w:val="0"/>
          <w:sz w:val="31"/>
          <w:szCs w:val="31"/>
        </w:rPr>
        <w:t>年</w:t>
      </w:r>
      <w:r>
        <w:rPr>
          <w:rFonts w:hint="default" w:ascii="Times New Roman" w:hAnsi="Times New Roman" w:eastAsia="serif"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月</w:t>
      </w:r>
      <w:r>
        <w:rPr>
          <w:rFonts w:hint="default" w:ascii="Times New Roman" w:hAnsi="Times New Roman" w:eastAsia="serif" w:cs="Times New Roman"/>
          <w:i w:val="0"/>
          <w:caps w:val="0"/>
          <w:color w:val="000000"/>
          <w:spacing w:val="0"/>
          <w:sz w:val="31"/>
          <w:szCs w:val="31"/>
        </w:rPr>
        <w:t>1</w:t>
      </w:r>
      <w:r>
        <w:rPr>
          <w:rFonts w:hint="eastAsia" w:ascii="Times New Roman" w:hAnsi="Times New Roman" w:eastAsia="serif" w:cs="Times New Roman"/>
          <w:i w:val="0"/>
          <w:caps w:val="0"/>
          <w:color w:val="000000"/>
          <w:spacing w:val="0"/>
          <w:sz w:val="31"/>
          <w:szCs w:val="31"/>
          <w:lang w:val="en-US" w:eastAsia="zh-CN"/>
        </w:rPr>
        <w:t>9</w:t>
      </w:r>
      <w:r>
        <w:rPr>
          <w:rFonts w:hint="eastAsia" w:ascii="方正仿宋_GBK" w:hAnsi="方正仿宋_GBK" w:eastAsia="方正仿宋_GBK" w:cs="方正仿宋_GBK"/>
          <w:i w:val="0"/>
          <w:caps w:val="0"/>
          <w:color w:val="000000"/>
          <w:spacing w:val="0"/>
          <w:sz w:val="31"/>
          <w:szCs w:val="31"/>
        </w:rPr>
        <w:t>日</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rPr>
          <w:rFonts w:ascii="方正小标宋_GBK" w:hAnsi="方正小标宋_GBK" w:eastAsia="方正小标宋_GBK" w:cs="方正小标宋_GBK"/>
          <w:i w:val="0"/>
          <w:iCs w:val="0"/>
          <w:caps w:val="0"/>
          <w:color w:val="333333"/>
          <w:spacing w:val="0"/>
          <w:sz w:val="43"/>
          <w:szCs w:val="43"/>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pPr>
      <w:r>
        <w:rPr>
          <w:rFonts w:ascii="方正小标宋_GBK" w:hAnsi="方正小标宋_GBK" w:eastAsia="方正小标宋_GBK" w:cs="方正小标宋_GBK"/>
          <w:i w:val="0"/>
          <w:iCs w:val="0"/>
          <w:caps w:val="0"/>
          <w:color w:val="333333"/>
          <w:spacing w:val="0"/>
          <w:sz w:val="43"/>
          <w:szCs w:val="43"/>
          <w:shd w:val="clear" w:fill="FFFFFF"/>
        </w:rPr>
        <w:t>重庆市万州区人民政府办公室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pPr>
      <w:r>
        <w:rPr>
          <w:rFonts w:hint="eastAsia" w:ascii="方正小标宋_GBK" w:hAnsi="方正小标宋_GBK" w:eastAsia="方正小标宋_GBK" w:cs="方正小标宋_GBK"/>
          <w:i w:val="0"/>
          <w:iCs w:val="0"/>
          <w:caps w:val="0"/>
          <w:color w:val="333333"/>
          <w:spacing w:val="0"/>
          <w:sz w:val="43"/>
          <w:szCs w:val="43"/>
          <w:shd w:val="clear" w:fill="FFFFFF"/>
        </w:rPr>
        <w:t>关于印发《重庆市万州区开展农村房屋安全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pPr>
      <w:r>
        <w:rPr>
          <w:rFonts w:hint="eastAsia" w:ascii="方正小标宋_GBK" w:hAnsi="方正小标宋_GBK" w:eastAsia="方正小标宋_GBK" w:cs="方正小标宋_GBK"/>
          <w:i w:val="0"/>
          <w:iCs w:val="0"/>
          <w:caps w:val="0"/>
          <w:color w:val="333333"/>
          <w:spacing w:val="0"/>
          <w:sz w:val="43"/>
          <w:szCs w:val="43"/>
          <w:shd w:val="clear" w:fill="FFFFFF"/>
        </w:rPr>
        <w:t>隐患排查整治工作方案》的通知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jc w:val="center"/>
      </w:pPr>
      <w:r>
        <w:rPr>
          <w:rFonts w:hint="eastAsia" w:ascii="方正仿宋_GBK" w:hAnsi="方正仿宋_GBK" w:eastAsia="方正仿宋_GBK" w:cs="方正仿宋_GBK"/>
          <w:i w:val="0"/>
          <w:iCs w:val="0"/>
          <w:caps w:val="0"/>
          <w:color w:val="333333"/>
          <w:spacing w:val="0"/>
          <w:sz w:val="31"/>
          <w:szCs w:val="31"/>
          <w:shd w:val="clear" w:fill="FFFFFF"/>
        </w:rPr>
        <w:t>万州府办发〔2020〕65号</w:t>
      </w:r>
      <w:r>
        <w:rPr>
          <w:rFonts w:hint="default" w:ascii="Times New Roman" w:hAnsi="Times New Roman" w:eastAsia="微软雅黑" w:cs="Times New Roman"/>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pPr>
      <w:r>
        <w:rPr>
          <w:rFonts w:hint="eastAsia" w:ascii="方正仿宋_GBK" w:hAnsi="方正仿宋_GBK" w:eastAsia="方正仿宋_GBK" w:cs="方正仿宋_GBK"/>
          <w:i w:val="0"/>
          <w:iCs w:val="0"/>
          <w:caps w:val="0"/>
          <w:color w:val="333333"/>
          <w:spacing w:val="0"/>
          <w:sz w:val="31"/>
          <w:szCs w:val="31"/>
          <w:shd w:val="clear" w:fill="FFFFFF"/>
        </w:rPr>
        <w:t>各镇乡（民族乡）人民政府、有关街道办事处，区政府有关部门，有关单位：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left="0" w:right="0" w:firstLine="645"/>
      </w:pPr>
      <w:r>
        <w:rPr>
          <w:rFonts w:hint="eastAsia" w:ascii="方正仿宋_GBK" w:hAnsi="方正仿宋_GBK" w:eastAsia="方正仿宋_GBK" w:cs="方正仿宋_GBK"/>
          <w:i w:val="0"/>
          <w:iCs w:val="0"/>
          <w:caps w:val="0"/>
          <w:color w:val="333333"/>
          <w:spacing w:val="0"/>
          <w:sz w:val="31"/>
          <w:szCs w:val="31"/>
          <w:shd w:val="clear" w:fill="FFFFFF"/>
        </w:rPr>
        <w:t>《重庆市万州区开展农村房屋安全隐患排查整治工作方案》已经区政府同意，现印发给你们，请认真抓好落实。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80"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pPr>
      <w:r>
        <w:rPr>
          <w:rFonts w:hint="eastAsia" w:ascii="方正仿宋_GBK" w:hAnsi="方正仿宋_GBK" w:eastAsia="方正仿宋_GBK" w:cs="方正仿宋_GBK"/>
          <w:i w:val="0"/>
          <w:iCs w:val="0"/>
          <w:caps w:val="0"/>
          <w:color w:val="333333"/>
          <w:spacing w:val="0"/>
          <w:sz w:val="31"/>
          <w:szCs w:val="31"/>
          <w:shd w:val="clear" w:fill="FFFFFF"/>
        </w:rPr>
        <w:t>重庆市万州区人民政府办公室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jc w:val="center"/>
      </w:pPr>
      <w:r>
        <w:rPr>
          <w:rFonts w:hint="eastAsia" w:ascii="方正仿宋_GBK" w:hAnsi="方正仿宋_GBK" w:eastAsia="方正仿宋_GBK" w:cs="方正仿宋_GBK"/>
          <w:i w:val="0"/>
          <w:iCs w:val="0"/>
          <w:caps w:val="0"/>
          <w:color w:val="333333"/>
          <w:spacing w:val="0"/>
          <w:sz w:val="31"/>
          <w:szCs w:val="31"/>
          <w:shd w:val="clear" w:fill="FFFFFF"/>
        </w:rPr>
        <w:t>2020年12月29日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jc w:val="center"/>
      </w:pPr>
      <w:r>
        <w:rPr>
          <w:rFonts w:hint="eastAsia" w:ascii="方正小标宋_GBK" w:hAnsi="方正小标宋_GBK" w:eastAsia="方正小标宋_GBK" w:cs="方正小标宋_GBK"/>
          <w:i w:val="0"/>
          <w:iCs w:val="0"/>
          <w:caps w:val="0"/>
          <w:color w:val="333333"/>
          <w:spacing w:val="0"/>
          <w:sz w:val="43"/>
          <w:szCs w:val="43"/>
          <w:shd w:val="clear" w:fill="FFFFFF"/>
        </w:rPr>
        <w:t>重庆市万州区开展农村房屋安全隐患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jc w:val="center"/>
      </w:pPr>
      <w:r>
        <w:rPr>
          <w:rFonts w:hint="eastAsia" w:ascii="方正小标宋_GBK" w:hAnsi="方正小标宋_GBK" w:eastAsia="方正小标宋_GBK" w:cs="方正小标宋_GBK"/>
          <w:i w:val="0"/>
          <w:iCs w:val="0"/>
          <w:caps w:val="0"/>
          <w:color w:val="333333"/>
          <w:spacing w:val="0"/>
          <w:sz w:val="43"/>
          <w:szCs w:val="43"/>
          <w:shd w:val="clear" w:fill="FFFFFF"/>
        </w:rPr>
        <w:t>排查整治工作方案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仿宋_GBK" w:hAnsi="方正仿宋_GBK" w:eastAsia="方正仿宋_GBK" w:cs="方正仿宋_GBK"/>
          <w:i w:val="0"/>
          <w:iCs w:val="0"/>
          <w:caps w:val="0"/>
          <w:color w:val="333333"/>
          <w:spacing w:val="0"/>
          <w:sz w:val="31"/>
          <w:szCs w:val="31"/>
          <w:shd w:val="clear" w:fill="FFFFFF"/>
        </w:rPr>
        <w:t>为认真落实党中央、国务院和市委、市政府决策部署，根据市政府开展农村房屋安全隐患排查整治工作要求，全面消除全区农村房屋安全隐患，切实保障人民群众生命财产安全，制定本工作方案。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1336" w:right="0" w:hanging="720"/>
      </w:pPr>
      <w:r>
        <w:rPr>
          <w:rFonts w:ascii="方正黑体_GBK" w:hAnsi="方正黑体_GBK" w:eastAsia="方正黑体_GBK" w:cs="方正黑体_GBK"/>
          <w:i w:val="0"/>
          <w:iCs w:val="0"/>
          <w:caps w:val="0"/>
          <w:color w:val="333333"/>
          <w:spacing w:val="0"/>
          <w:sz w:val="31"/>
          <w:szCs w:val="31"/>
          <w:shd w:val="clear" w:fill="FFFFFF"/>
        </w:rPr>
        <w:t>一、</w:t>
      </w:r>
      <w:r>
        <w:rPr>
          <w:rFonts w:hint="eastAsia" w:ascii="方正黑体_GBK" w:hAnsi="方正黑体_GBK" w:eastAsia="方正黑体_GBK" w:cs="方正黑体_GBK"/>
          <w:i w:val="0"/>
          <w:iCs w:val="0"/>
          <w:caps w:val="0"/>
          <w:color w:val="333333"/>
          <w:spacing w:val="0"/>
          <w:sz w:val="31"/>
          <w:szCs w:val="31"/>
          <w:shd w:val="clear" w:fill="FFFFFF"/>
        </w:rPr>
        <w:t>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仿宋_GBK" w:hAnsi="方正仿宋_GBK" w:eastAsia="方正仿宋_GBK" w:cs="方正仿宋_GBK"/>
          <w:i w:val="0"/>
          <w:iCs w:val="0"/>
          <w:caps w:val="0"/>
          <w:color w:val="333333"/>
          <w:spacing w:val="0"/>
          <w:sz w:val="31"/>
          <w:szCs w:val="31"/>
          <w:shd w:val="clear" w:fill="FFFFFF"/>
        </w:rPr>
        <w:t>深入贯彻习近平总书记关于安全生产的重要指示批示精神，牢固树立以人民为中心的发展思想，全面落实安全发展理念，强化红线思维和底线思维，深刻汲取事故教训，举一反三开展农村房屋安全隐患排查整治工作。全面落实属地责任，坚持“区政府主责、行业部门主管、镇乡街道落实”，坚持“谁辖区谁负责、谁使用谁负责、谁主管谁负责”，坚持“边排查、边整治，远近结合、标本兼治”，以用作经营的农村自建房为重点，依法依规有序开展农村房屋安全隐患排查整治工作，及时消除农村房屋重大安全风险隐患。适时开展农村房屋规划建设管理工作调研，力争用3年左右的时间，建立常态化农村房屋规划建设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黑体_GBK" w:hAnsi="方正黑体_GBK" w:eastAsia="方正黑体_GBK" w:cs="方正黑体_GBK"/>
          <w:i w:val="0"/>
          <w:iCs w:val="0"/>
          <w:caps w:val="0"/>
          <w:color w:val="333333"/>
          <w:spacing w:val="0"/>
          <w:sz w:val="31"/>
          <w:szCs w:val="31"/>
          <w:shd w:val="clear" w:fill="FFFFFF"/>
        </w:rPr>
        <w:t>二、开展排查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ascii="方正楷体_GBK" w:hAnsi="方正楷体_GBK" w:eastAsia="方正楷体_GBK" w:cs="方正楷体_GBK"/>
          <w:i w:val="0"/>
          <w:iCs w:val="0"/>
          <w:caps w:val="0"/>
          <w:color w:val="333333"/>
          <w:spacing w:val="0"/>
          <w:sz w:val="31"/>
          <w:szCs w:val="31"/>
          <w:shd w:val="clear" w:fill="FFFFFF"/>
        </w:rPr>
        <w:t>（一）排查范围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仿宋_GBK" w:hAnsi="方正仿宋_GBK" w:eastAsia="方正仿宋_GBK" w:cs="方正仿宋_GBK"/>
          <w:i w:val="0"/>
          <w:iCs w:val="0"/>
          <w:caps w:val="0"/>
          <w:color w:val="333333"/>
          <w:spacing w:val="0"/>
          <w:sz w:val="31"/>
          <w:szCs w:val="31"/>
          <w:shd w:val="clear" w:fill="FFFFFF"/>
        </w:rPr>
        <w:t>各镇乡、有关街道要对万州区城市建成区以外的所有房屋（包括公共建筑、经营性建筑）进行全面摸底。包括但不限于以下房屋：一是派出所、卫生院（私人诊所）、学校、敬老院、村级文化活动中心等人员密集使用的公共建筑；二是厂房、农贸市场、商场（店）、餐馆、酒店、农家乐等经营性建筑；三是排查范围内的所有住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楷体_GBK" w:hAnsi="方正楷体_GBK" w:eastAsia="方正楷体_GBK" w:cs="方正楷体_GBK"/>
          <w:i w:val="0"/>
          <w:iCs w:val="0"/>
          <w:caps w:val="0"/>
          <w:color w:val="333333"/>
          <w:spacing w:val="0"/>
          <w:sz w:val="31"/>
          <w:szCs w:val="31"/>
          <w:shd w:val="clear" w:fill="FFFFFF"/>
        </w:rPr>
        <w:t>（二）排查内容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仿宋_GBK" w:hAnsi="方正仿宋_GBK" w:eastAsia="方正仿宋_GBK" w:cs="方正仿宋_GBK"/>
          <w:i w:val="0"/>
          <w:iCs w:val="0"/>
          <w:caps w:val="0"/>
          <w:color w:val="333333"/>
          <w:spacing w:val="0"/>
          <w:sz w:val="31"/>
          <w:szCs w:val="31"/>
          <w:shd w:val="clear" w:fill="FFFFFF"/>
        </w:rPr>
        <w:t>各镇乡、有关街道要按照农村自建房和非自建房两种类型开展排查，全面摸清房屋基本情况。一是排查房屋基本情况，如产权人（使用人）信息、房屋规模、房屋建造年代、审批手续办理情况等；二是排查房屋选址安全情况，是否受滑坡、崩塌、地面沉陷、地裂缝、山洪、泥石等地质灾害的威胁；三是排查房屋主体结构安全情况，墙体是否存在倾斜、开裂现象，主要承重构件是否存在变形、歪扭情况等</w:t>
      </w:r>
      <w:r>
        <w:rPr>
          <w:rFonts w:hint="eastAsia" w:ascii="方正仿宋_GBK" w:hAnsi="方正仿宋_GBK" w:eastAsia="方正仿宋_GBK" w:cs="方正仿宋_GBK"/>
          <w:i w:val="0"/>
          <w:iCs w:val="0"/>
          <w:caps w:val="0"/>
          <w:color w:val="555555"/>
          <w:spacing w:val="0"/>
          <w:sz w:val="31"/>
          <w:szCs w:val="31"/>
          <w:shd w:val="clear" w:fill="FFFFFF"/>
        </w:rPr>
        <w:t>；</w:t>
      </w:r>
      <w:r>
        <w:rPr>
          <w:rFonts w:hint="eastAsia" w:ascii="方正仿宋_GBK" w:hAnsi="方正仿宋_GBK" w:eastAsia="方正仿宋_GBK" w:cs="方正仿宋_GBK"/>
          <w:i w:val="0"/>
          <w:iCs w:val="0"/>
          <w:caps w:val="0"/>
          <w:color w:val="333333"/>
          <w:spacing w:val="0"/>
          <w:sz w:val="31"/>
          <w:szCs w:val="31"/>
          <w:shd w:val="clear" w:fill="FFFFFF"/>
        </w:rPr>
        <w:t>四是排查房屋消防安全情况，针对同一时间内聚集人数超过50人的公共活动场所的建筑，如宾馆、饭店，商场、市场，公共娱乐场所，医院，养老院、托儿所、幼儿园，学校，集体宿舍，公共图书馆，客运车站、码头等人员密集场所必须同步开展消防安全排查，检查防火间距、消防设施、消防安全疏散等是否满足消防安全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楷体_GBK" w:hAnsi="方正楷体_GBK" w:eastAsia="方正楷体_GBK" w:cs="方正楷体_GBK"/>
          <w:i w:val="0"/>
          <w:iCs w:val="0"/>
          <w:caps w:val="0"/>
          <w:color w:val="333333"/>
          <w:spacing w:val="0"/>
          <w:sz w:val="31"/>
          <w:szCs w:val="31"/>
          <w:shd w:val="clear" w:fill="FFFFFF"/>
        </w:rPr>
        <w:t>（三）排查步骤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仿宋_GBK" w:hAnsi="方正仿宋_GBK" w:eastAsia="方正仿宋_GBK" w:cs="方正仿宋_GBK"/>
          <w:i w:val="0"/>
          <w:iCs w:val="0"/>
          <w:caps w:val="0"/>
          <w:color w:val="333333"/>
          <w:spacing w:val="0"/>
          <w:sz w:val="31"/>
          <w:szCs w:val="31"/>
          <w:shd w:val="clear" w:fill="FFFFFF"/>
        </w:rPr>
        <w:t>1.业务培训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仿宋_GBK" w:hAnsi="方正仿宋_GBK" w:eastAsia="方正仿宋_GBK" w:cs="方正仿宋_GBK"/>
          <w:i w:val="0"/>
          <w:iCs w:val="0"/>
          <w:caps w:val="0"/>
          <w:color w:val="333333"/>
          <w:spacing w:val="0"/>
          <w:sz w:val="31"/>
          <w:szCs w:val="31"/>
          <w:shd w:val="clear" w:fill="FFFFFF"/>
        </w:rPr>
        <w:t>（1）培训方式：由区住房城乡建委组织专家，对排查人员和专业技术人员开展1次视频集中培训，并分片开展现场培训，现场培训每3个村开展一次。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仿宋_GBK" w:hAnsi="方正仿宋_GBK" w:eastAsia="方正仿宋_GBK" w:cs="方正仿宋_GBK"/>
          <w:i w:val="0"/>
          <w:iCs w:val="0"/>
          <w:caps w:val="0"/>
          <w:color w:val="333333"/>
          <w:spacing w:val="0"/>
          <w:sz w:val="31"/>
          <w:szCs w:val="31"/>
          <w:shd w:val="clear" w:fill="FFFFFF"/>
        </w:rPr>
        <w:t>（2）培训对象：一是专业技术人员，主要是具备初级以上职称、有相关专业或者培训合格的农村建筑工匠，每个行政村（居）按1名技术人员要求配备。同时，每5个行政村（居）由区级派驻1名专业技术人员参与培训。二是排查人员主要是镇乡（街道）干部、村居干部、驻村工作队等人员，每个行政村（居）按4-5名要求配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仿宋_GBK" w:hAnsi="方正仿宋_GBK" w:eastAsia="方正仿宋_GBK" w:cs="方正仿宋_GBK"/>
          <w:i w:val="0"/>
          <w:iCs w:val="0"/>
          <w:caps w:val="0"/>
          <w:color w:val="333333"/>
          <w:spacing w:val="0"/>
          <w:sz w:val="31"/>
          <w:szCs w:val="31"/>
          <w:shd w:val="clear" w:fill="FFFFFF"/>
        </w:rPr>
        <w:t>2.摸底排查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仿宋_GBK" w:hAnsi="方正仿宋_GBK" w:eastAsia="方正仿宋_GBK" w:cs="方正仿宋_GBK"/>
          <w:i w:val="0"/>
          <w:iCs w:val="0"/>
          <w:caps w:val="0"/>
          <w:color w:val="333333"/>
          <w:spacing w:val="0"/>
          <w:sz w:val="31"/>
          <w:szCs w:val="31"/>
          <w:shd w:val="clear" w:fill="FFFFFF"/>
        </w:rPr>
        <w:t>（1）重点排查。对用作经营的农村房屋开展重点排查，包括但不限于：一是公安派出所、医院（私人诊所）、学校、养（敬）老院、村级文化活动中心、客运站等人员聚集使用的公共建筑；二是用于生产经营的厂房、农贸市场（商店、超市）、酒店（含民宿、农家乐、餐馆等）；三是用于出租特别是群租牟利的农村房屋；四是改变房屋结构、搭建改建扩建的农村房屋；五是建设标准低、使用预制板建设的农村房屋。位于城乡结合部、中心城区周边等重点区域，未经审批、未经专业设计施工用作经营的农村房屋，要作为本次摸底排查的重中之重。此项工作在2020年底前基本完成、2021年1月底前全面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仿宋_GBK" w:hAnsi="方正仿宋_GBK" w:eastAsia="方正仿宋_GBK" w:cs="方正仿宋_GBK"/>
          <w:i w:val="0"/>
          <w:iCs w:val="0"/>
          <w:caps w:val="0"/>
          <w:color w:val="333333"/>
          <w:spacing w:val="0"/>
          <w:sz w:val="31"/>
          <w:szCs w:val="31"/>
          <w:shd w:val="clear" w:fill="FFFFFF"/>
        </w:rPr>
        <w:t>（2）全面排查。在重点排查的同时，各镇乡、有关街道要对万州城市建成区外的房屋同步开展全面摸底排查，排查内容主要包括房屋结构安全、使用安全、地质和周边环境安全等，同时对各类房屋安全隐患作出初步判断。此项工作在2021年6月底前基本完成、2021年7月底前全面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仿宋_GBK" w:hAnsi="方正仿宋_GBK" w:eastAsia="方正仿宋_GBK" w:cs="方正仿宋_GBK"/>
          <w:i w:val="0"/>
          <w:iCs w:val="0"/>
          <w:caps w:val="0"/>
          <w:color w:val="333333"/>
          <w:spacing w:val="0"/>
          <w:sz w:val="31"/>
          <w:szCs w:val="31"/>
          <w:shd w:val="clear" w:fill="FFFFFF"/>
        </w:rPr>
        <w:t>3.排查方式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仿宋_GBK" w:hAnsi="方正仿宋_GBK" w:eastAsia="方正仿宋_GBK" w:cs="方正仿宋_GBK"/>
          <w:i w:val="0"/>
          <w:iCs w:val="0"/>
          <w:caps w:val="0"/>
          <w:color w:val="333333"/>
          <w:spacing w:val="0"/>
          <w:sz w:val="31"/>
          <w:szCs w:val="31"/>
          <w:shd w:val="clear" w:fill="FFFFFF"/>
        </w:rPr>
        <w:t>（1）镇乡街道排查。由镇乡街道组织排查人员、房屋产权人（使用人）、技术人员共同实地逐栋逐户开展房屋安全排查，采集农村房屋基本信息、建设手续情况、改造情况、用途改变情况、安全情况、整治情况等，同时填写《农村房屋安全信息采集表》（详见附件1、2），并由产权人（使用人）、排查人、专业技术人员、镇乡街道负责人签字。镇乡街道配备的排查人员负责排查所有房屋，区级派驻的技术人员必须参与经营性场所、人员密集场所和公共建筑的排查。已经鉴定且房屋状况未发生变化的房屋可以采用原房屋安全鉴定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仿宋_GBK" w:hAnsi="方正仿宋_GBK" w:eastAsia="方正仿宋_GBK" w:cs="方正仿宋_GBK"/>
          <w:i w:val="0"/>
          <w:iCs w:val="0"/>
          <w:caps w:val="0"/>
          <w:color w:val="333333"/>
          <w:spacing w:val="0"/>
          <w:sz w:val="31"/>
          <w:szCs w:val="31"/>
          <w:shd w:val="clear" w:fill="FFFFFF"/>
        </w:rPr>
        <w:t>（2）区级核查。各镇乡、有关街道排查结束后，区政府将组织相关部门开展实地抽查，抽查应采取“四不两直”和“双随机”检查方式开展，必要时可抽调专业技术人员参加。对抽查发现的问题，要督促相关镇乡街道及时予以整改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仿宋_GBK" w:hAnsi="方正仿宋_GBK" w:eastAsia="方正仿宋_GBK" w:cs="方正仿宋_GBK"/>
          <w:i w:val="0"/>
          <w:iCs w:val="0"/>
          <w:caps w:val="0"/>
          <w:color w:val="333333"/>
          <w:spacing w:val="0"/>
          <w:sz w:val="31"/>
          <w:szCs w:val="31"/>
          <w:shd w:val="clear" w:fill="FFFFFF"/>
        </w:rPr>
        <w:t>（3）信息录入。经核查无误后，由镇乡、有关街道建立台账，组织人员将排查情况逐栋逐户现场录入农村房屋综合信息管理平台（APP）。</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616" w:right="0"/>
      </w:pPr>
      <w:r>
        <w:rPr>
          <w:rFonts w:hint="eastAsia" w:ascii="方正黑体_GBK" w:hAnsi="方正黑体_GBK" w:eastAsia="方正黑体_GBK" w:cs="方正黑体_GBK"/>
          <w:i w:val="0"/>
          <w:iCs w:val="0"/>
          <w:caps w:val="0"/>
          <w:color w:val="333333"/>
          <w:spacing w:val="0"/>
          <w:sz w:val="31"/>
          <w:szCs w:val="31"/>
          <w:shd w:val="clear" w:fill="FFFFFF"/>
        </w:rPr>
        <w:t>三、隐患整治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楷体_GBK" w:hAnsi="方正楷体_GBK" w:eastAsia="方正楷体_GBK" w:cs="方正楷体_GBK"/>
          <w:i w:val="0"/>
          <w:iCs w:val="0"/>
          <w:caps w:val="0"/>
          <w:color w:val="333333"/>
          <w:spacing w:val="0"/>
          <w:sz w:val="31"/>
          <w:szCs w:val="31"/>
          <w:shd w:val="clear" w:fill="FFFFFF"/>
        </w:rPr>
        <w:t>（一）重点整治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仿宋_GBK" w:hAnsi="方正仿宋_GBK" w:eastAsia="方正仿宋_GBK" w:cs="方正仿宋_GBK"/>
          <w:i w:val="0"/>
          <w:iCs w:val="0"/>
          <w:caps w:val="0"/>
          <w:color w:val="333333"/>
          <w:spacing w:val="0"/>
          <w:sz w:val="31"/>
          <w:szCs w:val="31"/>
          <w:shd w:val="clear" w:fill="FFFFFF"/>
        </w:rPr>
        <w:t>有关镇乡街道要以排查发现存在安全隐患的用作经营的农村房屋为重点开展整治，力争2021年6月底前基本完成、2021年7月底前全面完成。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仿宋_GBK" w:hAnsi="方正仿宋_GBK" w:eastAsia="方正仿宋_GBK" w:cs="方正仿宋_GBK"/>
          <w:i w:val="0"/>
          <w:iCs w:val="0"/>
          <w:caps w:val="0"/>
          <w:color w:val="333333"/>
          <w:spacing w:val="0"/>
          <w:sz w:val="31"/>
          <w:szCs w:val="31"/>
          <w:shd w:val="clear" w:fill="FFFFFF"/>
        </w:rPr>
        <w:t>1.制定整治方案。有关镇乡街道要针对排查发现的安全隐患，结合专业技术人员提出整治措施，汇总安全隐患情况，综合制定重点整治方案，明确整治重点、技术路线、力量组织、工作经费、时限要求等，并报送联席会议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仿宋_GBK" w:hAnsi="方正仿宋_GBK" w:eastAsia="方正仿宋_GBK" w:cs="方正仿宋_GBK"/>
          <w:i w:val="0"/>
          <w:iCs w:val="0"/>
          <w:caps w:val="0"/>
          <w:color w:val="333333"/>
          <w:spacing w:val="0"/>
          <w:sz w:val="31"/>
          <w:szCs w:val="31"/>
          <w:shd w:val="clear" w:fill="FFFFFF"/>
        </w:rPr>
        <w:t>2.组织房屋安全等级鉴定。对经排查初步判断存在安全隐患且用作经营的农村房屋，有关镇乡街道要督促房屋使用安全责任人及时聘请有资质的专业机构，开展房屋安全等级鉴定，出具鉴定报告。经鉴定确有安全隐患的，要明确整治措施和整治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仿宋_GBK" w:hAnsi="方正仿宋_GBK" w:eastAsia="方正仿宋_GBK" w:cs="方正仿宋_GBK"/>
          <w:i w:val="0"/>
          <w:iCs w:val="0"/>
          <w:caps w:val="0"/>
          <w:color w:val="333333"/>
          <w:spacing w:val="0"/>
          <w:sz w:val="31"/>
          <w:szCs w:val="31"/>
          <w:shd w:val="clear" w:fill="FFFFFF"/>
        </w:rPr>
        <w:t>3.整治要求。坚持“急的先查先治”原则，对排查发现存在重大安全隐患的农村房屋，有关镇乡街道必须及时采取针对性措施彻底整治，该搬离的立即搬离、该停用的立即停用、该拆除的立即拆除、该加固的立即加固、该封存的立即封存，做到全面消除安全隐患，坚决遏制房屋安全事故。对存在一般安全隐患的房屋，要责令产权人（使用人）采取措施及时消除隐患。有关镇乡街道要切实加强巡查监测，确保农村房屋整治过渡期间的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仿宋_GBK" w:hAnsi="方正仿宋_GBK" w:eastAsia="方正仿宋_GBK" w:cs="方正仿宋_GBK"/>
          <w:i w:val="0"/>
          <w:iCs w:val="0"/>
          <w:caps w:val="0"/>
          <w:color w:val="333333"/>
          <w:spacing w:val="0"/>
          <w:sz w:val="31"/>
          <w:szCs w:val="31"/>
          <w:shd w:val="clear" w:fill="FFFFFF"/>
        </w:rPr>
        <w:t>4.落实产权人（使用人）主体责任。房屋产权人（使用人）是房屋安全隐患治理的第一责任人，应对存在安全隐患的采取整治措施。对产权人（使用人）未按要求落实整治措施的，应依法强制执行。对将危险房屋作为经营场所，特别是无证无照从事经营的，要依法进行处理。对经营性房屋违规乱搭乱建的，要立即督促进行整治。对以暴力、威胁、恐吓干扰排查整治行动涉嫌违法犯罪的产权人（使用人），由公安机关依法查处；对产权人（使用人）涉嫌犯罪的，要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仿宋_GBK" w:hAnsi="方正仿宋_GBK" w:eastAsia="方正仿宋_GBK" w:cs="方正仿宋_GBK"/>
          <w:i w:val="0"/>
          <w:iCs w:val="0"/>
          <w:caps w:val="0"/>
          <w:color w:val="333333"/>
          <w:spacing w:val="0"/>
          <w:sz w:val="31"/>
          <w:szCs w:val="31"/>
          <w:shd w:val="clear" w:fill="FFFFFF"/>
        </w:rPr>
        <w:t>5.落实销号制度。有关镇乡街道要建立重点整治台账，实行销号管理，做到整治一户、销号一户。区级主管部门要按职能职责督促指导镇乡街道对整治完成的农村房屋进行逐户复核，对按要求完成整治的及时销号，对未按要求完成整治的严禁销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楷体_GBK" w:hAnsi="方正楷体_GBK" w:eastAsia="方正楷体_GBK" w:cs="方正楷体_GBK"/>
          <w:i w:val="0"/>
          <w:iCs w:val="0"/>
          <w:caps w:val="0"/>
          <w:color w:val="333333"/>
          <w:spacing w:val="0"/>
          <w:sz w:val="31"/>
          <w:szCs w:val="31"/>
          <w:shd w:val="clear" w:fill="FFFFFF"/>
        </w:rPr>
        <w:t>（二）全面整治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仿宋_GBK" w:hAnsi="方正仿宋_GBK" w:eastAsia="方正仿宋_GBK" w:cs="方正仿宋_GBK"/>
          <w:i w:val="0"/>
          <w:iCs w:val="0"/>
          <w:caps w:val="0"/>
          <w:color w:val="333333"/>
          <w:spacing w:val="0"/>
          <w:sz w:val="31"/>
          <w:szCs w:val="31"/>
          <w:shd w:val="clear" w:fill="FFFFFF"/>
        </w:rPr>
        <w:t>各镇乡、有关街道要在摸底排查和重点整治基础上，根据本地实际情况，对存在安全隐患的未用作经营的房屋制定整治计划，坚持产权人（使用人）主体责任，落实属地责任和行业监管责任，力争用3年左右时间基本完成安全隐患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仿宋_GBK" w:hAnsi="方正仿宋_GBK" w:eastAsia="方正仿宋_GBK" w:cs="方正仿宋_GBK"/>
          <w:i w:val="0"/>
          <w:iCs w:val="0"/>
          <w:caps w:val="0"/>
          <w:color w:val="333333"/>
          <w:spacing w:val="0"/>
          <w:sz w:val="31"/>
          <w:szCs w:val="31"/>
          <w:shd w:val="clear" w:fill="FFFFFF"/>
        </w:rPr>
        <w:t>要坚持问题导向和目标导向相结合，加快研究建立农村房屋规划建设管理使用长效机制，建立农村房屋建设用地、规划、设计、施工、经营、改扩建和变更用途等全过程管理制度，加强农村房屋设计、施工和建设队伍管理，提高农村房屋建设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黑体_GBK" w:hAnsi="方正黑体_GBK" w:eastAsia="方正黑体_GBK" w:cs="方正黑体_GBK"/>
          <w:i w:val="0"/>
          <w:iCs w:val="0"/>
          <w:caps w:val="0"/>
          <w:color w:val="333333"/>
          <w:spacing w:val="0"/>
          <w:sz w:val="31"/>
          <w:szCs w:val="31"/>
          <w:shd w:val="clear" w:fill="FFFFFF"/>
        </w:rPr>
        <w:t>四、保障措施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楷体_GBK" w:hAnsi="方正楷体_GBK" w:eastAsia="方正楷体_GBK" w:cs="方正楷体_GBK"/>
          <w:i w:val="0"/>
          <w:iCs w:val="0"/>
          <w:caps w:val="0"/>
          <w:color w:val="333333"/>
          <w:spacing w:val="0"/>
          <w:sz w:val="31"/>
          <w:szCs w:val="31"/>
          <w:shd w:val="clear" w:fill="FFFFFF"/>
        </w:rPr>
        <w:t>（一）强化组织领导。</w:t>
      </w:r>
      <w:r>
        <w:rPr>
          <w:rFonts w:hint="eastAsia" w:ascii="方正仿宋_GBK" w:hAnsi="方正仿宋_GBK" w:eastAsia="方正仿宋_GBK" w:cs="方正仿宋_GBK"/>
          <w:i w:val="0"/>
          <w:iCs w:val="0"/>
          <w:caps w:val="0"/>
          <w:color w:val="333333"/>
          <w:spacing w:val="0"/>
          <w:sz w:val="31"/>
          <w:szCs w:val="31"/>
          <w:shd w:val="clear" w:fill="FFFFFF"/>
        </w:rPr>
        <w:t>建立全区农村房屋安全隐患排查整治工作联席会议制度，联席会议由区政府区长任召集人、分管副区长任副召集人，联席会议办公室设在区住房城乡建委。区住房城乡建委、区应急局、区规划自然资源局、区农业农村委、区市场监管局、区城市管理局为牵头单位，区委统战部、区教委、区公安局、区民政局、区司法局、区财政局、区文化旅游委、区卫生健康委、区消防救援支队为成员单位。落实“区政府主责、行业部门主管、镇乡街道落实”工作机制，各镇乡、有关街道主要负责人作为第一责任人，要亲自部署，靠前指挥，抓好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楷体_GBK" w:hAnsi="方正楷体_GBK" w:eastAsia="方正楷体_GBK" w:cs="方正楷体_GBK"/>
          <w:i w:val="0"/>
          <w:iCs w:val="0"/>
          <w:caps w:val="0"/>
          <w:color w:val="333333"/>
          <w:spacing w:val="0"/>
          <w:sz w:val="31"/>
          <w:szCs w:val="31"/>
          <w:shd w:val="clear" w:fill="FFFFFF"/>
        </w:rPr>
        <w:t>（二）细化部门分工。</w:t>
      </w:r>
      <w:r>
        <w:rPr>
          <w:rFonts w:hint="eastAsia" w:ascii="方正仿宋_GBK" w:hAnsi="方正仿宋_GBK" w:eastAsia="方正仿宋_GBK" w:cs="方正仿宋_GBK"/>
          <w:i w:val="0"/>
          <w:iCs w:val="0"/>
          <w:caps w:val="0"/>
          <w:color w:val="333333"/>
          <w:spacing w:val="0"/>
          <w:sz w:val="31"/>
          <w:szCs w:val="31"/>
          <w:shd w:val="clear" w:fill="FFFFFF"/>
        </w:rPr>
        <w:t>各行业主管部门要根据职能职责，将应当纳入行业安全监管范围的房屋建筑全部纳入安全监管范围，形成齐抓共管的强大合力。区住房城乡建委负责指导农村住房建设，牵头组织农村房屋安全隐患排查整治工作，搭建共享农村房屋综合信息管理平台。区应急管理局、区消防救援支队负责指导农村人员密集场所房屋的消防安全管理。区规划自然资源局负责指导农村依法依规用地，做好地质灾害易发区的灾害风险排查，指导镇乡街道开展违法搭建、违法改扩建等行为排查整治。区农业农村委负责组织指导农村人居环境和村庄整治，按职责负责建新房拆旧房、农村宅基地管理有关工作。区市场监管局负责指导农村经营场所涉及的营业执照和食品经营许可证复查工作。区城市管理局负责开展城市规划建设用地范围内违法搭建、违法改扩建等行为排查整治。区委统战部负责指导农村宗教活动场所安全管理。区教委负责指导农村学校、幼儿园、培训机构房屋安全管理。区公安局负责指导农村旅馆业特种行业许可证复核工作。区民政局负责指导农村养老机构场所安全管理。区司法局负责法律咨询、司法调解等工作，配合有关方面完善农村房屋建设管理制度，强化法制保障。区财政局负责将农村房屋安全排查和管理等相关经费纳入本级政府预算。区文化旅游委负责指导农村文化和旅游场所安全管理。区卫生健康委负责指导农村医疗场所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楷体_GBK" w:hAnsi="方正楷体_GBK" w:eastAsia="方正楷体_GBK" w:cs="方正楷体_GBK"/>
          <w:i w:val="0"/>
          <w:iCs w:val="0"/>
          <w:caps w:val="0"/>
          <w:color w:val="333333"/>
          <w:spacing w:val="0"/>
          <w:sz w:val="31"/>
          <w:szCs w:val="31"/>
          <w:shd w:val="clear" w:fill="FFFFFF"/>
        </w:rPr>
        <w:t>（三）强化督促指导。</w:t>
      </w:r>
      <w:r>
        <w:rPr>
          <w:rFonts w:hint="eastAsia" w:ascii="方正仿宋_GBK" w:hAnsi="方正仿宋_GBK" w:eastAsia="方正仿宋_GBK" w:cs="方正仿宋_GBK"/>
          <w:i w:val="0"/>
          <w:iCs w:val="0"/>
          <w:caps w:val="0"/>
          <w:color w:val="333333"/>
          <w:spacing w:val="0"/>
          <w:sz w:val="31"/>
          <w:szCs w:val="31"/>
          <w:shd w:val="clear" w:fill="FFFFFF"/>
        </w:rPr>
        <w:t>区住房城乡建委要加强对镇乡街道的督促指导，对农村房屋安全隐患排查整治工作进展缓慢、推诿扯皮、排查不实的，予以通报；对问题严重的，约谈相关负责人；对工作中失职失责、不作为、乱作为的干部要提请区纪委监委严肃问责。自2020年12月起，各镇乡、有关街道需每半月将工作进展情况报全区农村房屋安全隐患排查整治工作联席会议办公室（联系人：张敬伟，联系电话：15023425566，电子邮箱：469636438@qq.com）。全区农村房屋安全隐患排查整治工作联席会议办公室将每半月通报工作进展情况，并适时组织区级部门对工作进度滞后的镇乡街道进行督促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楷体_GBK" w:hAnsi="方正楷体_GBK" w:eastAsia="方正楷体_GBK" w:cs="方正楷体_GBK"/>
          <w:i w:val="0"/>
          <w:iCs w:val="0"/>
          <w:caps w:val="0"/>
          <w:color w:val="333333"/>
          <w:spacing w:val="0"/>
          <w:sz w:val="31"/>
          <w:szCs w:val="31"/>
          <w:shd w:val="clear" w:fill="FFFFFF"/>
        </w:rPr>
        <w:t>（四）做好宣传引导。</w:t>
      </w:r>
      <w:r>
        <w:rPr>
          <w:rFonts w:hint="eastAsia" w:ascii="方正仿宋_GBK" w:hAnsi="方正仿宋_GBK" w:eastAsia="方正仿宋_GBK" w:cs="方正仿宋_GBK"/>
          <w:i w:val="0"/>
          <w:iCs w:val="0"/>
          <w:caps w:val="0"/>
          <w:color w:val="333333"/>
          <w:spacing w:val="0"/>
          <w:sz w:val="31"/>
          <w:szCs w:val="31"/>
          <w:shd w:val="clear" w:fill="FFFFFF"/>
        </w:rPr>
        <w:t>各镇乡、有关街道要利用网络、电视、广播、自媒体、镇乡（村）政务公开栏等进行广泛宣传，全面深入开展农村房屋安全科普教育，引导广大干部群众充分认识农村房屋安全的重要性，不断增强农村群众的房屋安全意识，提高排查整治房屋安全隐患的积极性、主动性。要督促镇乡街道成立农村房屋排查整治劝导工作小组，对不配合、不支持排查整治工作的农村群众，有针对性地做好解释引导工作，有效化解影响社会稳定的风险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pPr>
      <w:r>
        <w:rPr>
          <w:rFonts w:hint="eastAsia" w:ascii="方正仿宋_GBK" w:hAnsi="方正仿宋_GBK" w:eastAsia="方正仿宋_GBK" w:cs="方正仿宋_GBK"/>
          <w:i w:val="0"/>
          <w:iCs w:val="0"/>
          <w:caps w:val="0"/>
          <w:color w:val="333333"/>
          <w:spacing w:val="0"/>
          <w:sz w:val="31"/>
          <w:szCs w:val="31"/>
          <w:shd w:val="clear" w:fill="FFFFFF"/>
        </w:rPr>
        <w:t>附件：1.农村房屋安全信息采集表（自建房）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1546" w:right="0"/>
      </w:pPr>
      <w:r>
        <w:rPr>
          <w:rFonts w:hint="eastAsia" w:ascii="方正仿宋_GBK" w:hAnsi="方正仿宋_GBK" w:eastAsia="方正仿宋_GBK" w:cs="方正仿宋_GBK"/>
          <w:i w:val="0"/>
          <w:iCs w:val="0"/>
          <w:caps w:val="0"/>
          <w:color w:val="333333"/>
          <w:spacing w:val="0"/>
          <w:sz w:val="31"/>
          <w:szCs w:val="31"/>
          <w:shd w:val="clear" w:fill="FFFFFF"/>
        </w:rPr>
        <w:t>2.农村房屋安全信息采集表（非自建房）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1620"/>
      </w:pPr>
      <w:r>
        <w:rPr>
          <w:rFonts w:hint="eastAsia" w:ascii="方正仿宋_GBK" w:hAnsi="方正仿宋_GBK" w:eastAsia="方正仿宋_GBK" w:cs="方正仿宋_GBK"/>
          <w:i w:val="0"/>
          <w:iCs w:val="0"/>
          <w:caps w:val="0"/>
          <w:color w:val="333333"/>
          <w:spacing w:val="0"/>
          <w:sz w:val="31"/>
          <w:szCs w:val="31"/>
          <w:shd w:val="clear" w:fill="FFFFFF"/>
        </w:rPr>
        <w:t>3.农村房屋安全信息排查统计汇总表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1290" w:firstLine="129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1290" w:firstLine="129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1290" w:firstLine="129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1290" w:firstLine="129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1290" w:firstLine="129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1290" w:firstLine="129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1290" w:firstLine="129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1290" w:firstLine="129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1290" w:firstLine="129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1290" w:firstLine="129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1290" w:firstLine="129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1290" w:firstLine="129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1290" w:firstLine="129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1290" w:firstLine="129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1290" w:firstLine="129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76" w:right="0" w:hanging="360"/>
      </w:pPr>
      <w:r>
        <w:rPr>
          <w:rFonts w:hint="eastAsia" w:ascii="方正黑体_GBK" w:hAnsi="方正黑体_GBK" w:eastAsia="方正黑体_GBK" w:cs="方正黑体_GBK"/>
          <w:i w:val="0"/>
          <w:iCs w:val="0"/>
          <w:caps w:val="0"/>
          <w:color w:val="333333"/>
          <w:spacing w:val="0"/>
          <w:sz w:val="31"/>
          <w:szCs w:val="31"/>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120" w:right="0" w:hanging="405"/>
        <w:jc w:val="center"/>
      </w:pPr>
      <w:r>
        <w:rPr>
          <w:rFonts w:hint="eastAsia" w:ascii="方正小标宋_GBK" w:hAnsi="方正小标宋_GBK" w:eastAsia="方正小标宋_GBK" w:cs="方正小标宋_GBK"/>
          <w:i w:val="0"/>
          <w:iCs w:val="0"/>
          <w:caps w:val="0"/>
          <w:color w:val="333333"/>
          <w:spacing w:val="0"/>
          <w:sz w:val="36"/>
          <w:szCs w:val="36"/>
          <w:shd w:val="clear" w:fill="FFFFFF"/>
        </w:rPr>
        <w:t>农村房屋安全信息采集表（自建房）</w:t>
      </w:r>
    </w:p>
    <w:tbl>
      <w:tblPr>
        <w:tblStyle w:val="3"/>
        <w:tblW w:w="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425"/>
        <w:gridCol w:w="1167"/>
        <w:gridCol w:w="1126"/>
        <w:gridCol w:w="759"/>
        <w:gridCol w:w="181"/>
        <w:gridCol w:w="1004"/>
        <w:gridCol w:w="432"/>
        <w:gridCol w:w="242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5" w:hRule="atLeast"/>
          <w:jc w:val="center"/>
        </w:trPr>
        <w:tc>
          <w:tcPr>
            <w:tcW w:w="9690" w:type="dxa"/>
            <w:gridSpan w:val="8"/>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Style w:val="5"/>
                <w:rFonts w:hint="default" w:ascii="Times New Roman" w:hAnsi="Times New Roman" w:cs="Times New Roman"/>
                <w:color w:val="333333"/>
                <w:sz w:val="21"/>
                <w:szCs w:val="21"/>
              </w:rPr>
              <w:t>第一部分：基本信息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jc w:val="center"/>
        </w:trPr>
        <w:tc>
          <w:tcPr>
            <w:tcW w:w="165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地址</w:t>
            </w:r>
          </w:p>
        </w:tc>
        <w:tc>
          <w:tcPr>
            <w:tcW w:w="8040" w:type="dxa"/>
            <w:gridSpan w:val="7"/>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pPr>
            <w:r>
              <w:rPr>
                <w:rFonts w:hint="default" w:ascii="Times New Roman" w:hAnsi="Times New Roman" w:cs="Times New Roman"/>
                <w:color w:val="333333"/>
                <w:sz w:val="21"/>
                <w:szCs w:val="21"/>
              </w:rPr>
              <w:t>区县乡镇（街道）村（居委）组（社）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路（街巷）号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5" w:hRule="atLeast"/>
          <w:jc w:val="center"/>
        </w:trPr>
        <w:tc>
          <w:tcPr>
            <w:tcW w:w="16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□产权人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□使用人</w:t>
            </w:r>
          </w:p>
        </w:tc>
        <w:tc>
          <w:tcPr>
            <w:tcW w:w="124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姓名</w:t>
            </w:r>
          </w:p>
        </w:tc>
        <w:tc>
          <w:tcPr>
            <w:tcW w:w="2415" w:type="dxa"/>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1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身份证号</w:t>
            </w:r>
          </w:p>
        </w:tc>
        <w:tc>
          <w:tcPr>
            <w:tcW w:w="321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5" w:hRule="atLeast"/>
          <w:jc w:val="center"/>
        </w:trPr>
        <w:tc>
          <w:tcPr>
            <w:tcW w:w="16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建筑层数</w:t>
            </w:r>
          </w:p>
        </w:tc>
        <w:tc>
          <w:tcPr>
            <w:tcW w:w="3660" w:type="dxa"/>
            <w:gridSpan w:val="4"/>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□1层   □2层   □3层及以上</w:t>
            </w:r>
          </w:p>
        </w:tc>
        <w:tc>
          <w:tcPr>
            <w:tcW w:w="11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建筑面积</w:t>
            </w:r>
          </w:p>
        </w:tc>
        <w:tc>
          <w:tcPr>
            <w:tcW w:w="321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m</w:t>
            </w:r>
            <w:r>
              <w:rPr>
                <w:rFonts w:hint="default" w:ascii="Times New Roman" w:hAnsi="Times New Roman" w:cs="Times New Roman"/>
                <w:color w:val="333333"/>
                <w:sz w:val="21"/>
                <w:szCs w:val="21"/>
                <w:vertAlign w:val="superscript"/>
              </w:rPr>
              <w:t>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5" w:hRule="atLeast"/>
          <w:jc w:val="center"/>
        </w:trPr>
        <w:tc>
          <w:tcPr>
            <w:tcW w:w="16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建造年代</w:t>
            </w:r>
          </w:p>
        </w:tc>
        <w:tc>
          <w:tcPr>
            <w:tcW w:w="8040" w:type="dxa"/>
            <w:gridSpan w:val="7"/>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□1980年及以前  □1981-1990年  □1991-2000年  □2001-2010年  □2011年及以后</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jc w:val="center"/>
        </w:trPr>
        <w:tc>
          <w:tcPr>
            <w:tcW w:w="16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结构类型</w:t>
            </w:r>
          </w:p>
        </w:tc>
        <w:tc>
          <w:tcPr>
            <w:tcW w:w="8040" w:type="dxa"/>
            <w:gridSpan w:val="7"/>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□砖石结构（预制板）   □砖石结构（非预制板）□土木结构     □混凝土结构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□窑洞                 □钢结构              □混杂结构     □其他</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5" w:hRule="atLeast"/>
          <w:jc w:val="center"/>
        </w:trPr>
        <w:tc>
          <w:tcPr>
            <w:tcW w:w="16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建造方式</w:t>
            </w:r>
          </w:p>
        </w:tc>
        <w:tc>
          <w:tcPr>
            <w:tcW w:w="8040" w:type="dxa"/>
            <w:gridSpan w:val="7"/>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□自行建造    □建筑工匠建造    □有资质的施工队伍建造    □其他</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5" w:hRule="atLeast"/>
          <w:jc w:val="center"/>
        </w:trPr>
        <w:tc>
          <w:tcPr>
            <w:tcW w:w="16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土地性质</w:t>
            </w:r>
          </w:p>
        </w:tc>
        <w:tc>
          <w:tcPr>
            <w:tcW w:w="8040" w:type="dxa"/>
            <w:gridSpan w:val="7"/>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□宅基地      □非宅基地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0" w:hRule="atLeast"/>
          <w:jc w:val="center"/>
        </w:trPr>
        <w:tc>
          <w:tcPr>
            <w:tcW w:w="9690" w:type="dxa"/>
            <w:gridSpan w:val="8"/>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Style w:val="5"/>
                <w:rFonts w:hint="default" w:ascii="Times New Roman" w:hAnsi="Times New Roman" w:cs="Times New Roman"/>
                <w:color w:val="333333"/>
                <w:sz w:val="21"/>
                <w:szCs w:val="21"/>
              </w:rPr>
              <w:t>第二部分：审批手续情况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16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宅基地手续</w:t>
            </w:r>
          </w:p>
        </w:tc>
        <w:tc>
          <w:tcPr>
            <w:tcW w:w="3435" w:type="dxa"/>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□有            □无</w:t>
            </w:r>
          </w:p>
        </w:tc>
        <w:tc>
          <w:tcPr>
            <w:tcW w:w="1950" w:type="dxa"/>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规划建设手续</w:t>
            </w:r>
          </w:p>
        </w:tc>
        <w:tc>
          <w:tcPr>
            <w:tcW w:w="26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□有            □无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5" w:hRule="atLeast"/>
          <w:jc w:val="center"/>
        </w:trPr>
        <w:tc>
          <w:tcPr>
            <w:tcW w:w="16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竣工验收手续</w:t>
            </w:r>
          </w:p>
        </w:tc>
        <w:tc>
          <w:tcPr>
            <w:tcW w:w="3435" w:type="dxa"/>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□有            □无</w:t>
            </w:r>
          </w:p>
        </w:tc>
        <w:tc>
          <w:tcPr>
            <w:tcW w:w="1950" w:type="dxa"/>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房屋登记手续</w:t>
            </w:r>
          </w:p>
        </w:tc>
        <w:tc>
          <w:tcPr>
            <w:tcW w:w="26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□有            □无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0" w:hRule="atLeast"/>
          <w:jc w:val="center"/>
        </w:trPr>
        <w:tc>
          <w:tcPr>
            <w:tcW w:w="9690" w:type="dxa"/>
            <w:gridSpan w:val="8"/>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Style w:val="5"/>
                <w:rFonts w:hint="default" w:ascii="Times New Roman" w:hAnsi="Times New Roman" w:cs="Times New Roman"/>
                <w:color w:val="333333"/>
                <w:sz w:val="21"/>
                <w:szCs w:val="21"/>
              </w:rPr>
              <w:t>第三部分：改造情况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5" w:hRule="atLeast"/>
          <w:jc w:val="center"/>
        </w:trPr>
        <w:tc>
          <w:tcPr>
            <w:tcW w:w="16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是否改造</w:t>
            </w:r>
          </w:p>
        </w:tc>
        <w:tc>
          <w:tcPr>
            <w:tcW w:w="8040" w:type="dxa"/>
            <w:gridSpan w:val="7"/>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□否          □是          □改造1次    □改造2次及以上</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0" w:hRule="atLeast"/>
          <w:jc w:val="center"/>
        </w:trPr>
        <w:tc>
          <w:tcPr>
            <w:tcW w:w="16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改造内容</w:t>
            </w:r>
          </w:p>
        </w:tc>
        <w:tc>
          <w:tcPr>
            <w:tcW w:w="8040" w:type="dxa"/>
            <w:gridSpan w:val="7"/>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□楼顶加层    □周边扩建    □楼内夹层    □改变承重结构    □其他（多选）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0" w:hRule="atLeast"/>
          <w:jc w:val="center"/>
        </w:trPr>
        <w:tc>
          <w:tcPr>
            <w:tcW w:w="9690" w:type="dxa"/>
            <w:gridSpan w:val="8"/>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Style w:val="5"/>
                <w:rFonts w:hint="default" w:ascii="Times New Roman" w:hAnsi="Times New Roman" w:cs="Times New Roman"/>
                <w:color w:val="333333"/>
                <w:sz w:val="21"/>
                <w:szCs w:val="21"/>
              </w:rPr>
              <w:t>第四部分：用途改变情况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5" w:hRule="atLeast"/>
          <w:jc w:val="center"/>
        </w:trPr>
        <w:tc>
          <w:tcPr>
            <w:tcW w:w="16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是否用作经营</w:t>
            </w:r>
          </w:p>
        </w:tc>
        <w:tc>
          <w:tcPr>
            <w:tcW w:w="255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□是          □否</w:t>
            </w:r>
          </w:p>
        </w:tc>
        <w:tc>
          <w:tcPr>
            <w:tcW w:w="5490" w:type="dxa"/>
            <w:gridSpan w:val="5"/>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主要用途：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□餐饮饭店  □民宿宾馆  □批发零售  □医疗卫生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□休闲娱乐  □生产加工  □仓储物流  □其他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（多选）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5" w:hRule="atLeast"/>
          <w:jc w:val="center"/>
        </w:trPr>
        <w:tc>
          <w:tcPr>
            <w:tcW w:w="16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经营审批手续</w:t>
            </w:r>
          </w:p>
        </w:tc>
        <w:tc>
          <w:tcPr>
            <w:tcW w:w="255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□有          □无</w:t>
            </w:r>
          </w:p>
        </w:tc>
        <w:tc>
          <w:tcPr>
            <w:tcW w:w="5490" w:type="dxa"/>
            <w:gridSpan w:val="5"/>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80" w:hRule="atLeast"/>
          <w:jc w:val="center"/>
        </w:trPr>
        <w:tc>
          <w:tcPr>
            <w:tcW w:w="9690" w:type="dxa"/>
            <w:gridSpan w:val="8"/>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Style w:val="5"/>
                <w:rFonts w:hint="default" w:ascii="Times New Roman" w:hAnsi="Times New Roman" w:cs="Times New Roman"/>
                <w:color w:val="333333"/>
                <w:sz w:val="21"/>
                <w:szCs w:val="21"/>
              </w:rPr>
              <w:t>第五部分：用能情况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5" w:hRule="atLeast"/>
          <w:jc w:val="center"/>
        </w:trPr>
        <w:tc>
          <w:tcPr>
            <w:tcW w:w="16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采暖用能</w:t>
            </w:r>
          </w:p>
        </w:tc>
        <w:tc>
          <w:tcPr>
            <w:tcW w:w="8040" w:type="dxa"/>
            <w:gridSpan w:val="7"/>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□煤炭      □电        □液化气         □天然气        □其他（多选）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5" w:hRule="atLeast"/>
          <w:jc w:val="center"/>
        </w:trPr>
        <w:tc>
          <w:tcPr>
            <w:tcW w:w="16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炊事用能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（含生活热水）</w:t>
            </w:r>
          </w:p>
        </w:tc>
        <w:tc>
          <w:tcPr>
            <w:tcW w:w="8040" w:type="dxa"/>
            <w:gridSpan w:val="7"/>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□煤炭      □电        □液化气         □天然气        □其他（多选）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5" w:hRule="atLeast"/>
          <w:jc w:val="center"/>
        </w:trPr>
        <w:tc>
          <w:tcPr>
            <w:tcW w:w="9690" w:type="dxa"/>
            <w:gridSpan w:val="8"/>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Style w:val="5"/>
                <w:rFonts w:hint="default" w:ascii="Times New Roman" w:hAnsi="Times New Roman" w:cs="Times New Roman"/>
                <w:color w:val="333333"/>
                <w:sz w:val="21"/>
                <w:szCs w:val="21"/>
              </w:rPr>
              <w:t>第六部分：安全情况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5" w:hRule="atLeast"/>
          <w:jc w:val="center"/>
        </w:trPr>
        <w:tc>
          <w:tcPr>
            <w:tcW w:w="16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安全隐患初判</w:t>
            </w:r>
          </w:p>
        </w:tc>
        <w:tc>
          <w:tcPr>
            <w:tcW w:w="255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□基本安全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□存在风险</w:t>
            </w:r>
          </w:p>
        </w:tc>
        <w:tc>
          <w:tcPr>
            <w:tcW w:w="5490" w:type="dxa"/>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风险部位：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□墙体   □梁柱   □地基   □屋面   □楼板   □其他</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16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安全鉴定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或评定</w:t>
            </w:r>
          </w:p>
        </w:tc>
        <w:tc>
          <w:tcPr>
            <w:tcW w:w="255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□A级     □B级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□C级     □D级</w:t>
            </w:r>
          </w:p>
        </w:tc>
        <w:tc>
          <w:tcPr>
            <w:tcW w:w="5490" w:type="dxa"/>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风险部位：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□墙体   □梁柱   □地基   □屋面   □楼板   □其他</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5" w:hRule="atLeast"/>
          <w:jc w:val="center"/>
        </w:trPr>
        <w:tc>
          <w:tcPr>
            <w:tcW w:w="9690" w:type="dxa"/>
            <w:gridSpan w:val="8"/>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Style w:val="5"/>
                <w:rFonts w:hint="default" w:ascii="Times New Roman" w:hAnsi="Times New Roman" w:cs="Times New Roman"/>
                <w:color w:val="333333"/>
                <w:sz w:val="21"/>
                <w:szCs w:val="21"/>
              </w:rPr>
              <w:t>第七部分：消防安全情况    </w:t>
            </w:r>
            <w:r>
              <w:rPr>
                <w:rFonts w:hint="default" w:ascii="Times New Roman" w:hAnsi="Times New Roman" w:cs="Times New Roman"/>
                <w:color w:val="333333"/>
                <w:sz w:val="21"/>
                <w:szCs w:val="21"/>
              </w:rPr>
              <w:t>防火间距、消防设施、消防安全疏散是否满足消防安全要求  □是    □否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5" w:hRule="atLeast"/>
          <w:jc w:val="center"/>
        </w:trPr>
        <w:tc>
          <w:tcPr>
            <w:tcW w:w="9690" w:type="dxa"/>
            <w:gridSpan w:val="8"/>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Style w:val="5"/>
                <w:rFonts w:hint="default" w:ascii="Times New Roman" w:hAnsi="Times New Roman" w:cs="Times New Roman"/>
                <w:color w:val="333333"/>
                <w:sz w:val="21"/>
                <w:szCs w:val="21"/>
              </w:rPr>
              <w:t>第八部分：整治计划情况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0" w:hRule="atLeast"/>
          <w:jc w:val="center"/>
        </w:trPr>
        <w:tc>
          <w:tcPr>
            <w:tcW w:w="9690" w:type="dxa"/>
            <w:gridSpan w:val="8"/>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firstLine="420"/>
            </w:pPr>
            <w:r>
              <w:rPr>
                <w:rFonts w:hint="default" w:ascii="Times New Roman" w:hAnsi="Times New Roman" w:cs="Times New Roman"/>
                <w:color w:val="333333"/>
                <w:sz w:val="21"/>
                <w:szCs w:val="21"/>
              </w:rPr>
              <w:t>□已整治     □计划半年内整治     □计划1年内整治      □无整治计划      □其他</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420" w:firstLine="840"/>
      </w:pPr>
      <w:r>
        <w:rPr>
          <w:rFonts w:ascii="楷体_GB2312" w:hAnsi="Times New Roman" w:eastAsia="楷体_GB2312" w:cs="楷体_GB2312"/>
          <w:i w:val="0"/>
          <w:iCs w:val="0"/>
          <w:caps w:val="0"/>
          <w:color w:val="333333"/>
          <w:spacing w:val="0"/>
          <w:sz w:val="21"/>
          <w:szCs w:val="21"/>
          <w:shd w:val="clear" w:fill="FFFFFF"/>
        </w:rPr>
        <w:t>产权人（使用人）：排查人：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1290" w:firstLine="840"/>
      </w:pPr>
      <w:r>
        <w:rPr>
          <w:rFonts w:hint="default" w:ascii="楷体_GB2312" w:hAnsi="Times New Roman" w:eastAsia="楷体_GB2312" w:cs="楷体_GB2312"/>
          <w:i w:val="0"/>
          <w:iCs w:val="0"/>
          <w:caps w:val="0"/>
          <w:color w:val="333333"/>
          <w:spacing w:val="0"/>
          <w:sz w:val="21"/>
          <w:szCs w:val="21"/>
          <w:shd w:val="clear" w:fill="FFFFFF"/>
        </w:rPr>
        <w:t>专业技术人员：乡镇（街道）负责人</w:t>
      </w:r>
      <w:r>
        <w:rPr>
          <w:rFonts w:hint="eastAsia" w:ascii="方正仿宋_GBK" w:hAnsi="方正仿宋_GBK" w:eastAsia="方正仿宋_GBK" w:cs="方正仿宋_GBK"/>
          <w:i w:val="0"/>
          <w:iCs w:val="0"/>
          <w:caps w:val="0"/>
          <w:color w:val="333333"/>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方正黑体_GBK" w:hAnsi="方正黑体_GBK" w:eastAsia="方正黑体_GBK" w:cs="方正黑体_GBK"/>
          <w:i w:val="0"/>
          <w:iCs w:val="0"/>
          <w:caps w:val="0"/>
          <w:color w:val="333333"/>
          <w:spacing w:val="0"/>
          <w:sz w:val="31"/>
          <w:szCs w:val="31"/>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pPr>
      <w:r>
        <w:rPr>
          <w:rFonts w:hint="eastAsia" w:ascii="方正小标宋_GBK" w:hAnsi="方正小标宋_GBK" w:eastAsia="方正小标宋_GBK" w:cs="方正小标宋_GBK"/>
          <w:i w:val="0"/>
          <w:iCs w:val="0"/>
          <w:caps w:val="0"/>
          <w:color w:val="333333"/>
          <w:spacing w:val="0"/>
          <w:sz w:val="36"/>
          <w:szCs w:val="36"/>
          <w:shd w:val="clear" w:fill="FFFFFF"/>
        </w:rPr>
        <w:t>农村房屋安全信息采集表（非自建房）</w:t>
      </w:r>
    </w:p>
    <w:tbl>
      <w:tblPr>
        <w:tblStyle w:val="3"/>
        <w:tblW w:w="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392"/>
        <w:gridCol w:w="34"/>
        <w:gridCol w:w="1230"/>
        <w:gridCol w:w="932"/>
        <w:gridCol w:w="1099"/>
        <w:gridCol w:w="427"/>
        <w:gridCol w:w="1227"/>
        <w:gridCol w:w="78"/>
        <w:gridCol w:w="209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20" w:hRule="atLeast"/>
          <w:jc w:val="center"/>
        </w:trPr>
        <w:tc>
          <w:tcPr>
            <w:tcW w:w="9960" w:type="dxa"/>
            <w:gridSpan w:val="9"/>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Style w:val="5"/>
                <w:rFonts w:hint="default" w:ascii="Times New Roman" w:hAnsi="Times New Roman" w:cs="Times New Roman"/>
                <w:color w:val="333333"/>
                <w:sz w:val="21"/>
                <w:szCs w:val="21"/>
              </w:rPr>
              <w:t>第一部分：基本信息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jc w:val="center"/>
        </w:trPr>
        <w:tc>
          <w:tcPr>
            <w:tcW w:w="1695"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地址</w:t>
            </w:r>
          </w:p>
        </w:tc>
        <w:tc>
          <w:tcPr>
            <w:tcW w:w="8265" w:type="dxa"/>
            <w:gridSpan w:val="7"/>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pPr>
            <w:r>
              <w:rPr>
                <w:rFonts w:hint="default" w:ascii="Times New Roman" w:hAnsi="Times New Roman" w:cs="Times New Roman"/>
                <w:color w:val="333333"/>
                <w:sz w:val="21"/>
                <w:szCs w:val="21"/>
              </w:rPr>
              <w:t>区县乡镇（街道）村（居委）组（社）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路（街巷）号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jc w:val="center"/>
        </w:trPr>
        <w:tc>
          <w:tcPr>
            <w:tcW w:w="1695"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房屋或单位名称</w:t>
            </w:r>
          </w:p>
        </w:tc>
        <w:tc>
          <w:tcPr>
            <w:tcW w:w="8265" w:type="dxa"/>
            <w:gridSpan w:val="7"/>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5" w:hRule="atLeast"/>
          <w:jc w:val="center"/>
        </w:trPr>
        <w:tc>
          <w:tcPr>
            <w:tcW w:w="169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□产权人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□使用人</w:t>
            </w:r>
          </w:p>
        </w:tc>
        <w:tc>
          <w:tcPr>
            <w:tcW w:w="14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姓名或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机构名称</w:t>
            </w:r>
          </w:p>
        </w:tc>
        <w:tc>
          <w:tcPr>
            <w:tcW w:w="249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98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身份证号或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（机构代码）</w:t>
            </w:r>
          </w:p>
        </w:tc>
        <w:tc>
          <w:tcPr>
            <w:tcW w:w="237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5" w:hRule="atLeast"/>
          <w:jc w:val="center"/>
        </w:trPr>
        <w:tc>
          <w:tcPr>
            <w:tcW w:w="169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建筑层数</w:t>
            </w:r>
          </w:p>
        </w:tc>
        <w:tc>
          <w:tcPr>
            <w:tcW w:w="3915" w:type="dxa"/>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□1层     □2层     □3层及以上</w:t>
            </w:r>
          </w:p>
        </w:tc>
        <w:tc>
          <w:tcPr>
            <w:tcW w:w="198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建筑面积</w:t>
            </w:r>
          </w:p>
        </w:tc>
        <w:tc>
          <w:tcPr>
            <w:tcW w:w="237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m</w:t>
            </w:r>
            <w:r>
              <w:rPr>
                <w:rFonts w:hint="default" w:ascii="Times New Roman" w:hAnsi="Times New Roman" w:cs="Times New Roman"/>
                <w:color w:val="333333"/>
                <w:sz w:val="21"/>
                <w:szCs w:val="21"/>
                <w:vertAlign w:val="superscript"/>
              </w:rPr>
              <w:t>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0" w:hRule="atLeast"/>
          <w:jc w:val="center"/>
        </w:trPr>
        <w:tc>
          <w:tcPr>
            <w:tcW w:w="169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建造年代`</w:t>
            </w:r>
          </w:p>
        </w:tc>
        <w:tc>
          <w:tcPr>
            <w:tcW w:w="8265" w:type="dxa"/>
            <w:gridSpan w:val="7"/>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□1980年及以前  □1981-1990年  □1991-2000年  □2001-2010年  □2011年及以后</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jc w:val="center"/>
        </w:trPr>
        <w:tc>
          <w:tcPr>
            <w:tcW w:w="169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结构类型</w:t>
            </w:r>
          </w:p>
        </w:tc>
        <w:tc>
          <w:tcPr>
            <w:tcW w:w="8265" w:type="dxa"/>
            <w:gridSpan w:val="7"/>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□砖石结构（预制板）   □砖石结构（非预制板）□土木结构     □混凝土结构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□窑洞                 □钢结构              □混杂结构     □其他</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0" w:hRule="atLeast"/>
          <w:jc w:val="center"/>
        </w:trPr>
        <w:tc>
          <w:tcPr>
            <w:tcW w:w="169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建造方式</w:t>
            </w:r>
          </w:p>
        </w:tc>
        <w:tc>
          <w:tcPr>
            <w:tcW w:w="8265" w:type="dxa"/>
            <w:gridSpan w:val="7"/>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□建筑工匠建造      □有资质的施工队伍建造      □其他</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169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土地性质</w:t>
            </w:r>
          </w:p>
        </w:tc>
        <w:tc>
          <w:tcPr>
            <w:tcW w:w="8265" w:type="dxa"/>
            <w:gridSpan w:val="7"/>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□农用地       □建设用地      □未利用地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95" w:hRule="atLeast"/>
          <w:jc w:val="center"/>
        </w:trPr>
        <w:tc>
          <w:tcPr>
            <w:tcW w:w="169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主要用途</w:t>
            </w:r>
          </w:p>
        </w:tc>
        <w:tc>
          <w:tcPr>
            <w:tcW w:w="8265" w:type="dxa"/>
            <w:gridSpan w:val="7"/>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□行政办公     □教育设施     □医疗卫生     □文化设施     □养老设施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□批发零售     □餐饮饭店     □住宿宾馆     □休闲娱乐     □宗教场所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□农贸市场     □生产加工     □仓储物流     □其他（多选）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5" w:hRule="atLeast"/>
          <w:jc w:val="center"/>
        </w:trPr>
        <w:tc>
          <w:tcPr>
            <w:tcW w:w="9960" w:type="dxa"/>
            <w:gridSpan w:val="9"/>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Style w:val="5"/>
                <w:rFonts w:hint="default" w:ascii="Times New Roman" w:hAnsi="Times New Roman" w:cs="Times New Roman"/>
                <w:color w:val="333333"/>
                <w:sz w:val="21"/>
                <w:szCs w:val="21"/>
              </w:rPr>
              <w:t>第二部分：审批手续情况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 w:hRule="atLeast"/>
          <w:jc w:val="center"/>
        </w:trPr>
        <w:tc>
          <w:tcPr>
            <w:tcW w:w="169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用地手续</w:t>
            </w:r>
          </w:p>
        </w:tc>
        <w:tc>
          <w:tcPr>
            <w:tcW w:w="4395" w:type="dxa"/>
            <w:gridSpan w:val="4"/>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□有            □无</w:t>
            </w:r>
          </w:p>
        </w:tc>
        <w:tc>
          <w:tcPr>
            <w:tcW w:w="160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规划建设手续</w:t>
            </w:r>
          </w:p>
        </w:tc>
        <w:tc>
          <w:tcPr>
            <w:tcW w:w="22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□有            □无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169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竣工验收手续</w:t>
            </w:r>
          </w:p>
        </w:tc>
        <w:tc>
          <w:tcPr>
            <w:tcW w:w="4395" w:type="dxa"/>
            <w:gridSpan w:val="4"/>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□有            □无</w:t>
            </w:r>
          </w:p>
        </w:tc>
        <w:tc>
          <w:tcPr>
            <w:tcW w:w="160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房屋登记手续</w:t>
            </w:r>
          </w:p>
        </w:tc>
        <w:tc>
          <w:tcPr>
            <w:tcW w:w="22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□有            □无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169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经营审批手续</w:t>
            </w:r>
          </w:p>
        </w:tc>
        <w:tc>
          <w:tcPr>
            <w:tcW w:w="8265" w:type="dxa"/>
            <w:gridSpan w:val="7"/>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□有            □无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5" w:hRule="atLeast"/>
          <w:jc w:val="center"/>
        </w:trPr>
        <w:tc>
          <w:tcPr>
            <w:tcW w:w="9960" w:type="dxa"/>
            <w:gridSpan w:val="9"/>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Style w:val="5"/>
                <w:rFonts w:hint="default" w:ascii="Times New Roman" w:hAnsi="Times New Roman" w:cs="Times New Roman"/>
                <w:color w:val="333333"/>
                <w:sz w:val="21"/>
                <w:szCs w:val="21"/>
              </w:rPr>
              <w:t>第三部分：改造情况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0" w:hRule="atLeast"/>
          <w:jc w:val="center"/>
        </w:trPr>
        <w:tc>
          <w:tcPr>
            <w:tcW w:w="169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是否改造</w:t>
            </w:r>
          </w:p>
        </w:tc>
        <w:tc>
          <w:tcPr>
            <w:tcW w:w="8265" w:type="dxa"/>
            <w:gridSpan w:val="7"/>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□否       □是       □改造1次       □改造2次及以上</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0" w:hRule="atLeast"/>
          <w:jc w:val="center"/>
        </w:trPr>
        <w:tc>
          <w:tcPr>
            <w:tcW w:w="169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改造内容</w:t>
            </w:r>
          </w:p>
        </w:tc>
        <w:tc>
          <w:tcPr>
            <w:tcW w:w="8265" w:type="dxa"/>
            <w:gridSpan w:val="7"/>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□楼顶加层    □周边扩建    □楼内夹层    □改变承重结构     □其他（多选）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0" w:hRule="atLeast"/>
          <w:jc w:val="center"/>
        </w:trPr>
        <w:tc>
          <w:tcPr>
            <w:tcW w:w="9960" w:type="dxa"/>
            <w:gridSpan w:val="9"/>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Style w:val="5"/>
                <w:rFonts w:hint="default" w:ascii="Times New Roman" w:hAnsi="Times New Roman" w:cs="Times New Roman"/>
                <w:color w:val="333333"/>
                <w:sz w:val="21"/>
                <w:szCs w:val="21"/>
              </w:rPr>
              <w:t>第四部分：用能情况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5" w:hRule="atLeast"/>
          <w:jc w:val="center"/>
        </w:trPr>
        <w:tc>
          <w:tcPr>
            <w:tcW w:w="16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采暖用能</w:t>
            </w:r>
          </w:p>
        </w:tc>
        <w:tc>
          <w:tcPr>
            <w:tcW w:w="8310" w:type="dxa"/>
            <w:gridSpan w:val="8"/>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□煤炭      □电        □液化气         □天然气        □其他（多选）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jc w:val="center"/>
        </w:trPr>
        <w:tc>
          <w:tcPr>
            <w:tcW w:w="16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Times New Roman" w:hAnsi="Times New Roman" w:cs="Times New Roman"/>
                <w:color w:val="333333"/>
                <w:sz w:val="21"/>
                <w:szCs w:val="21"/>
              </w:rPr>
              <w:t>炊事用能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Times New Roman" w:hAnsi="Times New Roman" w:cs="Times New Roman"/>
                <w:color w:val="333333"/>
                <w:sz w:val="21"/>
                <w:szCs w:val="21"/>
              </w:rPr>
              <w:t>（含生活热水）</w:t>
            </w:r>
          </w:p>
        </w:tc>
        <w:tc>
          <w:tcPr>
            <w:tcW w:w="8310" w:type="dxa"/>
            <w:gridSpan w:val="8"/>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□煤炭      □电        □液化气         □天然气        □其他（多选）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0" w:hRule="atLeast"/>
          <w:jc w:val="center"/>
        </w:trPr>
        <w:tc>
          <w:tcPr>
            <w:tcW w:w="9960" w:type="dxa"/>
            <w:gridSpan w:val="9"/>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Style w:val="5"/>
                <w:rFonts w:hint="default" w:ascii="Times New Roman" w:hAnsi="Times New Roman" w:cs="Times New Roman"/>
                <w:color w:val="333333"/>
                <w:sz w:val="21"/>
                <w:szCs w:val="21"/>
              </w:rPr>
              <w:t>第五部分：安全情况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169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安全隐患初判</w:t>
            </w:r>
          </w:p>
        </w:tc>
        <w:tc>
          <w:tcPr>
            <w:tcW w:w="255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□基本安全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□存在风险</w:t>
            </w:r>
          </w:p>
        </w:tc>
        <w:tc>
          <w:tcPr>
            <w:tcW w:w="5715" w:type="dxa"/>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风险部位：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□墙体   □梁柱   □地基   □屋面   □楼板   □其他</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5" w:hRule="atLeast"/>
          <w:jc w:val="center"/>
        </w:trPr>
        <w:tc>
          <w:tcPr>
            <w:tcW w:w="169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default" w:ascii="Times New Roman" w:hAnsi="Times New Roman" w:cs="Times New Roman"/>
                <w:color w:val="333333"/>
                <w:sz w:val="21"/>
                <w:szCs w:val="21"/>
              </w:rPr>
              <w:t>安全鉴定或评定</w:t>
            </w:r>
          </w:p>
        </w:tc>
        <w:tc>
          <w:tcPr>
            <w:tcW w:w="255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□A级     □B级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□C级     □D级</w:t>
            </w:r>
          </w:p>
        </w:tc>
        <w:tc>
          <w:tcPr>
            <w:tcW w:w="5715" w:type="dxa"/>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风险部位：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Fonts w:hint="default" w:ascii="Times New Roman" w:hAnsi="Times New Roman" w:cs="Times New Roman"/>
                <w:color w:val="333333"/>
                <w:sz w:val="21"/>
                <w:szCs w:val="21"/>
              </w:rPr>
              <w:t>□墙体   □梁柱   □地基   □屋面   □楼板   □其他</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9960" w:type="dxa"/>
            <w:gridSpan w:val="9"/>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Style w:val="5"/>
                <w:rFonts w:hint="default" w:ascii="Times New Roman" w:hAnsi="Times New Roman" w:cs="Times New Roman"/>
                <w:color w:val="333333"/>
                <w:sz w:val="21"/>
                <w:szCs w:val="21"/>
              </w:rPr>
              <w:t>第六部分：消防安全情况    </w:t>
            </w:r>
            <w:r>
              <w:rPr>
                <w:rFonts w:hint="default" w:ascii="Times New Roman" w:hAnsi="Times New Roman" w:cs="Times New Roman"/>
                <w:color w:val="333333"/>
                <w:sz w:val="21"/>
                <w:szCs w:val="21"/>
              </w:rPr>
              <w:t>防火间距、消防设施、消防安全疏散是否满足消防安全要求  □是    □否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9960" w:type="dxa"/>
            <w:gridSpan w:val="9"/>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pPr>
            <w:r>
              <w:rPr>
                <w:rStyle w:val="5"/>
                <w:rFonts w:hint="default" w:ascii="Times New Roman" w:hAnsi="Times New Roman" w:cs="Times New Roman"/>
                <w:color w:val="333333"/>
                <w:sz w:val="21"/>
                <w:szCs w:val="21"/>
              </w:rPr>
              <w:t>第七部分：整治计划情况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5" w:hRule="atLeast"/>
          <w:jc w:val="center"/>
        </w:trPr>
        <w:tc>
          <w:tcPr>
            <w:tcW w:w="9960" w:type="dxa"/>
            <w:gridSpan w:val="9"/>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firstLine="420"/>
            </w:pPr>
            <w:r>
              <w:rPr>
                <w:rFonts w:hint="default" w:ascii="Times New Roman" w:hAnsi="Times New Roman" w:cs="Times New Roman"/>
                <w:color w:val="333333"/>
                <w:sz w:val="21"/>
                <w:szCs w:val="21"/>
              </w:rPr>
              <w:t>□已整治     □计划半年内整治     □计划1年内整治      □无整治计划       □其他</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420" w:firstLine="840"/>
      </w:pPr>
      <w:r>
        <w:rPr>
          <w:rFonts w:hint="default" w:ascii="楷体_GB2312" w:hAnsi="Times New Roman" w:eastAsia="楷体_GB2312" w:cs="楷体_GB2312"/>
          <w:i w:val="0"/>
          <w:iCs w:val="0"/>
          <w:caps w:val="0"/>
          <w:color w:val="333333"/>
          <w:spacing w:val="0"/>
          <w:sz w:val="21"/>
          <w:szCs w:val="21"/>
          <w:shd w:val="clear" w:fill="FFFFFF"/>
        </w:rPr>
        <w:t>产权人（使用人）：排查人：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1290" w:firstLine="840"/>
      </w:pPr>
      <w:r>
        <w:rPr>
          <w:rFonts w:hint="default" w:ascii="楷体_GB2312" w:hAnsi="Times New Roman" w:eastAsia="楷体_GB2312" w:cs="楷体_GB2312"/>
          <w:i w:val="0"/>
          <w:iCs w:val="0"/>
          <w:caps w:val="0"/>
          <w:color w:val="333333"/>
          <w:spacing w:val="0"/>
          <w:sz w:val="21"/>
          <w:szCs w:val="21"/>
          <w:shd w:val="clear" w:fill="FFFFFF"/>
        </w:rPr>
        <w:t>专业技术人员：乡镇（街道）负责人</w:t>
      </w:r>
      <w:r>
        <w:rPr>
          <w:rFonts w:hint="default" w:ascii="楷体_GB2312" w:hAnsi="微软雅黑" w:eastAsia="楷体_GB2312" w:cs="楷体_GB2312"/>
          <w:i w:val="0"/>
          <w:iCs w:val="0"/>
          <w:caps w:val="0"/>
          <w:color w:val="333333"/>
          <w:spacing w:val="0"/>
          <w:sz w:val="21"/>
          <w:szCs w:val="2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p>
    <w:tbl>
      <w:tblPr>
        <w:tblStyle w:val="3"/>
        <w:tblW w:w="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60"/>
        <w:gridCol w:w="177"/>
        <w:gridCol w:w="235"/>
        <w:gridCol w:w="412"/>
        <w:gridCol w:w="412"/>
        <w:gridCol w:w="615"/>
        <w:gridCol w:w="412"/>
        <w:gridCol w:w="412"/>
        <w:gridCol w:w="412"/>
        <w:gridCol w:w="845"/>
        <w:gridCol w:w="412"/>
        <w:gridCol w:w="412"/>
        <w:gridCol w:w="412"/>
        <w:gridCol w:w="412"/>
        <w:gridCol w:w="412"/>
        <w:gridCol w:w="412"/>
        <w:gridCol w:w="413"/>
        <w:gridCol w:w="413"/>
        <w:gridCol w:w="413"/>
        <w:gridCol w:w="41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0" w:hRule="atLeast"/>
        </w:trPr>
        <w:tc>
          <w:tcPr>
            <w:tcW w:w="109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95" w:lineRule="atLeast"/>
              <w:ind w:left="0" w:right="0"/>
            </w:pPr>
            <w:r>
              <w:rPr>
                <w:rFonts w:hint="eastAsia" w:ascii="方正黑体_GBK" w:hAnsi="方正黑体_GBK" w:eastAsia="方正黑体_GBK" w:cs="方正黑体_GBK"/>
                <w:color w:val="333333"/>
                <w:sz w:val="31"/>
                <w:szCs w:val="31"/>
              </w:rPr>
              <w:t>附件3</w:t>
            </w:r>
          </w:p>
        </w:tc>
        <w:tc>
          <w:tcPr>
            <w:tcW w:w="2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3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1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6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6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5" w:hRule="atLeast"/>
        </w:trPr>
        <w:tc>
          <w:tcPr>
            <w:tcW w:w="14340" w:type="dxa"/>
            <w:gridSpan w:val="20"/>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95" w:lineRule="atLeast"/>
              <w:ind w:left="0" w:right="0"/>
              <w:jc w:val="center"/>
            </w:pPr>
            <w:r>
              <w:rPr>
                <w:rFonts w:hint="eastAsia" w:ascii="方正小标宋_GBK" w:hAnsi="方正小标宋_GBK" w:eastAsia="方正小标宋_GBK" w:cs="方正小标宋_GBK"/>
                <w:color w:val="333333"/>
                <w:sz w:val="40"/>
                <w:szCs w:val="40"/>
              </w:rPr>
              <w:t>万州区镇乡（街道）农村房屋安全信息排查统计汇总表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trPr>
        <w:tc>
          <w:tcPr>
            <w:tcW w:w="1860" w:type="dxa"/>
            <w:gridSpan w:val="4"/>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95" w:lineRule="atLeast"/>
              <w:ind w:left="0" w:right="0"/>
            </w:pPr>
            <w:r>
              <w:rPr>
                <w:rFonts w:hint="eastAsia" w:ascii="宋体" w:hAnsi="宋体" w:eastAsia="宋体" w:cs="宋体"/>
                <w:color w:val="333333"/>
                <w:sz w:val="24"/>
                <w:szCs w:val="24"/>
              </w:rPr>
              <w:t>单位：</w:t>
            </w:r>
          </w:p>
        </w:tc>
        <w:tc>
          <w:tcPr>
            <w:tcW w:w="5070" w:type="dxa"/>
            <w:gridSpan w:val="6"/>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95" w:lineRule="atLeast"/>
              <w:ind w:left="0" w:right="0"/>
              <w:jc w:val="center"/>
            </w:pPr>
            <w:r>
              <w:rPr>
                <w:rFonts w:hint="eastAsia" w:ascii="宋体" w:hAnsi="宋体" w:eastAsia="宋体" w:cs="宋体"/>
                <w:color w:val="333333"/>
                <w:sz w:val="24"/>
                <w:szCs w:val="24"/>
              </w:rPr>
              <w:t>负责人：</w:t>
            </w:r>
          </w:p>
        </w:tc>
        <w:tc>
          <w:tcPr>
            <w:tcW w:w="6900" w:type="dxa"/>
            <w:gridSpan w:val="9"/>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333333"/>
                <w:sz w:val="24"/>
                <w:szCs w:val="24"/>
              </w:rPr>
              <w:t>填报人：</w:t>
            </w:r>
          </w:p>
        </w:tc>
        <w:tc>
          <w:tcPr>
            <w:tcW w:w="5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20" w:hRule="atLeast"/>
        </w:trPr>
        <w:tc>
          <w:tcPr>
            <w:tcW w:w="6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eastAsia" w:ascii="方正黑体_GBK" w:hAnsi="方正黑体_GBK" w:eastAsia="方正黑体_GBK" w:cs="方正黑体_GBK"/>
                <w:color w:val="333333"/>
                <w:sz w:val="24"/>
                <w:szCs w:val="24"/>
              </w:rPr>
              <w:t>序号</w:t>
            </w:r>
          </w:p>
        </w:tc>
        <w:tc>
          <w:tcPr>
            <w:tcW w:w="70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eastAsia" w:ascii="方正黑体_GBK" w:hAnsi="方正黑体_GBK" w:eastAsia="方正黑体_GBK" w:cs="方正黑体_GBK"/>
                <w:color w:val="333333"/>
                <w:sz w:val="24"/>
                <w:szCs w:val="24"/>
              </w:rPr>
              <w:t>镇乡</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eastAsia" w:ascii="方正黑体_GBK" w:hAnsi="方正黑体_GBK" w:eastAsia="方正黑体_GBK" w:cs="方正黑体_GBK"/>
                <w:color w:val="333333"/>
                <w:sz w:val="24"/>
                <w:szCs w:val="24"/>
              </w:rPr>
              <w:t>村居</w:t>
            </w:r>
          </w:p>
        </w:tc>
        <w:tc>
          <w:tcPr>
            <w:tcW w:w="3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eastAsia" w:ascii="方正黑体_GBK" w:hAnsi="方正黑体_GBK" w:eastAsia="方正黑体_GBK" w:cs="方正黑体_GBK"/>
                <w:color w:val="333333"/>
                <w:sz w:val="24"/>
                <w:szCs w:val="24"/>
              </w:rPr>
              <w:t>组</w:t>
            </w: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eastAsia" w:ascii="方正黑体_GBK" w:hAnsi="方正黑体_GBK" w:eastAsia="方正黑体_GBK" w:cs="方正黑体_GBK"/>
                <w:color w:val="333333"/>
                <w:sz w:val="24"/>
                <w:szCs w:val="24"/>
              </w:rPr>
              <w:t>房屋产权人（使用人）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eastAsia" w:ascii="方正黑体_GBK" w:hAnsi="方正黑体_GBK" w:eastAsia="方正黑体_GBK" w:cs="方正黑体_GBK"/>
                <w:color w:val="333333"/>
                <w:sz w:val="24"/>
                <w:szCs w:val="24"/>
              </w:rPr>
              <w:t>姓名</w:t>
            </w:r>
          </w:p>
        </w:tc>
        <w:tc>
          <w:tcPr>
            <w:tcW w:w="7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eastAsia" w:ascii="方正黑体_GBK" w:hAnsi="方正黑体_GBK" w:eastAsia="方正黑体_GBK" w:cs="方正黑体_GBK"/>
                <w:color w:val="333333"/>
                <w:sz w:val="24"/>
                <w:szCs w:val="24"/>
              </w:rPr>
              <w:t>房屋区域位置</w:t>
            </w:r>
          </w:p>
        </w:tc>
        <w:tc>
          <w:tcPr>
            <w:tcW w:w="11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eastAsia" w:ascii="方正黑体_GBK" w:hAnsi="方正黑体_GBK" w:eastAsia="方正黑体_GBK" w:cs="方正黑体_GBK"/>
                <w:color w:val="333333"/>
                <w:sz w:val="24"/>
                <w:szCs w:val="24"/>
              </w:rPr>
              <w:t>身份证号</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eastAsia" w:ascii="方正黑体_GBK" w:hAnsi="方正黑体_GBK" w:eastAsia="方正黑体_GBK" w:cs="方正黑体_GBK"/>
                <w:color w:val="333333"/>
                <w:sz w:val="24"/>
                <w:szCs w:val="24"/>
              </w:rPr>
              <w:t>房屋结构</w:t>
            </w:r>
          </w:p>
        </w:tc>
        <w:tc>
          <w:tcPr>
            <w:tcW w:w="8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eastAsia" w:ascii="方正黑体_GBK" w:hAnsi="方正黑体_GBK" w:eastAsia="方正黑体_GBK" w:cs="方正黑体_GBK"/>
                <w:color w:val="333333"/>
                <w:sz w:val="24"/>
                <w:szCs w:val="24"/>
              </w:rPr>
              <w:t>建筑面积（m</w:t>
            </w:r>
            <w:r>
              <w:rPr>
                <w:rFonts w:hint="eastAsia" w:ascii="宋体" w:hAnsi="宋体" w:eastAsia="宋体" w:cs="宋体"/>
                <w:color w:val="333333"/>
                <w:sz w:val="24"/>
                <w:szCs w:val="24"/>
              </w:rPr>
              <w:t>²</w:t>
            </w:r>
            <w:r>
              <w:rPr>
                <w:rFonts w:hint="eastAsia" w:ascii="方正黑体_GBK" w:hAnsi="方正黑体_GBK" w:eastAsia="方正黑体_GBK" w:cs="方正黑体_GBK"/>
                <w:color w:val="333333"/>
                <w:sz w:val="24"/>
                <w:szCs w:val="24"/>
              </w:rPr>
              <w:t>）</w:t>
            </w:r>
          </w:p>
        </w:tc>
        <w:tc>
          <w:tcPr>
            <w:tcW w:w="6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eastAsia" w:ascii="方正黑体_GBK" w:hAnsi="方正黑体_GBK" w:eastAsia="方正黑体_GBK" w:cs="方正黑体_GBK"/>
                <w:color w:val="333333"/>
                <w:sz w:val="24"/>
                <w:szCs w:val="24"/>
              </w:rPr>
              <w:t>层数</w:t>
            </w: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eastAsia" w:ascii="方正黑体_GBK" w:hAnsi="方正黑体_GBK" w:eastAsia="方正黑体_GBK" w:cs="方正黑体_GBK"/>
                <w:color w:val="333333"/>
                <w:sz w:val="24"/>
                <w:szCs w:val="24"/>
              </w:rPr>
              <w:t>建造方式</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eastAsia" w:ascii="方正黑体_GBK" w:hAnsi="方正黑体_GBK" w:eastAsia="方正黑体_GBK" w:cs="方正黑体_GBK"/>
                <w:color w:val="333333"/>
                <w:sz w:val="24"/>
                <w:szCs w:val="24"/>
              </w:rPr>
              <w:t>审批手续情况</w:t>
            </w:r>
          </w:p>
        </w:tc>
        <w:tc>
          <w:tcPr>
            <w:tcW w:w="8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eastAsia" w:ascii="方正黑体_GBK" w:hAnsi="方正黑体_GBK" w:eastAsia="方正黑体_GBK" w:cs="方正黑体_GBK"/>
                <w:color w:val="333333"/>
                <w:sz w:val="24"/>
                <w:szCs w:val="24"/>
              </w:rPr>
              <w:t>改造情况</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eastAsia" w:ascii="方正黑体_GBK" w:hAnsi="方正黑体_GBK" w:eastAsia="方正黑体_GBK" w:cs="方正黑体_GBK"/>
                <w:color w:val="333333"/>
                <w:sz w:val="24"/>
                <w:szCs w:val="24"/>
              </w:rPr>
              <w:t>用途</w:t>
            </w:r>
          </w:p>
        </w:tc>
        <w:tc>
          <w:tcPr>
            <w:tcW w:w="6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eastAsia" w:ascii="方正黑体_GBK" w:hAnsi="方正黑体_GBK" w:eastAsia="方正黑体_GBK" w:cs="方正黑体_GBK"/>
                <w:color w:val="333333"/>
                <w:sz w:val="24"/>
                <w:szCs w:val="24"/>
              </w:rPr>
              <w:t>安全隐患</w:t>
            </w: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eastAsia" w:ascii="方正黑体_GBK" w:hAnsi="方正黑体_GBK" w:eastAsia="方正黑体_GBK" w:cs="方正黑体_GBK"/>
                <w:color w:val="333333"/>
                <w:sz w:val="24"/>
                <w:szCs w:val="24"/>
              </w:rPr>
              <w:t>安全鉴定等级</w:t>
            </w:r>
          </w:p>
        </w:tc>
        <w:tc>
          <w:tcPr>
            <w:tcW w:w="8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eastAsia" w:ascii="方正黑体_GBK" w:hAnsi="方正黑体_GBK" w:eastAsia="方正黑体_GBK" w:cs="方正黑体_GBK"/>
                <w:color w:val="333333"/>
                <w:sz w:val="24"/>
                <w:szCs w:val="24"/>
              </w:rPr>
              <w:t>消防安全</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eastAsia" w:ascii="方正黑体_GBK" w:hAnsi="方正黑体_GBK" w:eastAsia="方正黑体_GBK" w:cs="方正黑体_GBK"/>
                <w:color w:val="333333"/>
                <w:sz w:val="24"/>
                <w:szCs w:val="24"/>
              </w:rPr>
              <w:t>整治计划</w:t>
            </w:r>
          </w:p>
        </w:tc>
        <w:tc>
          <w:tcPr>
            <w:tcW w:w="5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eastAsia" w:ascii="方正黑体_GBK" w:hAnsi="方正黑体_GBK" w:eastAsia="方正黑体_GBK" w:cs="方正黑体_GBK"/>
                <w:color w:val="333333"/>
                <w:sz w:val="24"/>
                <w:szCs w:val="24"/>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0" w:hRule="atLeast"/>
        </w:trPr>
        <w:tc>
          <w:tcPr>
            <w:tcW w:w="6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eastAsia" w:ascii="宋体" w:hAnsi="宋体" w:eastAsia="宋体" w:cs="宋体"/>
                <w:color w:val="333333"/>
                <w:sz w:val="24"/>
                <w:szCs w:val="24"/>
              </w:rPr>
              <w:t>1</w:t>
            </w:r>
          </w:p>
        </w:tc>
        <w:tc>
          <w:tcPr>
            <w:tcW w:w="70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3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1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6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6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0" w:hRule="atLeast"/>
        </w:trPr>
        <w:tc>
          <w:tcPr>
            <w:tcW w:w="6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eastAsia" w:ascii="宋体" w:hAnsi="宋体" w:eastAsia="宋体" w:cs="宋体"/>
                <w:color w:val="333333"/>
                <w:sz w:val="24"/>
                <w:szCs w:val="24"/>
              </w:rPr>
              <w:t>2</w:t>
            </w:r>
          </w:p>
        </w:tc>
        <w:tc>
          <w:tcPr>
            <w:tcW w:w="70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3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1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6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6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0" w:hRule="atLeast"/>
        </w:trPr>
        <w:tc>
          <w:tcPr>
            <w:tcW w:w="6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eastAsia" w:ascii="宋体" w:hAnsi="宋体" w:eastAsia="宋体" w:cs="宋体"/>
                <w:color w:val="333333"/>
                <w:sz w:val="24"/>
                <w:szCs w:val="24"/>
              </w:rPr>
              <w:t>3</w:t>
            </w:r>
          </w:p>
        </w:tc>
        <w:tc>
          <w:tcPr>
            <w:tcW w:w="70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3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1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6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6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0" w:hRule="atLeast"/>
        </w:trPr>
        <w:tc>
          <w:tcPr>
            <w:tcW w:w="6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eastAsia" w:ascii="宋体" w:hAnsi="宋体" w:eastAsia="宋体" w:cs="宋体"/>
                <w:color w:val="333333"/>
                <w:sz w:val="24"/>
                <w:szCs w:val="24"/>
              </w:rPr>
              <w:t>4</w:t>
            </w:r>
          </w:p>
        </w:tc>
        <w:tc>
          <w:tcPr>
            <w:tcW w:w="70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3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1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6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6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0" w:hRule="atLeast"/>
        </w:trPr>
        <w:tc>
          <w:tcPr>
            <w:tcW w:w="6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eastAsia" w:ascii="宋体" w:hAnsi="宋体" w:eastAsia="宋体" w:cs="宋体"/>
                <w:color w:val="333333"/>
                <w:sz w:val="24"/>
                <w:szCs w:val="24"/>
              </w:rPr>
              <w:t>5</w:t>
            </w:r>
          </w:p>
        </w:tc>
        <w:tc>
          <w:tcPr>
            <w:tcW w:w="70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3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1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6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6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0" w:hRule="atLeast"/>
        </w:trPr>
        <w:tc>
          <w:tcPr>
            <w:tcW w:w="6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eastAsia" w:ascii="宋体" w:hAnsi="宋体" w:eastAsia="宋体" w:cs="宋体"/>
                <w:color w:val="333333"/>
                <w:sz w:val="24"/>
                <w:szCs w:val="24"/>
              </w:rPr>
              <w:t>6</w:t>
            </w:r>
          </w:p>
        </w:tc>
        <w:tc>
          <w:tcPr>
            <w:tcW w:w="70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3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1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6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6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0" w:hRule="atLeast"/>
        </w:trPr>
        <w:tc>
          <w:tcPr>
            <w:tcW w:w="6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eastAsia" w:ascii="宋体" w:hAnsi="宋体" w:eastAsia="宋体" w:cs="宋体"/>
                <w:color w:val="333333"/>
                <w:sz w:val="24"/>
                <w:szCs w:val="24"/>
              </w:rPr>
              <w:t>7</w:t>
            </w:r>
          </w:p>
        </w:tc>
        <w:tc>
          <w:tcPr>
            <w:tcW w:w="70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3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1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6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6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0" w:hRule="atLeast"/>
        </w:trPr>
        <w:tc>
          <w:tcPr>
            <w:tcW w:w="6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eastAsia" w:ascii="宋体" w:hAnsi="宋体" w:eastAsia="宋体" w:cs="宋体"/>
                <w:color w:val="333333"/>
                <w:sz w:val="24"/>
                <w:szCs w:val="24"/>
              </w:rPr>
              <w:t>8</w:t>
            </w:r>
          </w:p>
        </w:tc>
        <w:tc>
          <w:tcPr>
            <w:tcW w:w="70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3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1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6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6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0" w:hRule="atLeast"/>
        </w:trPr>
        <w:tc>
          <w:tcPr>
            <w:tcW w:w="6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eastAsia" w:ascii="宋体" w:hAnsi="宋体" w:eastAsia="宋体" w:cs="宋体"/>
                <w:color w:val="333333"/>
                <w:sz w:val="24"/>
                <w:szCs w:val="24"/>
              </w:rPr>
              <w:t>9</w:t>
            </w:r>
          </w:p>
        </w:tc>
        <w:tc>
          <w:tcPr>
            <w:tcW w:w="70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3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1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6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6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0" w:hRule="atLeast"/>
        </w:trPr>
        <w:tc>
          <w:tcPr>
            <w:tcW w:w="6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eastAsia" w:ascii="宋体" w:hAnsi="宋体" w:eastAsia="宋体" w:cs="宋体"/>
                <w:color w:val="333333"/>
                <w:sz w:val="24"/>
                <w:szCs w:val="24"/>
              </w:rPr>
              <w:t>10</w:t>
            </w:r>
          </w:p>
        </w:tc>
        <w:tc>
          <w:tcPr>
            <w:tcW w:w="70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3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1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6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6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0" w:hRule="atLeast"/>
        </w:trPr>
        <w:tc>
          <w:tcPr>
            <w:tcW w:w="6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eastAsia" w:ascii="宋体" w:hAnsi="宋体" w:eastAsia="宋体" w:cs="宋体"/>
                <w:color w:val="333333"/>
                <w:sz w:val="24"/>
                <w:szCs w:val="24"/>
              </w:rPr>
              <w:t>11</w:t>
            </w:r>
          </w:p>
        </w:tc>
        <w:tc>
          <w:tcPr>
            <w:tcW w:w="70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3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1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6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6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0" w:hRule="atLeast"/>
        </w:trPr>
        <w:tc>
          <w:tcPr>
            <w:tcW w:w="6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eastAsia" w:ascii="宋体" w:hAnsi="宋体" w:eastAsia="宋体" w:cs="宋体"/>
                <w:color w:val="333333"/>
                <w:sz w:val="24"/>
                <w:szCs w:val="24"/>
              </w:rPr>
              <w:t>12</w:t>
            </w:r>
          </w:p>
        </w:tc>
        <w:tc>
          <w:tcPr>
            <w:tcW w:w="70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3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1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6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6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0" w:hRule="atLeast"/>
        </w:trPr>
        <w:tc>
          <w:tcPr>
            <w:tcW w:w="6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eastAsia" w:ascii="宋体" w:hAnsi="宋体" w:eastAsia="宋体" w:cs="宋体"/>
                <w:color w:val="333333"/>
                <w:sz w:val="24"/>
                <w:szCs w:val="24"/>
              </w:rPr>
              <w:t>13</w:t>
            </w:r>
          </w:p>
        </w:tc>
        <w:tc>
          <w:tcPr>
            <w:tcW w:w="70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3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1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6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6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0" w:hRule="atLeast"/>
        </w:trPr>
        <w:tc>
          <w:tcPr>
            <w:tcW w:w="6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eastAsia" w:ascii="宋体" w:hAnsi="宋体" w:eastAsia="宋体" w:cs="宋体"/>
                <w:color w:val="333333"/>
                <w:sz w:val="24"/>
                <w:szCs w:val="24"/>
              </w:rPr>
              <w:t>14</w:t>
            </w:r>
          </w:p>
        </w:tc>
        <w:tc>
          <w:tcPr>
            <w:tcW w:w="70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3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1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6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6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0" w:hRule="atLeast"/>
        </w:trPr>
        <w:tc>
          <w:tcPr>
            <w:tcW w:w="6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eastAsia" w:ascii="宋体" w:hAnsi="宋体" w:eastAsia="宋体" w:cs="宋体"/>
                <w:color w:val="333333"/>
                <w:sz w:val="24"/>
                <w:szCs w:val="24"/>
              </w:rPr>
              <w:t>15</w:t>
            </w:r>
          </w:p>
        </w:tc>
        <w:tc>
          <w:tcPr>
            <w:tcW w:w="70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3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1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6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6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0" w:hRule="atLeast"/>
        </w:trPr>
        <w:tc>
          <w:tcPr>
            <w:tcW w:w="6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eastAsia" w:ascii="宋体" w:hAnsi="宋体" w:eastAsia="宋体" w:cs="宋体"/>
                <w:color w:val="333333"/>
                <w:sz w:val="24"/>
                <w:szCs w:val="24"/>
              </w:rPr>
              <w:t>16</w:t>
            </w:r>
          </w:p>
        </w:tc>
        <w:tc>
          <w:tcPr>
            <w:tcW w:w="70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3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1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6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6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0" w:hRule="atLeast"/>
        </w:trPr>
        <w:tc>
          <w:tcPr>
            <w:tcW w:w="6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eastAsia" w:ascii="宋体" w:hAnsi="宋体" w:eastAsia="宋体" w:cs="宋体"/>
                <w:color w:val="333333"/>
                <w:sz w:val="24"/>
                <w:szCs w:val="24"/>
              </w:rPr>
              <w:t>17</w:t>
            </w:r>
          </w:p>
        </w:tc>
        <w:tc>
          <w:tcPr>
            <w:tcW w:w="70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3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1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6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6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0" w:hRule="atLeast"/>
        </w:trPr>
        <w:tc>
          <w:tcPr>
            <w:tcW w:w="6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jc w:val="center"/>
            </w:pPr>
            <w:r>
              <w:rPr>
                <w:rFonts w:hint="eastAsia" w:ascii="宋体" w:hAnsi="宋体" w:eastAsia="宋体" w:cs="宋体"/>
                <w:color w:val="333333"/>
                <w:sz w:val="24"/>
                <w:szCs w:val="24"/>
              </w:rPr>
              <w:t>18</w:t>
            </w:r>
          </w:p>
        </w:tc>
        <w:tc>
          <w:tcPr>
            <w:tcW w:w="705"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3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1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8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11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6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8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6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8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c>
          <w:tcPr>
            <w:tcW w:w="5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color w:val="333333"/>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erif">
    <w:altName w:val="汉仪仿宋S"/>
    <w:panose1 w:val="00000000000000000000"/>
    <w:charset w:val="00"/>
    <w:family w:val="auto"/>
    <w:pitch w:val="default"/>
    <w:sig w:usb0="00000000" w:usb1="00000000" w:usb2="00000000" w:usb3="00000000" w:csb0="0000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YWY5NTY0OTRmNWVjNTQ2NjhlMDdmMTVlYTY4ZGEifQ=="/>
  </w:docVars>
  <w:rsids>
    <w:rsidRoot w:val="00000000"/>
    <w:rsid w:val="1ECD1D80"/>
    <w:rsid w:val="3FDDE859"/>
    <w:rsid w:val="5EB95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2022-09-05T18:23:00Z</dcterms:created>
  <dc:creator>Administrator</dc:creator>
  <cp:lastModifiedBy>user</cp:lastModifiedBy>
  <dcterms:modified xsi:type="dcterms:W3CDTF">2022-09-05T14:58:25Z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F5D6ABCC68EF4B00AE6DFA4449645BFF</vt:lpwstr>
  </property>
</Properties>
</file>