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overflowPunct/>
        <w:topLinePunct w:val="0"/>
        <w:autoSpaceDE/>
        <w:autoSpaceDN/>
        <w:bidi w:val="0"/>
        <w:adjustRightInd/>
        <w:snapToGrid/>
        <w:spacing w:before="0" w:beforeAutospacing="1" w:after="195" w:afterAutospacing="0" w:line="587" w:lineRule="exact"/>
        <w:ind w:left="0" w:right="0" w:firstLine="0"/>
        <w:jc w:val="center"/>
        <w:textAlignment w:val="auto"/>
        <w:rPr>
          <w:rFonts w:hint="default" w:ascii="sans-serif" w:hAnsi="sans-serif" w:eastAsia="sans-serif" w:cs="sans-serif"/>
          <w:i w:val="0"/>
          <w:caps w:val="0"/>
          <w:color w:val="000000"/>
          <w:spacing w:val="0"/>
          <w:sz w:val="19"/>
          <w:szCs w:val="19"/>
        </w:rPr>
      </w:pPr>
    </w:p>
    <w:p>
      <w:pPr>
        <w:pStyle w:val="2"/>
        <w:keepNext w:val="0"/>
        <w:keepLines w:val="0"/>
        <w:pageBreakBefore w:val="0"/>
        <w:widowControl/>
        <w:suppressLineNumbers w:val="0"/>
        <w:kinsoku/>
        <w:overflowPunct/>
        <w:topLinePunct w:val="0"/>
        <w:autoSpaceDE/>
        <w:autoSpaceDN/>
        <w:bidi w:val="0"/>
        <w:adjustRightInd/>
        <w:snapToGrid/>
        <w:spacing w:before="0" w:beforeAutospacing="1" w:after="0" w:afterAutospacing="0" w:line="587" w:lineRule="exact"/>
        <w:ind w:left="0" w:right="0" w:firstLine="0"/>
        <w:jc w:val="center"/>
        <w:textAlignment w:val="auto"/>
        <w:rPr>
          <w:rFonts w:hint="default" w:ascii="sans-serif" w:hAnsi="sans-serif" w:eastAsia="sans-serif" w:cs="sans-serif"/>
          <w:i w:val="0"/>
          <w:caps w:val="0"/>
          <w:color w:val="000000"/>
          <w:spacing w:val="0"/>
          <w:sz w:val="19"/>
          <w:szCs w:val="19"/>
        </w:rPr>
      </w:pPr>
      <w:r>
        <w:rPr>
          <w:rFonts w:hint="eastAsia" w:ascii="方正小标宋_GBK" w:hAnsi="方正小标宋_GBK" w:eastAsia="方正小标宋_GBK" w:cs="方正小标宋_GBK"/>
          <w:i w:val="0"/>
          <w:caps w:val="0"/>
          <w:color w:val="000000"/>
          <w:spacing w:val="0"/>
          <w:sz w:val="44"/>
          <w:szCs w:val="44"/>
        </w:rPr>
        <w:t>重庆市万州区人民政府办公室</w:t>
      </w:r>
    </w:p>
    <w:p>
      <w:pPr>
        <w:pStyle w:val="2"/>
        <w:keepNext w:val="0"/>
        <w:keepLines w:val="0"/>
        <w:pageBreakBefore w:val="0"/>
        <w:widowControl/>
        <w:suppressLineNumbers w:val="0"/>
        <w:kinsoku/>
        <w:overflowPunct/>
        <w:topLinePunct w:val="0"/>
        <w:autoSpaceDE/>
        <w:autoSpaceDN/>
        <w:bidi w:val="0"/>
        <w:adjustRightInd/>
        <w:snapToGrid/>
        <w:spacing w:before="0" w:beforeAutospacing="1" w:after="0" w:afterAutospacing="0" w:line="587" w:lineRule="exact"/>
        <w:ind w:left="0" w:right="0" w:firstLine="0"/>
        <w:jc w:val="center"/>
        <w:textAlignment w:val="auto"/>
        <w:rPr>
          <w:rFonts w:hint="default" w:ascii="sans-serif" w:hAnsi="sans-serif" w:eastAsia="sans-serif" w:cs="sans-serif"/>
          <w:i w:val="0"/>
          <w:caps w:val="0"/>
          <w:color w:val="000000"/>
          <w:spacing w:val="0"/>
          <w:sz w:val="19"/>
          <w:szCs w:val="19"/>
        </w:rPr>
      </w:pPr>
      <w:r>
        <w:rPr>
          <w:rFonts w:hint="eastAsia" w:ascii="方正小标宋_GBK" w:hAnsi="方正小标宋_GBK" w:eastAsia="方正小标宋_GBK" w:cs="方正小标宋_GBK"/>
          <w:i w:val="0"/>
          <w:caps w:val="0"/>
          <w:color w:val="000000"/>
          <w:spacing w:val="0"/>
          <w:sz w:val="44"/>
          <w:szCs w:val="44"/>
        </w:rPr>
        <w:t>关于做好承接市级下放和对应市级取消的</w:t>
      </w:r>
    </w:p>
    <w:p>
      <w:pPr>
        <w:pStyle w:val="2"/>
        <w:keepNext w:val="0"/>
        <w:keepLines w:val="0"/>
        <w:pageBreakBefore w:val="0"/>
        <w:widowControl/>
        <w:suppressLineNumbers w:val="0"/>
        <w:kinsoku/>
        <w:overflowPunct/>
        <w:topLinePunct w:val="0"/>
        <w:autoSpaceDE/>
        <w:autoSpaceDN/>
        <w:bidi w:val="0"/>
        <w:adjustRightInd/>
        <w:snapToGrid/>
        <w:spacing w:before="0" w:beforeAutospacing="1" w:after="0" w:afterAutospacing="0" w:line="587" w:lineRule="exact"/>
        <w:ind w:left="0" w:right="0" w:firstLine="0"/>
        <w:jc w:val="center"/>
        <w:textAlignment w:val="auto"/>
        <w:rPr>
          <w:rFonts w:hint="default" w:ascii="sans-serif" w:hAnsi="sans-serif" w:eastAsia="sans-serif" w:cs="sans-serif"/>
          <w:i w:val="0"/>
          <w:caps w:val="0"/>
          <w:color w:val="000000"/>
          <w:spacing w:val="0"/>
          <w:sz w:val="19"/>
          <w:szCs w:val="19"/>
        </w:rPr>
      </w:pPr>
      <w:r>
        <w:rPr>
          <w:rFonts w:hint="eastAsia" w:ascii="方正小标宋_GBK" w:hAnsi="方正小标宋_GBK" w:eastAsia="方正小标宋_GBK" w:cs="方正小标宋_GBK"/>
          <w:i w:val="0"/>
          <w:caps w:val="0"/>
          <w:color w:val="000000"/>
          <w:spacing w:val="0"/>
          <w:sz w:val="44"/>
          <w:szCs w:val="44"/>
        </w:rPr>
        <w:t>行政许可事项（</w:t>
      </w:r>
      <w:r>
        <w:rPr>
          <w:rFonts w:hint="default" w:ascii="Times New Roman" w:hAnsi="Times New Roman" w:eastAsia="sans-serif" w:cs="Times New Roman"/>
          <w:i w:val="0"/>
          <w:caps w:val="0"/>
          <w:color w:val="000000"/>
          <w:spacing w:val="0"/>
          <w:sz w:val="44"/>
          <w:szCs w:val="44"/>
        </w:rPr>
        <w:t>2020</w:t>
      </w:r>
      <w:r>
        <w:rPr>
          <w:rFonts w:hint="eastAsia" w:ascii="方正小标宋_GBK" w:hAnsi="方正小标宋_GBK" w:eastAsia="方正小标宋_GBK" w:cs="方正小标宋_GBK"/>
          <w:i w:val="0"/>
          <w:caps w:val="0"/>
          <w:color w:val="000000"/>
          <w:spacing w:val="0"/>
          <w:sz w:val="44"/>
          <w:szCs w:val="44"/>
        </w:rPr>
        <w:t>年第一批）等</w:t>
      </w:r>
    </w:p>
    <w:p>
      <w:pPr>
        <w:pStyle w:val="2"/>
        <w:keepNext w:val="0"/>
        <w:keepLines w:val="0"/>
        <w:pageBreakBefore w:val="0"/>
        <w:widowControl/>
        <w:suppressLineNumbers w:val="0"/>
        <w:kinsoku/>
        <w:overflowPunct/>
        <w:topLinePunct w:val="0"/>
        <w:autoSpaceDE/>
        <w:autoSpaceDN/>
        <w:bidi w:val="0"/>
        <w:adjustRightInd/>
        <w:snapToGrid/>
        <w:spacing w:before="0" w:beforeAutospacing="1" w:after="0" w:afterAutospacing="0" w:line="587" w:lineRule="exact"/>
        <w:ind w:left="0" w:right="0" w:firstLine="0"/>
        <w:jc w:val="center"/>
        <w:textAlignment w:val="auto"/>
        <w:rPr>
          <w:rFonts w:hint="default" w:ascii="sans-serif" w:hAnsi="sans-serif" w:eastAsia="sans-serif" w:cs="sans-serif"/>
          <w:i w:val="0"/>
          <w:caps w:val="0"/>
          <w:color w:val="000000"/>
          <w:spacing w:val="0"/>
          <w:sz w:val="19"/>
          <w:szCs w:val="19"/>
        </w:rPr>
      </w:pPr>
      <w:r>
        <w:rPr>
          <w:rFonts w:hint="eastAsia" w:ascii="方正小标宋_GBK" w:hAnsi="方正小标宋_GBK" w:eastAsia="方正小标宋_GBK" w:cs="方正小标宋_GBK"/>
          <w:i w:val="0"/>
          <w:caps w:val="0"/>
          <w:color w:val="000000"/>
          <w:spacing w:val="0"/>
          <w:sz w:val="44"/>
          <w:szCs w:val="44"/>
        </w:rPr>
        <w:t>有关工作的通知</w:t>
      </w:r>
    </w:p>
    <w:p>
      <w:pPr>
        <w:pStyle w:val="2"/>
        <w:keepNext w:val="0"/>
        <w:keepLines w:val="0"/>
        <w:pageBreakBefore w:val="0"/>
        <w:widowControl/>
        <w:suppressLineNumbers w:val="0"/>
        <w:kinsoku/>
        <w:overflowPunct/>
        <w:topLinePunct w:val="0"/>
        <w:autoSpaceDE/>
        <w:autoSpaceDN/>
        <w:bidi w:val="0"/>
        <w:adjustRightInd/>
        <w:snapToGrid/>
        <w:spacing w:before="0" w:beforeAutospacing="1" w:after="0" w:afterAutospacing="0" w:line="587" w:lineRule="exact"/>
        <w:ind w:left="0" w:right="0" w:firstLine="0"/>
        <w:jc w:val="center"/>
        <w:textAlignment w:val="auto"/>
        <w:rPr>
          <w:rFonts w:hint="default" w:ascii="sans-serif" w:hAnsi="sans-serif" w:eastAsia="sans-serif" w:cs="sans-serif"/>
          <w:i w:val="0"/>
          <w:caps w:val="0"/>
          <w:color w:val="000000"/>
          <w:spacing w:val="0"/>
          <w:sz w:val="19"/>
          <w:szCs w:val="19"/>
        </w:rPr>
      </w:pPr>
    </w:p>
    <w:p>
      <w:pPr>
        <w:pStyle w:val="2"/>
        <w:keepNext w:val="0"/>
        <w:keepLines w:val="0"/>
        <w:pageBreakBefore w:val="0"/>
        <w:widowControl/>
        <w:suppressLineNumbers w:val="0"/>
        <w:kinsoku/>
        <w:overflowPunct/>
        <w:topLinePunct w:val="0"/>
        <w:autoSpaceDE/>
        <w:autoSpaceDN/>
        <w:bidi w:val="0"/>
        <w:adjustRightInd/>
        <w:snapToGrid/>
        <w:spacing w:before="0" w:beforeAutospacing="1" w:after="0" w:afterAutospacing="0" w:line="587" w:lineRule="exact"/>
        <w:ind w:left="0" w:right="0" w:firstLine="0"/>
        <w:jc w:val="center"/>
        <w:textAlignment w:val="auto"/>
        <w:rPr>
          <w:rFonts w:hint="default" w:ascii="sans-serif" w:hAnsi="sans-serif" w:eastAsia="sans-serif" w:cs="sans-serif"/>
          <w:i w:val="0"/>
          <w:caps w:val="0"/>
          <w:color w:val="000000"/>
          <w:spacing w:val="0"/>
          <w:sz w:val="19"/>
          <w:szCs w:val="19"/>
        </w:rPr>
      </w:pPr>
      <w:r>
        <w:rPr>
          <w:rFonts w:hint="eastAsia" w:ascii="方正仿宋_GBK" w:hAnsi="方正仿宋_GBK" w:eastAsia="方正仿宋_GBK" w:cs="方正仿宋_GBK"/>
          <w:i w:val="0"/>
          <w:caps w:val="0"/>
          <w:color w:val="000000"/>
          <w:spacing w:val="0"/>
          <w:sz w:val="32"/>
          <w:szCs w:val="32"/>
        </w:rPr>
        <w:t>万州府办发〔</w:t>
      </w:r>
      <w:r>
        <w:rPr>
          <w:rFonts w:hint="default" w:ascii="Times New Roman" w:hAnsi="Times New Roman" w:eastAsia="sans-serif" w:cs="Times New Roman"/>
          <w:i w:val="0"/>
          <w:caps w:val="0"/>
          <w:color w:val="000000"/>
          <w:spacing w:val="0"/>
          <w:sz w:val="32"/>
          <w:szCs w:val="32"/>
        </w:rPr>
        <w:t>2020</w:t>
      </w:r>
      <w:r>
        <w:rPr>
          <w:rFonts w:hint="eastAsia" w:ascii="方正仿宋_GBK" w:hAnsi="方正仿宋_GBK" w:eastAsia="方正仿宋_GBK" w:cs="方正仿宋_GBK"/>
          <w:i w:val="0"/>
          <w:caps w:val="0"/>
          <w:color w:val="000000"/>
          <w:spacing w:val="0"/>
          <w:sz w:val="32"/>
          <w:szCs w:val="32"/>
        </w:rPr>
        <w:t>〕</w:t>
      </w:r>
      <w:r>
        <w:rPr>
          <w:rFonts w:hint="default" w:ascii="Times New Roman" w:hAnsi="Times New Roman" w:eastAsia="sans-serif" w:cs="Times New Roman"/>
          <w:i w:val="0"/>
          <w:caps w:val="0"/>
          <w:color w:val="000000"/>
          <w:spacing w:val="0"/>
          <w:sz w:val="32"/>
          <w:szCs w:val="32"/>
        </w:rPr>
        <w:t>61</w:t>
      </w:r>
      <w:r>
        <w:rPr>
          <w:rFonts w:hint="eastAsia" w:ascii="方正仿宋_GBK" w:hAnsi="方正仿宋_GBK" w:eastAsia="方正仿宋_GBK" w:cs="方正仿宋_GBK"/>
          <w:i w:val="0"/>
          <w:caps w:val="0"/>
          <w:color w:val="000000"/>
          <w:spacing w:val="0"/>
          <w:sz w:val="32"/>
          <w:szCs w:val="32"/>
        </w:rPr>
        <w:t>号</w:t>
      </w:r>
    </w:p>
    <w:p>
      <w:pPr>
        <w:pStyle w:val="2"/>
        <w:keepNext w:val="0"/>
        <w:keepLines w:val="0"/>
        <w:pageBreakBefore w:val="0"/>
        <w:widowControl/>
        <w:suppressLineNumbers w:val="0"/>
        <w:kinsoku/>
        <w:overflowPunct/>
        <w:topLinePunct w:val="0"/>
        <w:autoSpaceDE/>
        <w:autoSpaceDN/>
        <w:bidi w:val="0"/>
        <w:adjustRightInd/>
        <w:snapToGrid/>
        <w:spacing w:before="0" w:beforeAutospacing="1" w:after="0" w:afterAutospacing="0" w:line="587" w:lineRule="exact"/>
        <w:ind w:left="0" w:right="0" w:firstLine="0"/>
        <w:jc w:val="center"/>
        <w:textAlignment w:val="auto"/>
        <w:rPr>
          <w:rFonts w:hint="default" w:ascii="sans-serif" w:hAnsi="sans-serif" w:eastAsia="sans-serif" w:cs="sans-serif"/>
          <w:i w:val="0"/>
          <w:caps w:val="0"/>
          <w:color w:val="000000"/>
          <w:spacing w:val="0"/>
          <w:sz w:val="19"/>
          <w:szCs w:val="19"/>
        </w:rPr>
      </w:pPr>
    </w:p>
    <w:p>
      <w:pPr>
        <w:pStyle w:val="2"/>
        <w:keepNext w:val="0"/>
        <w:keepLines w:val="0"/>
        <w:pageBreakBefore w:val="0"/>
        <w:widowControl/>
        <w:suppressLineNumbers w:val="0"/>
        <w:kinsoku/>
        <w:overflowPunct/>
        <w:topLinePunct w:val="0"/>
        <w:autoSpaceDE/>
        <w:autoSpaceDN/>
        <w:bidi w:val="0"/>
        <w:adjustRightInd/>
        <w:snapToGrid/>
        <w:spacing w:before="0" w:beforeAutospacing="1" w:after="0" w:afterAutospacing="0" w:line="587" w:lineRule="exact"/>
        <w:ind w:left="0" w:right="0" w:firstLine="0"/>
        <w:textAlignment w:val="auto"/>
        <w:rPr>
          <w:rFonts w:hint="default" w:ascii="sans-serif" w:hAnsi="sans-serif" w:eastAsia="sans-serif" w:cs="sans-serif"/>
          <w:i w:val="0"/>
          <w:caps w:val="0"/>
          <w:color w:val="000000"/>
          <w:spacing w:val="0"/>
          <w:sz w:val="19"/>
          <w:szCs w:val="19"/>
        </w:rPr>
      </w:pPr>
      <w:r>
        <w:rPr>
          <w:rFonts w:hint="eastAsia" w:ascii="方正仿宋_GBK" w:hAnsi="方正仿宋_GBK" w:eastAsia="方正仿宋_GBK" w:cs="方正仿宋_GBK"/>
          <w:i w:val="0"/>
          <w:caps w:val="0"/>
          <w:color w:val="000000"/>
          <w:spacing w:val="0"/>
          <w:sz w:val="32"/>
          <w:szCs w:val="32"/>
        </w:rPr>
        <w:t>各镇乡（民族乡）人民政府，各街道办事处，区政府各部门，有关单位：</w:t>
      </w:r>
    </w:p>
    <w:p>
      <w:pPr>
        <w:pStyle w:val="2"/>
        <w:keepNext w:val="0"/>
        <w:keepLines w:val="0"/>
        <w:pageBreakBefore w:val="0"/>
        <w:widowControl/>
        <w:suppressLineNumbers w:val="0"/>
        <w:kinsoku/>
        <w:overflowPunct/>
        <w:topLinePunct w:val="0"/>
        <w:autoSpaceDE/>
        <w:autoSpaceDN/>
        <w:bidi w:val="0"/>
        <w:adjustRightInd/>
        <w:snapToGrid/>
        <w:spacing w:before="0" w:beforeAutospacing="1" w:after="0" w:afterAutospacing="0" w:line="587" w:lineRule="exact"/>
        <w:ind w:left="0" w:right="0" w:firstLine="634"/>
        <w:textAlignment w:val="auto"/>
        <w:rPr>
          <w:rFonts w:hint="default" w:ascii="sans-serif" w:hAnsi="sans-serif" w:eastAsia="sans-serif" w:cs="sans-serif"/>
          <w:i w:val="0"/>
          <w:caps w:val="0"/>
          <w:color w:val="000000"/>
          <w:spacing w:val="0"/>
          <w:sz w:val="19"/>
          <w:szCs w:val="19"/>
        </w:rPr>
      </w:pPr>
      <w:r>
        <w:rPr>
          <w:rFonts w:hint="eastAsia" w:ascii="方正仿宋_GBK" w:hAnsi="方正仿宋_GBK" w:eastAsia="方正仿宋_GBK" w:cs="方正仿宋_GBK"/>
          <w:i w:val="0"/>
          <w:caps w:val="0"/>
          <w:color w:val="000000"/>
          <w:spacing w:val="0"/>
          <w:sz w:val="32"/>
          <w:szCs w:val="32"/>
        </w:rPr>
        <w:t>为贯彻落实《国务院关于取消和下放一批行政许可事项的决定》（国发〔</w:t>
      </w:r>
      <w:r>
        <w:rPr>
          <w:rFonts w:hint="default" w:ascii="Times New Roman" w:hAnsi="Times New Roman" w:eastAsia="sans-serif" w:cs="Times New Roman"/>
          <w:i w:val="0"/>
          <w:caps w:val="0"/>
          <w:color w:val="000000"/>
          <w:spacing w:val="0"/>
          <w:sz w:val="32"/>
          <w:szCs w:val="32"/>
        </w:rPr>
        <w:t>2020</w:t>
      </w:r>
      <w:r>
        <w:rPr>
          <w:rFonts w:hint="eastAsia" w:ascii="方正仿宋_GBK" w:hAnsi="方正仿宋_GBK" w:eastAsia="方正仿宋_GBK" w:cs="方正仿宋_GBK"/>
          <w:i w:val="0"/>
          <w:caps w:val="0"/>
          <w:color w:val="000000"/>
          <w:spacing w:val="0"/>
          <w:sz w:val="32"/>
          <w:szCs w:val="32"/>
        </w:rPr>
        <w:t>〕</w:t>
      </w:r>
      <w:r>
        <w:rPr>
          <w:rFonts w:hint="default" w:ascii="Times New Roman" w:hAnsi="Times New Roman" w:eastAsia="sans-serif" w:cs="Times New Roman"/>
          <w:i w:val="0"/>
          <w:caps w:val="0"/>
          <w:color w:val="000000"/>
          <w:spacing w:val="0"/>
          <w:sz w:val="32"/>
          <w:szCs w:val="32"/>
        </w:rPr>
        <w:t>13</w:t>
      </w:r>
      <w:r>
        <w:rPr>
          <w:rFonts w:hint="eastAsia" w:ascii="方正仿宋_GBK" w:hAnsi="方正仿宋_GBK" w:eastAsia="方正仿宋_GBK" w:cs="方正仿宋_GBK"/>
          <w:i w:val="0"/>
          <w:caps w:val="0"/>
          <w:color w:val="000000"/>
          <w:spacing w:val="0"/>
          <w:sz w:val="32"/>
          <w:szCs w:val="32"/>
        </w:rPr>
        <w:t>号），以及《重庆市人民政府关于取消、承接和下放一批行政许可事项的决定》等有关文件精神，进一步转变政府职能，优化营商环境，经区政府同意，现将承接市级下放和对应市级取消的行政许可事项（</w:t>
      </w:r>
      <w:r>
        <w:rPr>
          <w:rFonts w:hint="default" w:ascii="Times New Roman" w:hAnsi="Times New Roman" w:eastAsia="sans-serif" w:cs="Times New Roman"/>
          <w:i w:val="0"/>
          <w:caps w:val="0"/>
          <w:color w:val="000000"/>
          <w:spacing w:val="0"/>
          <w:sz w:val="32"/>
          <w:szCs w:val="32"/>
        </w:rPr>
        <w:t>2020</w:t>
      </w:r>
      <w:r>
        <w:rPr>
          <w:rFonts w:hint="eastAsia" w:ascii="方正仿宋_GBK" w:hAnsi="方正仿宋_GBK" w:eastAsia="方正仿宋_GBK" w:cs="方正仿宋_GBK"/>
          <w:i w:val="0"/>
          <w:caps w:val="0"/>
          <w:color w:val="000000"/>
          <w:spacing w:val="0"/>
          <w:sz w:val="32"/>
          <w:szCs w:val="32"/>
        </w:rPr>
        <w:t>年第一批）等有关事宜通知如下：</w:t>
      </w:r>
    </w:p>
    <w:p>
      <w:pPr>
        <w:pStyle w:val="2"/>
        <w:keepNext w:val="0"/>
        <w:keepLines w:val="0"/>
        <w:pageBreakBefore w:val="0"/>
        <w:widowControl/>
        <w:suppressLineNumbers w:val="0"/>
        <w:kinsoku/>
        <w:overflowPunct/>
        <w:topLinePunct w:val="0"/>
        <w:autoSpaceDE/>
        <w:autoSpaceDN/>
        <w:bidi w:val="0"/>
        <w:adjustRightInd/>
        <w:snapToGrid/>
        <w:spacing w:before="0" w:beforeAutospacing="1" w:after="0" w:afterAutospacing="0" w:line="587" w:lineRule="exact"/>
        <w:ind w:left="0" w:right="0" w:firstLine="634"/>
        <w:textAlignment w:val="auto"/>
        <w:rPr>
          <w:rFonts w:hint="default" w:ascii="sans-serif" w:hAnsi="sans-serif" w:eastAsia="sans-serif" w:cs="sans-serif"/>
          <w:i w:val="0"/>
          <w:caps w:val="0"/>
          <w:color w:val="000000"/>
          <w:spacing w:val="0"/>
          <w:sz w:val="19"/>
          <w:szCs w:val="19"/>
        </w:rPr>
      </w:pPr>
      <w:r>
        <w:rPr>
          <w:rFonts w:ascii="方正黑体_GBK" w:hAnsi="方正黑体_GBK" w:eastAsia="方正黑体_GBK" w:cs="方正黑体_GBK"/>
          <w:i w:val="0"/>
          <w:caps w:val="0"/>
          <w:color w:val="000000"/>
          <w:spacing w:val="0"/>
          <w:sz w:val="32"/>
          <w:szCs w:val="32"/>
        </w:rPr>
        <w:t>一、承接市级下放和对应市级取消的事项</w:t>
      </w:r>
    </w:p>
    <w:p>
      <w:pPr>
        <w:pStyle w:val="2"/>
        <w:keepNext w:val="0"/>
        <w:keepLines w:val="0"/>
        <w:pageBreakBefore w:val="0"/>
        <w:widowControl/>
        <w:suppressLineNumbers w:val="0"/>
        <w:kinsoku/>
        <w:overflowPunct/>
        <w:topLinePunct w:val="0"/>
        <w:autoSpaceDE/>
        <w:autoSpaceDN/>
        <w:bidi w:val="0"/>
        <w:adjustRightInd/>
        <w:snapToGrid/>
        <w:spacing w:before="0" w:beforeAutospacing="1" w:after="0" w:afterAutospacing="0" w:line="587" w:lineRule="exact"/>
        <w:ind w:left="0" w:right="0" w:firstLine="634"/>
        <w:textAlignment w:val="auto"/>
        <w:rPr>
          <w:rFonts w:hint="default" w:ascii="sans-serif" w:hAnsi="sans-serif" w:eastAsia="sans-serif" w:cs="sans-serif"/>
          <w:i w:val="0"/>
          <w:caps w:val="0"/>
          <w:color w:val="000000"/>
          <w:spacing w:val="0"/>
          <w:sz w:val="19"/>
          <w:szCs w:val="19"/>
        </w:rPr>
      </w:pPr>
      <w:r>
        <w:rPr>
          <w:rFonts w:hint="eastAsia" w:ascii="方正仿宋_GBK" w:hAnsi="方正仿宋_GBK" w:eastAsia="方正仿宋_GBK" w:cs="方正仿宋_GBK"/>
          <w:i w:val="0"/>
          <w:caps w:val="0"/>
          <w:color w:val="000000"/>
          <w:spacing w:val="0"/>
          <w:sz w:val="32"/>
          <w:szCs w:val="32"/>
        </w:rPr>
        <w:t>承接市级下放的行政许可事项共</w:t>
      </w:r>
      <w:r>
        <w:rPr>
          <w:rFonts w:hint="default" w:ascii="Times New Roman" w:hAnsi="Times New Roman" w:eastAsia="sans-serif" w:cs="Times New Roman"/>
          <w:i w:val="0"/>
          <w:caps w:val="0"/>
          <w:color w:val="000000"/>
          <w:spacing w:val="0"/>
          <w:sz w:val="32"/>
          <w:szCs w:val="32"/>
        </w:rPr>
        <w:t>1</w:t>
      </w:r>
      <w:r>
        <w:rPr>
          <w:rFonts w:hint="eastAsia" w:ascii="方正仿宋_GBK" w:hAnsi="方正仿宋_GBK" w:eastAsia="方正仿宋_GBK" w:cs="方正仿宋_GBK"/>
          <w:i w:val="0"/>
          <w:caps w:val="0"/>
          <w:color w:val="000000"/>
          <w:spacing w:val="0"/>
          <w:sz w:val="32"/>
          <w:szCs w:val="32"/>
        </w:rPr>
        <w:t>项（见附件</w:t>
      </w:r>
      <w:r>
        <w:rPr>
          <w:rFonts w:hint="default" w:ascii="Times New Roman" w:hAnsi="Times New Roman" w:eastAsia="sans-serif" w:cs="Times New Roman"/>
          <w:i w:val="0"/>
          <w:caps w:val="0"/>
          <w:color w:val="000000"/>
          <w:spacing w:val="0"/>
          <w:sz w:val="32"/>
          <w:szCs w:val="32"/>
        </w:rPr>
        <w:t>1</w:t>
      </w:r>
      <w:r>
        <w:rPr>
          <w:rFonts w:hint="eastAsia" w:ascii="方正仿宋_GBK" w:hAnsi="方正仿宋_GBK" w:eastAsia="方正仿宋_GBK" w:cs="方正仿宋_GBK"/>
          <w:i w:val="0"/>
          <w:caps w:val="0"/>
          <w:color w:val="000000"/>
          <w:spacing w:val="0"/>
          <w:sz w:val="32"/>
          <w:szCs w:val="32"/>
        </w:rPr>
        <w:t>），对应市级取消的行政许可事项共</w:t>
      </w:r>
      <w:r>
        <w:rPr>
          <w:rFonts w:hint="default" w:ascii="Times New Roman" w:hAnsi="Times New Roman" w:eastAsia="sans-serif" w:cs="Times New Roman"/>
          <w:i w:val="0"/>
          <w:caps w:val="0"/>
          <w:color w:val="000000"/>
          <w:spacing w:val="0"/>
          <w:sz w:val="32"/>
          <w:szCs w:val="32"/>
        </w:rPr>
        <w:t>4</w:t>
      </w:r>
      <w:r>
        <w:rPr>
          <w:rFonts w:hint="eastAsia" w:ascii="方正仿宋_GBK" w:hAnsi="方正仿宋_GBK" w:eastAsia="方正仿宋_GBK" w:cs="方正仿宋_GBK"/>
          <w:i w:val="0"/>
          <w:caps w:val="0"/>
          <w:color w:val="000000"/>
          <w:spacing w:val="0"/>
          <w:sz w:val="32"/>
          <w:szCs w:val="32"/>
        </w:rPr>
        <w:t>项（见附件</w:t>
      </w:r>
      <w:r>
        <w:rPr>
          <w:rFonts w:hint="default" w:ascii="Times New Roman" w:hAnsi="Times New Roman" w:eastAsia="sans-serif" w:cs="Times New Roman"/>
          <w:i w:val="0"/>
          <w:caps w:val="0"/>
          <w:color w:val="000000"/>
          <w:spacing w:val="0"/>
          <w:sz w:val="32"/>
          <w:szCs w:val="32"/>
        </w:rPr>
        <w:t>2</w:t>
      </w:r>
      <w:r>
        <w:rPr>
          <w:rFonts w:hint="eastAsia" w:ascii="方正仿宋_GBK" w:hAnsi="方正仿宋_GBK" w:eastAsia="方正仿宋_GBK" w:cs="方正仿宋_GBK"/>
          <w:i w:val="0"/>
          <w:caps w:val="0"/>
          <w:color w:val="000000"/>
          <w:spacing w:val="0"/>
          <w:sz w:val="32"/>
          <w:szCs w:val="32"/>
        </w:rPr>
        <w:t>）。</w:t>
      </w:r>
    </w:p>
    <w:p>
      <w:pPr>
        <w:pStyle w:val="2"/>
        <w:keepNext w:val="0"/>
        <w:keepLines w:val="0"/>
        <w:pageBreakBefore w:val="0"/>
        <w:widowControl/>
        <w:suppressLineNumbers w:val="0"/>
        <w:kinsoku/>
        <w:overflowPunct/>
        <w:topLinePunct w:val="0"/>
        <w:autoSpaceDE/>
        <w:autoSpaceDN/>
        <w:bidi w:val="0"/>
        <w:adjustRightInd/>
        <w:snapToGrid/>
        <w:spacing w:before="0" w:beforeAutospacing="1" w:after="0" w:afterAutospacing="0" w:line="587" w:lineRule="exact"/>
        <w:ind w:left="0" w:right="0" w:firstLine="634"/>
        <w:textAlignment w:val="auto"/>
        <w:rPr>
          <w:rFonts w:hint="default" w:ascii="sans-serif" w:hAnsi="sans-serif" w:eastAsia="sans-serif" w:cs="sans-serif"/>
          <w:i w:val="0"/>
          <w:caps w:val="0"/>
          <w:color w:val="000000"/>
          <w:spacing w:val="0"/>
          <w:sz w:val="19"/>
          <w:szCs w:val="19"/>
        </w:rPr>
      </w:pPr>
      <w:r>
        <w:rPr>
          <w:rFonts w:hint="eastAsia" w:ascii="方正黑体_GBK" w:hAnsi="方正黑体_GBK" w:eastAsia="方正黑体_GBK" w:cs="方正黑体_GBK"/>
          <w:i w:val="0"/>
          <w:caps w:val="0"/>
          <w:color w:val="000000"/>
          <w:spacing w:val="0"/>
          <w:sz w:val="32"/>
          <w:szCs w:val="32"/>
        </w:rPr>
        <w:t>二、加强对承接市级下放和对应市级取消事项的监管</w:t>
      </w:r>
    </w:p>
    <w:p>
      <w:pPr>
        <w:pStyle w:val="2"/>
        <w:keepNext w:val="0"/>
        <w:keepLines w:val="0"/>
        <w:pageBreakBefore w:val="0"/>
        <w:widowControl/>
        <w:suppressLineNumbers w:val="0"/>
        <w:kinsoku/>
        <w:overflowPunct/>
        <w:topLinePunct w:val="0"/>
        <w:autoSpaceDE/>
        <w:autoSpaceDN/>
        <w:bidi w:val="0"/>
        <w:adjustRightInd/>
        <w:snapToGrid/>
        <w:spacing w:before="0" w:beforeAutospacing="1" w:after="0" w:afterAutospacing="0" w:line="587" w:lineRule="exact"/>
        <w:ind w:left="0" w:right="0" w:firstLine="634"/>
        <w:textAlignment w:val="auto"/>
        <w:rPr>
          <w:rFonts w:hint="default" w:ascii="sans-serif" w:hAnsi="sans-serif" w:eastAsia="sans-serif" w:cs="sans-serif"/>
          <w:i w:val="0"/>
          <w:caps w:val="0"/>
          <w:color w:val="000000"/>
          <w:spacing w:val="0"/>
          <w:sz w:val="19"/>
          <w:szCs w:val="19"/>
        </w:rPr>
      </w:pPr>
      <w:r>
        <w:rPr>
          <w:rFonts w:hint="eastAsia" w:ascii="方正仿宋_GBK" w:hAnsi="方正仿宋_GBK" w:eastAsia="方正仿宋_GBK" w:cs="方正仿宋_GBK"/>
          <w:i w:val="0"/>
          <w:caps w:val="0"/>
          <w:color w:val="000000"/>
          <w:spacing w:val="0"/>
          <w:sz w:val="32"/>
          <w:szCs w:val="32"/>
        </w:rPr>
        <w:t>（一）凡涉及承接市级下放行政许可事项的，相关部门单位要主动与市级主管部门对接，制定承接方案，建立健全工作机制，制定和公开行政审批流程示意图，确保承接落实到位。除涉密等不宜集中办理的审批事项外，承接事项须按照“应进必进”原则进入区政务服务中心办理，并及时纳入市网审平台运行。</w:t>
      </w:r>
    </w:p>
    <w:p>
      <w:pPr>
        <w:pStyle w:val="2"/>
        <w:keepNext w:val="0"/>
        <w:keepLines w:val="0"/>
        <w:pageBreakBefore w:val="0"/>
        <w:widowControl/>
        <w:suppressLineNumbers w:val="0"/>
        <w:kinsoku/>
        <w:overflowPunct/>
        <w:topLinePunct w:val="0"/>
        <w:autoSpaceDE/>
        <w:autoSpaceDN/>
        <w:bidi w:val="0"/>
        <w:adjustRightInd/>
        <w:snapToGrid/>
        <w:spacing w:before="0" w:beforeAutospacing="1" w:after="0" w:afterAutospacing="0" w:line="587" w:lineRule="exact"/>
        <w:ind w:left="0" w:right="0" w:firstLine="634"/>
        <w:textAlignment w:val="auto"/>
        <w:rPr>
          <w:rFonts w:hint="default" w:ascii="sans-serif" w:hAnsi="sans-serif" w:eastAsia="sans-serif" w:cs="sans-serif"/>
          <w:i w:val="0"/>
          <w:caps w:val="0"/>
          <w:color w:val="000000"/>
          <w:spacing w:val="0"/>
          <w:sz w:val="19"/>
          <w:szCs w:val="19"/>
        </w:rPr>
      </w:pPr>
      <w:r>
        <w:rPr>
          <w:rFonts w:hint="eastAsia" w:ascii="方正仿宋_GBK" w:hAnsi="方正仿宋_GBK" w:eastAsia="方正仿宋_GBK" w:cs="方正仿宋_GBK"/>
          <w:i w:val="0"/>
          <w:caps w:val="0"/>
          <w:color w:val="000000"/>
          <w:spacing w:val="0"/>
          <w:sz w:val="32"/>
          <w:szCs w:val="32"/>
        </w:rPr>
        <w:t>（二）凡对应市级取消的行政许可事项，自本通知下发之日起，区级相关部门单位不得再实施审批。有关部门和单位要切实转变职能，认真做好行政许可事项取消的落实工作，制定事中事后监管措施，及时向社会公布有关事项事中事后监管细则，相应调整网上行政许可事项及办事指南，做好工作衔接，方便企业和市民办事。对取消的行政许可事项，不得违法转交下属事业单位、协会继续审批，不得通过拆分、合并或重组等方式以新的名义、条目替代审批，不得以其他任何形式变相审批。</w:t>
      </w:r>
    </w:p>
    <w:p>
      <w:pPr>
        <w:pStyle w:val="2"/>
        <w:keepNext w:val="0"/>
        <w:keepLines w:val="0"/>
        <w:pageBreakBefore w:val="0"/>
        <w:widowControl/>
        <w:suppressLineNumbers w:val="0"/>
        <w:kinsoku/>
        <w:overflowPunct/>
        <w:topLinePunct w:val="0"/>
        <w:autoSpaceDE/>
        <w:autoSpaceDN/>
        <w:bidi w:val="0"/>
        <w:adjustRightInd/>
        <w:snapToGrid/>
        <w:spacing w:before="0" w:beforeAutospacing="1" w:after="0" w:afterAutospacing="0" w:line="587" w:lineRule="exact"/>
        <w:ind w:left="0" w:right="0" w:firstLine="634"/>
        <w:textAlignment w:val="auto"/>
        <w:rPr>
          <w:rFonts w:hint="default" w:ascii="sans-serif" w:hAnsi="sans-serif" w:eastAsia="sans-serif" w:cs="sans-serif"/>
          <w:i w:val="0"/>
          <w:caps w:val="0"/>
          <w:color w:val="000000"/>
          <w:spacing w:val="0"/>
          <w:sz w:val="19"/>
          <w:szCs w:val="19"/>
        </w:rPr>
      </w:pPr>
      <w:r>
        <w:rPr>
          <w:rFonts w:hint="eastAsia" w:ascii="方正黑体_GBK" w:hAnsi="方正黑体_GBK" w:eastAsia="方正黑体_GBK" w:cs="方正黑体_GBK"/>
          <w:i w:val="0"/>
          <w:caps w:val="0"/>
          <w:color w:val="000000"/>
          <w:spacing w:val="0"/>
          <w:sz w:val="32"/>
          <w:szCs w:val="32"/>
        </w:rPr>
        <w:t>三、有关要求</w:t>
      </w:r>
    </w:p>
    <w:p>
      <w:pPr>
        <w:pStyle w:val="2"/>
        <w:keepNext w:val="0"/>
        <w:keepLines w:val="0"/>
        <w:pageBreakBefore w:val="0"/>
        <w:widowControl/>
        <w:suppressLineNumbers w:val="0"/>
        <w:kinsoku/>
        <w:overflowPunct/>
        <w:topLinePunct w:val="0"/>
        <w:autoSpaceDE/>
        <w:autoSpaceDN/>
        <w:bidi w:val="0"/>
        <w:adjustRightInd/>
        <w:snapToGrid/>
        <w:spacing w:before="0" w:beforeAutospacing="1" w:after="0" w:afterAutospacing="0" w:line="587" w:lineRule="exact"/>
        <w:ind w:left="0" w:right="0" w:firstLine="634"/>
        <w:textAlignment w:val="auto"/>
        <w:rPr>
          <w:rFonts w:hint="default" w:ascii="sans-serif" w:hAnsi="sans-serif" w:eastAsia="sans-serif" w:cs="sans-serif"/>
          <w:i w:val="0"/>
          <w:caps w:val="0"/>
          <w:color w:val="000000"/>
          <w:spacing w:val="0"/>
          <w:sz w:val="19"/>
          <w:szCs w:val="19"/>
        </w:rPr>
      </w:pPr>
      <w:r>
        <w:rPr>
          <w:rFonts w:hint="default" w:ascii="Times New Roman" w:hAnsi="Times New Roman" w:eastAsia="sans-serif" w:cs="Times New Roman"/>
          <w:i w:val="0"/>
          <w:caps w:val="0"/>
          <w:color w:val="000000"/>
          <w:spacing w:val="0"/>
          <w:sz w:val="32"/>
          <w:szCs w:val="32"/>
        </w:rPr>
        <w:t>1.</w:t>
      </w:r>
      <w:r>
        <w:rPr>
          <w:rFonts w:hint="eastAsia" w:ascii="方正仿宋_GBK" w:hAnsi="方正仿宋_GBK" w:eastAsia="方正仿宋_GBK" w:cs="方正仿宋_GBK"/>
          <w:i w:val="0"/>
          <w:caps w:val="0"/>
          <w:color w:val="000000"/>
          <w:spacing w:val="0"/>
          <w:sz w:val="32"/>
          <w:szCs w:val="32"/>
        </w:rPr>
        <w:t>区政府有关部门和单位要按照市、区两级关于优化营商环境、提升政务服务效能等相关要求，进一步规范行政审批行为，优化行政审批流程，改进行政审批服务质量，提高行政审批效率，加强行政审批信息公开，确保重大政策措施落实到位。</w:t>
      </w:r>
    </w:p>
    <w:p>
      <w:pPr>
        <w:pStyle w:val="2"/>
        <w:keepNext w:val="0"/>
        <w:keepLines w:val="0"/>
        <w:pageBreakBefore w:val="0"/>
        <w:widowControl/>
        <w:suppressLineNumbers w:val="0"/>
        <w:kinsoku/>
        <w:overflowPunct/>
        <w:topLinePunct w:val="0"/>
        <w:autoSpaceDE/>
        <w:autoSpaceDN/>
        <w:bidi w:val="0"/>
        <w:adjustRightInd/>
        <w:snapToGrid/>
        <w:spacing w:before="0" w:beforeAutospacing="1" w:after="0" w:afterAutospacing="0" w:line="587" w:lineRule="exact"/>
        <w:ind w:left="0" w:right="0" w:firstLine="634"/>
        <w:textAlignment w:val="auto"/>
        <w:rPr>
          <w:rFonts w:hint="default" w:ascii="sans-serif" w:hAnsi="sans-serif" w:eastAsia="sans-serif" w:cs="sans-serif"/>
          <w:i w:val="0"/>
          <w:caps w:val="0"/>
          <w:color w:val="000000"/>
          <w:spacing w:val="0"/>
          <w:sz w:val="19"/>
          <w:szCs w:val="19"/>
        </w:rPr>
      </w:pPr>
      <w:r>
        <w:rPr>
          <w:rFonts w:hint="default" w:ascii="Times New Roman" w:hAnsi="Times New Roman" w:eastAsia="sans-serif" w:cs="Times New Roman"/>
          <w:i w:val="0"/>
          <w:caps w:val="0"/>
          <w:color w:val="000000"/>
          <w:spacing w:val="0"/>
          <w:sz w:val="32"/>
          <w:szCs w:val="32"/>
        </w:rPr>
        <w:t>2.</w:t>
      </w:r>
      <w:r>
        <w:rPr>
          <w:rFonts w:hint="eastAsia" w:ascii="方正仿宋_GBK" w:hAnsi="方正仿宋_GBK" w:eastAsia="方正仿宋_GBK" w:cs="方正仿宋_GBK"/>
          <w:i w:val="0"/>
          <w:caps w:val="0"/>
          <w:color w:val="000000"/>
          <w:spacing w:val="0"/>
          <w:sz w:val="32"/>
          <w:szCs w:val="32"/>
        </w:rPr>
        <w:t>区政府有关部门单位在实施过程中如发现问题，要及时将有关情况向区政务服务管理办公室反馈。</w:t>
      </w:r>
    </w:p>
    <w:p>
      <w:pPr>
        <w:pStyle w:val="2"/>
        <w:keepNext w:val="0"/>
        <w:keepLines w:val="0"/>
        <w:pageBreakBefore w:val="0"/>
        <w:widowControl/>
        <w:suppressLineNumbers w:val="0"/>
        <w:kinsoku/>
        <w:overflowPunct/>
        <w:topLinePunct w:val="0"/>
        <w:autoSpaceDE/>
        <w:autoSpaceDN/>
        <w:bidi w:val="0"/>
        <w:adjustRightInd/>
        <w:snapToGrid/>
        <w:spacing w:before="0" w:beforeAutospacing="1" w:after="0" w:afterAutospacing="0" w:line="587" w:lineRule="exact"/>
        <w:ind w:left="0" w:right="0" w:firstLine="634"/>
        <w:textAlignment w:val="auto"/>
        <w:rPr>
          <w:rFonts w:hint="default" w:ascii="sans-serif" w:hAnsi="sans-serif" w:eastAsia="sans-serif" w:cs="sans-serif"/>
          <w:i w:val="0"/>
          <w:caps w:val="0"/>
          <w:color w:val="000000"/>
          <w:spacing w:val="0"/>
          <w:sz w:val="19"/>
          <w:szCs w:val="19"/>
        </w:rPr>
      </w:pPr>
    </w:p>
    <w:p>
      <w:pPr>
        <w:pStyle w:val="2"/>
        <w:keepNext w:val="0"/>
        <w:keepLines w:val="0"/>
        <w:pageBreakBefore w:val="0"/>
        <w:widowControl/>
        <w:suppressLineNumbers w:val="0"/>
        <w:kinsoku/>
        <w:overflowPunct/>
        <w:topLinePunct w:val="0"/>
        <w:autoSpaceDE/>
        <w:autoSpaceDN/>
        <w:bidi w:val="0"/>
        <w:adjustRightInd/>
        <w:snapToGrid/>
        <w:spacing w:before="0" w:beforeAutospacing="1" w:after="0" w:afterAutospacing="0" w:line="587" w:lineRule="exact"/>
        <w:ind w:left="0" w:right="0" w:firstLine="634"/>
        <w:jc w:val="left"/>
        <w:textAlignment w:val="auto"/>
        <w:rPr>
          <w:rFonts w:hint="default" w:ascii="sans-serif" w:hAnsi="sans-serif" w:eastAsia="sans-serif" w:cs="sans-serif"/>
          <w:i w:val="0"/>
          <w:caps w:val="0"/>
          <w:color w:val="000000"/>
          <w:spacing w:val="0"/>
          <w:sz w:val="19"/>
          <w:szCs w:val="19"/>
        </w:rPr>
      </w:pPr>
      <w:r>
        <w:rPr>
          <w:rFonts w:hint="eastAsia" w:ascii="方正仿宋_GBK" w:hAnsi="方正仿宋_GBK" w:eastAsia="方正仿宋_GBK" w:cs="方正仿宋_GBK"/>
          <w:i w:val="0"/>
          <w:caps w:val="0"/>
          <w:color w:val="000000"/>
          <w:spacing w:val="0"/>
          <w:sz w:val="32"/>
          <w:szCs w:val="32"/>
        </w:rPr>
        <w:t>附件：</w:t>
      </w:r>
      <w:r>
        <w:rPr>
          <w:rFonts w:hint="default" w:ascii="Times New Roman" w:hAnsi="Times New Roman" w:eastAsia="sans-serif" w:cs="Times New Roman"/>
          <w:i w:val="0"/>
          <w:caps w:val="0"/>
          <w:color w:val="000000"/>
          <w:spacing w:val="0"/>
          <w:sz w:val="32"/>
          <w:szCs w:val="32"/>
        </w:rPr>
        <w:t>1.</w:t>
      </w:r>
      <w:r>
        <w:rPr>
          <w:rFonts w:hint="eastAsia" w:ascii="方正仿宋_GBK" w:hAnsi="方正仿宋_GBK" w:eastAsia="方正仿宋_GBK" w:cs="方正仿宋_GBK"/>
          <w:i w:val="0"/>
          <w:caps w:val="0"/>
          <w:color w:val="000000"/>
          <w:spacing w:val="0"/>
          <w:sz w:val="32"/>
          <w:szCs w:val="32"/>
        </w:rPr>
        <w:t>承接市级下放的行政许可事项目录</w:t>
      </w:r>
    </w:p>
    <w:p>
      <w:pPr>
        <w:pStyle w:val="2"/>
        <w:keepNext w:val="0"/>
        <w:keepLines w:val="0"/>
        <w:pageBreakBefore w:val="0"/>
        <w:widowControl/>
        <w:suppressLineNumbers w:val="0"/>
        <w:kinsoku/>
        <w:overflowPunct/>
        <w:topLinePunct w:val="0"/>
        <w:autoSpaceDE/>
        <w:autoSpaceDN/>
        <w:bidi w:val="0"/>
        <w:adjustRightInd/>
        <w:snapToGrid/>
        <w:spacing w:before="0" w:beforeAutospacing="1" w:after="0" w:afterAutospacing="0" w:line="587" w:lineRule="exact"/>
        <w:ind w:left="0" w:right="0" w:firstLine="0"/>
        <w:jc w:val="left"/>
        <w:textAlignment w:val="auto"/>
        <w:rPr>
          <w:rFonts w:hint="default" w:ascii="sans-serif" w:hAnsi="sans-serif" w:eastAsia="sans-serif" w:cs="sans-serif"/>
          <w:i w:val="0"/>
          <w:caps w:val="0"/>
          <w:color w:val="000000"/>
          <w:spacing w:val="0"/>
          <w:sz w:val="19"/>
          <w:szCs w:val="19"/>
        </w:rPr>
      </w:pPr>
      <w:r>
        <w:rPr>
          <w:rFonts w:hint="eastAsia" w:ascii="方正仿宋_GBK" w:hAnsi="方正仿宋_GBK" w:eastAsia="方正仿宋_GBK" w:cs="方正仿宋_GBK"/>
          <w:i w:val="0"/>
          <w:caps w:val="0"/>
          <w:color w:val="000000"/>
          <w:spacing w:val="0"/>
          <w:sz w:val="32"/>
          <w:szCs w:val="32"/>
        </w:rPr>
        <w:t>         </w:t>
      </w:r>
      <w:r>
        <w:rPr>
          <w:rFonts w:hint="default" w:ascii="Times New Roman" w:hAnsi="Times New Roman" w:eastAsia="sans-serif" w:cs="Times New Roman"/>
          <w:i w:val="0"/>
          <w:caps w:val="0"/>
          <w:color w:val="000000"/>
          <w:spacing w:val="0"/>
          <w:sz w:val="32"/>
          <w:szCs w:val="32"/>
        </w:rPr>
        <w:t> 2.</w:t>
      </w:r>
      <w:r>
        <w:rPr>
          <w:rFonts w:hint="eastAsia" w:ascii="方正仿宋_GBK" w:hAnsi="方正仿宋_GBK" w:eastAsia="方正仿宋_GBK" w:cs="方正仿宋_GBK"/>
          <w:i w:val="0"/>
          <w:caps w:val="0"/>
          <w:color w:val="000000"/>
          <w:spacing w:val="0"/>
          <w:sz w:val="32"/>
          <w:szCs w:val="32"/>
        </w:rPr>
        <w:t>对应市级取消的行政许可事项目录</w:t>
      </w:r>
    </w:p>
    <w:p>
      <w:pPr>
        <w:pStyle w:val="2"/>
        <w:keepNext w:val="0"/>
        <w:keepLines w:val="0"/>
        <w:pageBreakBefore w:val="0"/>
        <w:widowControl/>
        <w:suppressLineNumbers w:val="0"/>
        <w:kinsoku/>
        <w:overflowPunct/>
        <w:topLinePunct w:val="0"/>
        <w:autoSpaceDE/>
        <w:autoSpaceDN/>
        <w:bidi w:val="0"/>
        <w:adjustRightInd/>
        <w:snapToGrid/>
        <w:spacing w:before="0" w:beforeAutospacing="1" w:after="0" w:afterAutospacing="0" w:line="587" w:lineRule="exact"/>
        <w:ind w:left="0" w:right="0" w:firstLine="0"/>
        <w:jc w:val="left"/>
        <w:textAlignment w:val="auto"/>
        <w:rPr>
          <w:rFonts w:hint="default" w:ascii="sans-serif" w:hAnsi="sans-serif" w:eastAsia="sans-serif" w:cs="sans-serif"/>
          <w:i w:val="0"/>
          <w:caps w:val="0"/>
          <w:color w:val="000000"/>
          <w:spacing w:val="0"/>
          <w:sz w:val="19"/>
          <w:szCs w:val="19"/>
        </w:rPr>
      </w:pPr>
    </w:p>
    <w:p>
      <w:pPr>
        <w:pStyle w:val="2"/>
        <w:keepNext w:val="0"/>
        <w:keepLines w:val="0"/>
        <w:pageBreakBefore w:val="0"/>
        <w:widowControl/>
        <w:suppressLineNumbers w:val="0"/>
        <w:kinsoku/>
        <w:overflowPunct/>
        <w:topLinePunct w:val="0"/>
        <w:autoSpaceDE/>
        <w:autoSpaceDN/>
        <w:bidi w:val="0"/>
        <w:adjustRightInd/>
        <w:snapToGrid/>
        <w:spacing w:before="0" w:beforeAutospacing="1" w:after="0" w:afterAutospacing="0" w:line="587" w:lineRule="exact"/>
        <w:ind w:left="0" w:right="0" w:firstLine="0"/>
        <w:jc w:val="left"/>
        <w:textAlignment w:val="auto"/>
        <w:rPr>
          <w:rFonts w:hint="default" w:ascii="sans-serif" w:hAnsi="sans-serif" w:eastAsia="sans-serif" w:cs="sans-serif"/>
          <w:i w:val="0"/>
          <w:caps w:val="0"/>
          <w:color w:val="000000"/>
          <w:spacing w:val="0"/>
          <w:sz w:val="19"/>
          <w:szCs w:val="19"/>
        </w:rPr>
      </w:pPr>
    </w:p>
    <w:p>
      <w:pPr>
        <w:pStyle w:val="2"/>
        <w:keepNext w:val="0"/>
        <w:keepLines w:val="0"/>
        <w:pageBreakBefore w:val="0"/>
        <w:widowControl/>
        <w:suppressLineNumbers w:val="0"/>
        <w:kinsoku/>
        <w:overflowPunct/>
        <w:topLinePunct w:val="0"/>
        <w:autoSpaceDE/>
        <w:autoSpaceDN/>
        <w:bidi w:val="0"/>
        <w:adjustRightInd/>
        <w:snapToGrid/>
        <w:spacing w:before="0" w:beforeAutospacing="1" w:after="0" w:afterAutospacing="0" w:line="587" w:lineRule="exact"/>
        <w:ind w:left="0" w:right="0" w:firstLine="0"/>
        <w:jc w:val="left"/>
        <w:textAlignment w:val="auto"/>
        <w:rPr>
          <w:rFonts w:hint="default" w:ascii="sans-serif" w:hAnsi="sans-serif" w:eastAsia="sans-serif" w:cs="sans-serif"/>
          <w:i w:val="0"/>
          <w:caps w:val="0"/>
          <w:color w:val="000000"/>
          <w:spacing w:val="0"/>
          <w:sz w:val="19"/>
          <w:szCs w:val="19"/>
        </w:rPr>
      </w:pPr>
    </w:p>
    <w:p>
      <w:pPr>
        <w:pStyle w:val="2"/>
        <w:keepNext w:val="0"/>
        <w:keepLines w:val="0"/>
        <w:pageBreakBefore w:val="0"/>
        <w:widowControl/>
        <w:suppressLineNumbers w:val="0"/>
        <w:kinsoku/>
        <w:overflowPunct/>
        <w:topLinePunct w:val="0"/>
        <w:autoSpaceDE/>
        <w:autoSpaceDN/>
        <w:bidi w:val="0"/>
        <w:adjustRightInd/>
        <w:snapToGrid/>
        <w:spacing w:before="0" w:beforeAutospacing="1" w:after="0" w:afterAutospacing="0" w:line="587" w:lineRule="exact"/>
        <w:ind w:left="0" w:right="0" w:firstLine="0"/>
        <w:jc w:val="left"/>
        <w:textAlignment w:val="auto"/>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sz w:val="19"/>
          <w:szCs w:val="19"/>
        </w:rPr>
        <w:t>                         </w:t>
      </w:r>
      <w:r>
        <w:rPr>
          <w:rFonts w:hint="default" w:ascii="Times New Roman" w:hAnsi="Times New Roman" w:eastAsia="sans-serif" w:cs="Times New Roman"/>
          <w:i w:val="0"/>
          <w:caps w:val="0"/>
          <w:color w:val="000000"/>
          <w:spacing w:val="0"/>
          <w:sz w:val="32"/>
          <w:szCs w:val="32"/>
        </w:rPr>
        <w:t>                                       </w:t>
      </w:r>
      <w:r>
        <w:rPr>
          <w:rFonts w:hint="eastAsia" w:ascii="Times New Roman" w:hAnsi="Times New Roman" w:eastAsia="宋体" w:cs="Times New Roman"/>
          <w:i w:val="0"/>
          <w:caps w:val="0"/>
          <w:color w:val="000000"/>
          <w:spacing w:val="0"/>
          <w:sz w:val="32"/>
          <w:szCs w:val="32"/>
          <w:lang w:val="en-US" w:eastAsia="zh-CN"/>
        </w:rPr>
        <w:t xml:space="preserve">                   </w:t>
      </w:r>
      <w:r>
        <w:rPr>
          <w:rFonts w:hint="default" w:ascii="Times New Roman" w:hAnsi="Times New Roman" w:eastAsia="sans-serif" w:cs="Times New Roman"/>
          <w:i w:val="0"/>
          <w:caps w:val="0"/>
          <w:color w:val="000000"/>
          <w:spacing w:val="0"/>
          <w:sz w:val="32"/>
          <w:szCs w:val="32"/>
        </w:rPr>
        <w:t>  </w:t>
      </w:r>
      <w:r>
        <w:rPr>
          <w:rFonts w:hint="eastAsia" w:ascii="方正仿宋_GBK" w:hAnsi="方正仿宋_GBK" w:eastAsia="方正仿宋_GBK" w:cs="方正仿宋_GBK"/>
          <w:i w:val="0"/>
          <w:caps w:val="0"/>
          <w:color w:val="000000"/>
          <w:spacing w:val="0"/>
          <w:sz w:val="32"/>
          <w:szCs w:val="32"/>
        </w:rPr>
        <w:t>重庆市万州区人民政府办公室</w:t>
      </w:r>
    </w:p>
    <w:p>
      <w:pPr>
        <w:pStyle w:val="2"/>
        <w:keepNext w:val="0"/>
        <w:keepLines w:val="0"/>
        <w:pageBreakBefore w:val="0"/>
        <w:widowControl/>
        <w:suppressLineNumbers w:val="0"/>
        <w:kinsoku/>
        <w:overflowPunct/>
        <w:topLinePunct w:val="0"/>
        <w:autoSpaceDE/>
        <w:autoSpaceDN/>
        <w:bidi w:val="0"/>
        <w:adjustRightInd/>
        <w:snapToGrid/>
        <w:spacing w:before="0" w:beforeAutospacing="1" w:after="0" w:afterAutospacing="0" w:line="587" w:lineRule="exact"/>
        <w:ind w:left="0" w:right="0" w:firstLine="0"/>
        <w:jc w:val="center"/>
        <w:textAlignment w:val="auto"/>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sz w:val="19"/>
          <w:szCs w:val="19"/>
        </w:rPr>
        <w:t>                </w:t>
      </w:r>
      <w:r>
        <w:rPr>
          <w:rFonts w:hint="default" w:ascii="Times New Roman" w:hAnsi="Times New Roman" w:eastAsia="sans-serif" w:cs="Times New Roman"/>
          <w:i w:val="0"/>
          <w:caps w:val="0"/>
          <w:color w:val="000000"/>
          <w:spacing w:val="0"/>
          <w:sz w:val="32"/>
          <w:szCs w:val="32"/>
        </w:rPr>
        <w:t>               </w:t>
      </w:r>
      <w:r>
        <w:rPr>
          <w:rFonts w:hint="eastAsia" w:ascii="Times New Roman" w:hAnsi="Times New Roman" w:eastAsia="宋体" w:cs="Times New Roman"/>
          <w:i w:val="0"/>
          <w:caps w:val="0"/>
          <w:color w:val="000000"/>
          <w:spacing w:val="0"/>
          <w:sz w:val="32"/>
          <w:szCs w:val="32"/>
          <w:lang w:val="en-US" w:eastAsia="zh-CN"/>
        </w:rPr>
        <w:t xml:space="preserve">    </w:t>
      </w:r>
      <w:r>
        <w:rPr>
          <w:rFonts w:hint="default" w:ascii="sans-serif" w:hAnsi="sans-serif" w:eastAsia="sans-serif" w:cs="sans-serif"/>
          <w:i w:val="0"/>
          <w:caps w:val="0"/>
          <w:color w:val="000000"/>
          <w:spacing w:val="0"/>
          <w:sz w:val="19"/>
          <w:szCs w:val="19"/>
        </w:rPr>
        <w:t> </w:t>
      </w:r>
      <w:r>
        <w:rPr>
          <w:rFonts w:hint="default" w:ascii="Times New Roman" w:hAnsi="Times New Roman" w:eastAsia="sans-serif" w:cs="Times New Roman"/>
          <w:i w:val="0"/>
          <w:caps w:val="0"/>
          <w:color w:val="000000"/>
          <w:spacing w:val="0"/>
          <w:sz w:val="32"/>
          <w:szCs w:val="32"/>
        </w:rPr>
        <w:t>2020</w:t>
      </w:r>
      <w:r>
        <w:rPr>
          <w:rFonts w:hint="eastAsia" w:ascii="方正仿宋_GBK" w:hAnsi="方正仿宋_GBK" w:eastAsia="方正仿宋_GBK" w:cs="方正仿宋_GBK"/>
          <w:i w:val="0"/>
          <w:caps w:val="0"/>
          <w:color w:val="000000"/>
          <w:spacing w:val="0"/>
          <w:sz w:val="32"/>
          <w:szCs w:val="32"/>
        </w:rPr>
        <w:t>年</w:t>
      </w:r>
      <w:r>
        <w:rPr>
          <w:rFonts w:hint="default" w:ascii="Times New Roman" w:hAnsi="Times New Roman" w:eastAsia="sans-serif" w:cs="Times New Roman"/>
          <w:i w:val="0"/>
          <w:caps w:val="0"/>
          <w:color w:val="000000"/>
          <w:spacing w:val="0"/>
          <w:sz w:val="32"/>
          <w:szCs w:val="32"/>
        </w:rPr>
        <w:t>11</w:t>
      </w:r>
      <w:r>
        <w:rPr>
          <w:rFonts w:hint="eastAsia" w:ascii="方正仿宋_GBK" w:hAnsi="方正仿宋_GBK" w:eastAsia="方正仿宋_GBK" w:cs="方正仿宋_GBK"/>
          <w:i w:val="0"/>
          <w:caps w:val="0"/>
          <w:color w:val="000000"/>
          <w:spacing w:val="0"/>
          <w:sz w:val="32"/>
          <w:szCs w:val="32"/>
        </w:rPr>
        <w:t>月</w:t>
      </w:r>
      <w:r>
        <w:rPr>
          <w:rFonts w:hint="default" w:ascii="Times New Roman" w:hAnsi="Times New Roman" w:eastAsia="sans-serif" w:cs="Times New Roman"/>
          <w:i w:val="0"/>
          <w:caps w:val="0"/>
          <w:color w:val="000000"/>
          <w:spacing w:val="0"/>
          <w:sz w:val="32"/>
          <w:szCs w:val="32"/>
        </w:rPr>
        <w:t>30</w:t>
      </w:r>
      <w:r>
        <w:rPr>
          <w:rFonts w:hint="eastAsia" w:ascii="方正仿宋_GBK" w:hAnsi="方正仿宋_GBK" w:eastAsia="方正仿宋_GBK" w:cs="方正仿宋_GBK"/>
          <w:i w:val="0"/>
          <w:caps w:val="0"/>
          <w:color w:val="000000"/>
          <w:spacing w:val="0"/>
          <w:sz w:val="32"/>
          <w:szCs w:val="32"/>
        </w:rPr>
        <w:t>日      </w:t>
      </w:r>
    </w:p>
    <w:p>
      <w:pPr>
        <w:pStyle w:val="2"/>
        <w:keepNext w:val="0"/>
        <w:keepLines w:val="0"/>
        <w:pageBreakBefore w:val="0"/>
        <w:widowControl/>
        <w:suppressLineNumbers w:val="0"/>
        <w:kinsoku/>
        <w:overflowPunct/>
        <w:topLinePunct w:val="0"/>
        <w:autoSpaceDE/>
        <w:autoSpaceDN/>
        <w:bidi w:val="0"/>
        <w:adjustRightInd/>
        <w:snapToGrid/>
        <w:spacing w:before="0" w:beforeAutospacing="1" w:after="0" w:afterAutospacing="0" w:line="587" w:lineRule="exact"/>
        <w:ind w:left="0" w:right="0" w:firstLine="0"/>
        <w:textAlignment w:val="auto"/>
        <w:rPr>
          <w:rFonts w:hint="default" w:ascii="sans-serif" w:hAnsi="sans-serif" w:eastAsia="sans-serif" w:cs="sans-serif"/>
          <w:i w:val="0"/>
          <w:caps w:val="0"/>
          <w:color w:val="000000"/>
          <w:spacing w:val="0"/>
          <w:sz w:val="19"/>
          <w:szCs w:val="19"/>
        </w:rPr>
      </w:pPr>
    </w:p>
    <w:p>
      <w:pPr>
        <w:pStyle w:val="2"/>
        <w:keepNext w:val="0"/>
        <w:keepLines w:val="0"/>
        <w:pageBreakBefore w:val="0"/>
        <w:widowControl/>
        <w:suppressLineNumbers w:val="0"/>
        <w:kinsoku/>
        <w:overflowPunct/>
        <w:topLinePunct w:val="0"/>
        <w:autoSpaceDE/>
        <w:autoSpaceDN/>
        <w:bidi w:val="0"/>
        <w:adjustRightInd/>
        <w:snapToGrid/>
        <w:spacing w:before="0" w:beforeAutospacing="1" w:after="0" w:afterAutospacing="0" w:line="587" w:lineRule="exact"/>
        <w:ind w:left="0" w:right="0" w:firstLine="0"/>
        <w:textAlignment w:val="auto"/>
        <w:rPr>
          <w:rFonts w:hint="default" w:ascii="sans-serif" w:hAnsi="sans-serif" w:eastAsia="sans-serif" w:cs="sans-serif"/>
          <w:i w:val="0"/>
          <w:caps w:val="0"/>
          <w:color w:val="000000"/>
          <w:spacing w:val="0"/>
          <w:sz w:val="19"/>
          <w:szCs w:val="19"/>
        </w:rPr>
      </w:pPr>
    </w:p>
    <w:p>
      <w:pPr>
        <w:pStyle w:val="2"/>
        <w:keepNext w:val="0"/>
        <w:keepLines w:val="0"/>
        <w:pageBreakBefore w:val="0"/>
        <w:widowControl/>
        <w:suppressLineNumbers w:val="0"/>
        <w:kinsoku/>
        <w:overflowPunct/>
        <w:topLinePunct w:val="0"/>
        <w:autoSpaceDE/>
        <w:autoSpaceDN/>
        <w:bidi w:val="0"/>
        <w:adjustRightInd/>
        <w:snapToGrid/>
        <w:spacing w:before="0" w:beforeAutospacing="1" w:after="0" w:afterAutospacing="0" w:line="587" w:lineRule="exact"/>
        <w:ind w:left="0" w:right="0" w:firstLine="0"/>
        <w:textAlignment w:val="auto"/>
        <w:rPr>
          <w:rFonts w:hint="default" w:ascii="sans-serif" w:hAnsi="sans-serif" w:eastAsia="sans-serif" w:cs="sans-serif"/>
          <w:i w:val="0"/>
          <w:caps w:val="0"/>
          <w:color w:val="000000"/>
          <w:spacing w:val="0"/>
          <w:sz w:val="19"/>
          <w:szCs w:val="19"/>
        </w:rPr>
      </w:pPr>
    </w:p>
    <w:p>
      <w:pPr>
        <w:pStyle w:val="2"/>
        <w:keepNext w:val="0"/>
        <w:keepLines w:val="0"/>
        <w:pageBreakBefore w:val="0"/>
        <w:widowControl/>
        <w:suppressLineNumbers w:val="0"/>
        <w:kinsoku/>
        <w:overflowPunct/>
        <w:topLinePunct w:val="0"/>
        <w:autoSpaceDE/>
        <w:autoSpaceDN/>
        <w:bidi w:val="0"/>
        <w:adjustRightInd/>
        <w:snapToGrid/>
        <w:spacing w:before="274" w:beforeAutospacing="0" w:after="302" w:afterAutospacing="0" w:line="587" w:lineRule="exact"/>
        <w:ind w:left="0" w:firstLine="418"/>
        <w:jc w:val="left"/>
        <w:textAlignment w:val="auto"/>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i w:val="0"/>
          <w:caps w:val="0"/>
          <w:color w:val="000000"/>
          <w:spacing w:val="0"/>
          <w:sz w:val="32"/>
          <w:szCs w:val="32"/>
        </w:rPr>
        <w:t>附件</w:t>
      </w:r>
      <w:r>
        <w:rPr>
          <w:rFonts w:hint="default" w:ascii="Times New Roman" w:hAnsi="Times New Roman" w:eastAsia="sans-serif" w:cs="Times New Roman"/>
          <w:i w:val="0"/>
          <w:caps w:val="0"/>
          <w:color w:val="000000"/>
          <w:spacing w:val="0"/>
          <w:sz w:val="32"/>
          <w:szCs w:val="32"/>
        </w:rPr>
        <w:t>1</w:t>
      </w:r>
    </w:p>
    <w:p>
      <w:pPr>
        <w:pStyle w:val="2"/>
        <w:keepNext w:val="0"/>
        <w:keepLines w:val="0"/>
        <w:pageBreakBefore w:val="0"/>
        <w:widowControl/>
        <w:suppressLineNumbers w:val="0"/>
        <w:kinsoku/>
        <w:overflowPunct/>
        <w:topLinePunct w:val="0"/>
        <w:autoSpaceDE/>
        <w:autoSpaceDN/>
        <w:bidi w:val="0"/>
        <w:adjustRightInd/>
        <w:snapToGrid/>
        <w:spacing w:before="274" w:beforeAutospacing="0" w:after="302" w:afterAutospacing="0" w:line="587" w:lineRule="exact"/>
        <w:ind w:left="0" w:firstLine="0"/>
        <w:jc w:val="center"/>
        <w:textAlignment w:val="auto"/>
        <w:rPr>
          <w:rFonts w:hint="default" w:ascii="sans-serif" w:hAnsi="sans-serif" w:eastAsia="sans-serif" w:cs="sans-serif"/>
          <w:i w:val="0"/>
          <w:caps w:val="0"/>
          <w:color w:val="000000"/>
          <w:spacing w:val="0"/>
          <w:sz w:val="27"/>
          <w:szCs w:val="27"/>
        </w:rPr>
      </w:pPr>
      <w:r>
        <w:rPr>
          <w:rFonts w:hint="eastAsia" w:ascii="方正小标宋_GBK" w:hAnsi="方正小标宋_GBK" w:eastAsia="方正小标宋_GBK" w:cs="方正小标宋_GBK"/>
          <w:b w:val="0"/>
          <w:i w:val="0"/>
          <w:caps w:val="0"/>
          <w:color w:val="000000"/>
          <w:spacing w:val="0"/>
          <w:sz w:val="44"/>
          <w:szCs w:val="44"/>
        </w:rPr>
        <w:t>承接市级下放的行政许可事项目录</w:t>
      </w:r>
    </w:p>
    <w:tbl>
      <w:tblPr>
        <w:tblW w:w="9300" w:type="dxa"/>
        <w:jc w:val="center"/>
        <w:tblInd w:w="-468"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
      <w:tblGrid>
        <w:gridCol w:w="343"/>
        <w:gridCol w:w="1202"/>
        <w:gridCol w:w="1187"/>
        <w:gridCol w:w="959"/>
        <w:gridCol w:w="1294"/>
        <w:gridCol w:w="431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510" w:hRule="atLeast"/>
          <w:tblHeader/>
          <w:jc w:val="center"/>
        </w:trPr>
        <w:tc>
          <w:tcPr>
            <w:tcW w:w="343"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29"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587" w:lineRule="exact"/>
              <w:ind w:left="0" w:right="0"/>
              <w:jc w:val="center"/>
              <w:textAlignment w:val="auto"/>
            </w:pPr>
            <w:r>
              <w:rPr>
                <w:rFonts w:hint="eastAsia" w:ascii="方正黑体_GBK" w:hAnsi="方正黑体_GBK" w:eastAsia="方正黑体_GBK" w:cs="方正黑体_GBK"/>
                <w:sz w:val="28"/>
                <w:szCs w:val="28"/>
                <w:bdr w:val="none" w:color="auto" w:sz="0" w:space="0"/>
              </w:rPr>
              <w:t>序号</w:t>
            </w:r>
          </w:p>
        </w:tc>
        <w:tc>
          <w:tcPr>
            <w:tcW w:w="1202"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29"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587" w:lineRule="exact"/>
              <w:ind w:left="0" w:right="0"/>
              <w:jc w:val="center"/>
              <w:textAlignment w:val="auto"/>
            </w:pPr>
            <w:r>
              <w:rPr>
                <w:rFonts w:hint="eastAsia" w:ascii="方正黑体_GBK" w:hAnsi="方正黑体_GBK" w:eastAsia="方正黑体_GBK" w:cs="方正黑体_GBK"/>
                <w:sz w:val="28"/>
                <w:szCs w:val="28"/>
                <w:bdr w:val="none" w:color="auto" w:sz="0" w:space="0"/>
              </w:rPr>
              <w:t>项目名称</w:t>
            </w:r>
          </w:p>
        </w:tc>
        <w:tc>
          <w:tcPr>
            <w:tcW w:w="1187"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29"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587" w:lineRule="exact"/>
              <w:ind w:left="0" w:right="0"/>
              <w:jc w:val="center"/>
              <w:textAlignment w:val="auto"/>
            </w:pPr>
            <w:r>
              <w:rPr>
                <w:rFonts w:hint="eastAsia" w:ascii="方正黑体_GBK" w:hAnsi="方正黑体_GBK" w:eastAsia="方正黑体_GBK" w:cs="方正黑体_GBK"/>
                <w:sz w:val="28"/>
                <w:szCs w:val="28"/>
                <w:bdr w:val="none" w:color="auto" w:sz="0" w:space="0"/>
              </w:rPr>
              <w:t>设定依据</w:t>
            </w:r>
          </w:p>
        </w:tc>
        <w:tc>
          <w:tcPr>
            <w:tcW w:w="959"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29"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587" w:lineRule="exact"/>
              <w:ind w:left="0" w:right="0"/>
              <w:jc w:val="center"/>
              <w:textAlignment w:val="auto"/>
            </w:pPr>
            <w:r>
              <w:rPr>
                <w:rFonts w:hint="eastAsia" w:ascii="方正黑体_GBK" w:hAnsi="方正黑体_GBK" w:eastAsia="方正黑体_GBK" w:cs="方正黑体_GBK"/>
                <w:sz w:val="28"/>
                <w:szCs w:val="28"/>
                <w:bdr w:val="none" w:color="auto" w:sz="0" w:space="0"/>
              </w:rPr>
              <w:t>现审批部门</w:t>
            </w:r>
          </w:p>
        </w:tc>
        <w:tc>
          <w:tcPr>
            <w:tcW w:w="1294"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29"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274" w:afterAutospacing="0" w:line="587" w:lineRule="exact"/>
              <w:ind w:left="0" w:right="0"/>
              <w:jc w:val="center"/>
              <w:textAlignment w:val="auto"/>
            </w:pPr>
            <w:r>
              <w:rPr>
                <w:rFonts w:hint="eastAsia" w:ascii="方正黑体_GBK" w:hAnsi="方正黑体_GBK" w:eastAsia="方正黑体_GBK" w:cs="方正黑体_GBK"/>
                <w:sz w:val="28"/>
                <w:szCs w:val="28"/>
                <w:bdr w:val="none" w:color="auto" w:sz="0" w:space="0"/>
              </w:rPr>
              <w:t>下放后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587" w:lineRule="exact"/>
              <w:ind w:left="0" w:right="0"/>
              <w:jc w:val="center"/>
              <w:textAlignment w:val="auto"/>
            </w:pPr>
            <w:r>
              <w:rPr>
                <w:rFonts w:hint="eastAsia" w:ascii="方正黑体_GBK" w:hAnsi="方正黑体_GBK" w:eastAsia="方正黑体_GBK" w:cs="方正黑体_GBK"/>
                <w:sz w:val="28"/>
                <w:szCs w:val="28"/>
                <w:bdr w:val="none" w:color="auto" w:sz="0" w:space="0"/>
              </w:rPr>
              <w:t>审批部门</w:t>
            </w:r>
          </w:p>
        </w:tc>
        <w:tc>
          <w:tcPr>
            <w:tcW w:w="4315"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29"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587" w:lineRule="exact"/>
              <w:ind w:left="0" w:right="0"/>
              <w:jc w:val="center"/>
              <w:textAlignment w:val="auto"/>
            </w:pPr>
            <w:r>
              <w:rPr>
                <w:rFonts w:hint="eastAsia" w:ascii="方正黑体_GBK" w:hAnsi="方正黑体_GBK" w:eastAsia="方正黑体_GBK" w:cs="方正黑体_GBK"/>
                <w:sz w:val="28"/>
                <w:szCs w:val="28"/>
                <w:bdr w:val="none" w:color="auto" w:sz="0" w:space="0"/>
              </w:rPr>
              <w:t>加强事中事后监管措施</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301" w:hRule="atLeast"/>
          <w:jc w:val="center"/>
        </w:trPr>
        <w:tc>
          <w:tcPr>
            <w:tcW w:w="343"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29"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587" w:lineRule="exact"/>
              <w:ind w:left="0" w:right="0"/>
              <w:jc w:val="center"/>
              <w:textAlignment w:val="auto"/>
            </w:pPr>
            <w:r>
              <w:rPr>
                <w:rFonts w:hint="default" w:ascii="Times New Roman" w:hAnsi="Times New Roman" w:cs="Times New Roman"/>
                <w:sz w:val="28"/>
                <w:szCs w:val="28"/>
                <w:bdr w:val="none" w:color="auto" w:sz="0" w:space="0"/>
              </w:rPr>
              <w:t>1</w:t>
            </w:r>
          </w:p>
        </w:tc>
        <w:tc>
          <w:tcPr>
            <w:tcW w:w="1202"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29"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587" w:lineRule="exact"/>
              <w:ind w:left="0" w:right="0"/>
              <w:jc w:val="left"/>
              <w:textAlignment w:val="auto"/>
            </w:pPr>
            <w:r>
              <w:rPr>
                <w:rFonts w:hint="eastAsia" w:ascii="方正仿宋_GBK" w:hAnsi="方正仿宋_GBK" w:eastAsia="方正仿宋_GBK" w:cs="方正仿宋_GBK"/>
                <w:sz w:val="28"/>
                <w:szCs w:val="28"/>
                <w:bdr w:val="none" w:color="auto" w:sz="0" w:space="0"/>
              </w:rPr>
              <w:t>成品油零售经营资格审批</w:t>
            </w:r>
          </w:p>
        </w:tc>
        <w:tc>
          <w:tcPr>
            <w:tcW w:w="1187"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29"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302" w:afterAutospacing="0" w:line="587" w:lineRule="exact"/>
              <w:ind w:left="0" w:right="0"/>
              <w:jc w:val="left"/>
              <w:textAlignment w:val="auto"/>
            </w:pPr>
            <w:r>
              <w:rPr>
                <w:rFonts w:hint="eastAsia" w:ascii="方正仿宋_GBK" w:hAnsi="方正仿宋_GBK" w:eastAsia="方正仿宋_GBK" w:cs="方正仿宋_GBK"/>
                <w:sz w:val="28"/>
                <w:szCs w:val="28"/>
                <w:bdr w:val="none" w:color="auto" w:sz="0" w:space="0"/>
              </w:rPr>
              <w:t>《国务院对确需保留的行政审批项目设定行政许可的决定》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587" w:lineRule="exact"/>
              <w:ind w:left="0" w:right="0"/>
              <w:jc w:val="left"/>
              <w:textAlignment w:val="auto"/>
            </w:pPr>
            <w:r>
              <w:rPr>
                <w:rFonts w:hint="eastAsia" w:ascii="方正仿宋_GBK" w:hAnsi="方正仿宋_GBK" w:eastAsia="方正仿宋_GBK" w:cs="方正仿宋_GBK"/>
                <w:sz w:val="28"/>
                <w:szCs w:val="28"/>
                <w:bdr w:val="none" w:color="auto" w:sz="0" w:space="0"/>
              </w:rPr>
              <w:t>《国务院办公厅关于加快发展流通促进商业消费的意见》</w:t>
            </w:r>
          </w:p>
        </w:tc>
        <w:tc>
          <w:tcPr>
            <w:tcW w:w="959"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29"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587" w:lineRule="exact"/>
              <w:ind w:left="0" w:right="0"/>
              <w:jc w:val="center"/>
              <w:textAlignment w:val="auto"/>
            </w:pPr>
            <w:r>
              <w:rPr>
                <w:rFonts w:hint="eastAsia" w:ascii="方正仿宋_GBK" w:hAnsi="方正仿宋_GBK" w:eastAsia="方正仿宋_GBK" w:cs="方正仿宋_GBK"/>
                <w:sz w:val="28"/>
                <w:szCs w:val="28"/>
                <w:bdr w:val="none" w:color="auto" w:sz="0" w:space="0"/>
              </w:rPr>
              <w:t>市商务委</w:t>
            </w:r>
          </w:p>
        </w:tc>
        <w:tc>
          <w:tcPr>
            <w:tcW w:w="1294"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29"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587" w:lineRule="exact"/>
              <w:ind w:left="0" w:right="0"/>
              <w:jc w:val="center"/>
              <w:textAlignment w:val="auto"/>
            </w:pPr>
            <w:r>
              <w:rPr>
                <w:rFonts w:hint="eastAsia" w:ascii="方正仿宋_GBK" w:hAnsi="方正仿宋_GBK" w:eastAsia="方正仿宋_GBK" w:cs="方正仿宋_GBK"/>
                <w:sz w:val="28"/>
                <w:szCs w:val="28"/>
                <w:bdr w:val="none" w:color="auto" w:sz="0" w:space="0"/>
              </w:rPr>
              <w:t>区县商务部门</w:t>
            </w:r>
          </w:p>
        </w:tc>
        <w:tc>
          <w:tcPr>
            <w:tcW w:w="4315"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29"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587" w:lineRule="exact"/>
              <w:ind w:left="0" w:right="0"/>
              <w:jc w:val="left"/>
              <w:textAlignment w:val="auto"/>
            </w:pPr>
            <w:r>
              <w:rPr>
                <w:rFonts w:hint="eastAsia" w:ascii="方正仿宋_GBK" w:hAnsi="方正仿宋_GBK" w:eastAsia="方正仿宋_GBK" w:cs="方正仿宋_GBK"/>
                <w:sz w:val="28"/>
                <w:szCs w:val="28"/>
                <w:bdr w:val="none" w:color="auto" w:sz="0" w:space="0"/>
              </w:rPr>
              <w:t>下放后，区县商务部门要会同有关部门通过以下措施加强监管：</w:t>
            </w:r>
            <w:r>
              <w:rPr>
                <w:rFonts w:hint="default" w:ascii="Times New Roman" w:hAnsi="Times New Roman" w:cs="Times New Roman"/>
                <w:sz w:val="28"/>
                <w:szCs w:val="28"/>
                <w:bdr w:val="none" w:color="auto" w:sz="0" w:space="0"/>
              </w:rPr>
              <w:t>1</w:t>
            </w:r>
            <w:r>
              <w:rPr>
                <w:rFonts w:hint="eastAsia" w:ascii="方正仿宋_GBK" w:hAnsi="方正仿宋_GBK" w:eastAsia="方正仿宋_GBK" w:cs="方正仿宋_GBK"/>
                <w:sz w:val="28"/>
                <w:szCs w:val="28"/>
                <w:bdr w:val="none" w:color="auto" w:sz="0" w:space="0"/>
              </w:rPr>
              <w:t>．区县商务部门严格落实成品油流通行业监管职责。要求成品油零售企业建立购销台账制度，完善油品来源、检验报告、检查记录等凭证材料档案。指定部门开展“双随机、一公开”监管，重点检查企业台账制度建立执行情况，发现违法违规行为依法处理或者提请有关部门予以查处。结合企业诚信经营和风险状况依法实施差异化监管。支持行业协会发挥行业自律作用。</w:t>
            </w:r>
            <w:r>
              <w:rPr>
                <w:rFonts w:hint="default" w:ascii="Times New Roman" w:hAnsi="Times New Roman" w:cs="Times New Roman"/>
                <w:sz w:val="28"/>
                <w:szCs w:val="28"/>
                <w:bdr w:val="none" w:color="auto" w:sz="0" w:space="0"/>
              </w:rPr>
              <w:t>2</w:t>
            </w:r>
            <w:r>
              <w:rPr>
                <w:rFonts w:hint="eastAsia" w:ascii="方正仿宋_GBK" w:hAnsi="方正仿宋_GBK" w:eastAsia="方正仿宋_GBK" w:cs="方正仿宋_GBK"/>
                <w:sz w:val="28"/>
                <w:szCs w:val="28"/>
                <w:bdr w:val="none" w:color="auto" w:sz="0" w:space="0"/>
              </w:rPr>
              <w:t>．区县政府严格落实属地监管职责。要建立跨部门联合监管机制，按照综合行政执法改革精神，统筹配置行政处罚职能和执法资源，加强协同监管。建立投诉举报制度，定期组织开展对成品油零售企业的专项检查，发现违法违规行为由各有关部门按职责依法依规查处。建立企业信用记录并纳入全国信用信息共享平台，对违法失信企业依法实施失信惩戒。</w:t>
            </w:r>
            <w:r>
              <w:rPr>
                <w:rFonts w:hint="default" w:ascii="Times New Roman" w:hAnsi="Times New Roman" w:cs="Times New Roman"/>
                <w:sz w:val="28"/>
                <w:szCs w:val="28"/>
                <w:bdr w:val="none" w:color="auto" w:sz="0" w:space="0"/>
              </w:rPr>
              <w:t>3</w:t>
            </w:r>
            <w:r>
              <w:rPr>
                <w:rFonts w:hint="eastAsia" w:ascii="方正仿宋_GBK" w:hAnsi="方正仿宋_GBK" w:eastAsia="方正仿宋_GBK" w:cs="方正仿宋_GBK"/>
                <w:sz w:val="28"/>
                <w:szCs w:val="28"/>
                <w:bdr w:val="none" w:color="auto" w:sz="0" w:space="0"/>
              </w:rPr>
              <w:t>．相关部门严格落实专项监管职责。从事成品油零售经营活动的企业必须符合自然资源、规划、建设、质量计量、环保、安全生产、消防、治安反恐、商务、税务、交通运输、气象等方面法律法规和标准要求，依法依规开展经营。公安、规划自然资源、生态环境、住房城乡建设、交通运输、商务、应急管理、税务、市场监管、能源等部门按职责依法依规加强监管，承担安全生产监管责任的部门切实履行监管责任、守牢安全底线。</w:t>
            </w:r>
            <w:r>
              <w:rPr>
                <w:rFonts w:hint="default" w:ascii="Times New Roman" w:hAnsi="Times New Roman" w:cs="Times New Roman"/>
                <w:sz w:val="28"/>
                <w:szCs w:val="28"/>
                <w:bdr w:val="none" w:color="auto" w:sz="0" w:space="0"/>
              </w:rPr>
              <w:t>4</w:t>
            </w:r>
            <w:r>
              <w:rPr>
                <w:rFonts w:hint="eastAsia" w:ascii="方正仿宋_GBK" w:hAnsi="方正仿宋_GBK" w:eastAsia="方正仿宋_GBK" w:cs="方正仿宋_GBK"/>
                <w:sz w:val="28"/>
                <w:szCs w:val="28"/>
                <w:bdr w:val="none" w:color="auto" w:sz="0" w:space="0"/>
              </w:rPr>
              <w:t>．加强成品油零售行业监管信息共享运用。市场监管部门要及时将新登记经营范围涉及成品油零售的企业信息推送至有关主管部门。商务部门要将改革前已取得相应许可的成品油零售企业信息推送至有关</w:t>
            </w:r>
            <w:r>
              <w:rPr>
                <w:rFonts w:hint="eastAsia" w:ascii="方正仿宋_GBK" w:hAnsi="方正仿宋_GBK" w:eastAsia="方正仿宋_GBK" w:cs="方正仿宋_GBK"/>
                <w:spacing w:val="-16"/>
                <w:sz w:val="28"/>
                <w:szCs w:val="28"/>
                <w:bdr w:val="none" w:color="auto" w:sz="0" w:space="0"/>
              </w:rPr>
              <w:t>主管部门。指定部门要将行业监管中发现的超经</w:t>
            </w:r>
            <w:r>
              <w:rPr>
                <w:rFonts w:hint="eastAsia" w:ascii="方正仿宋_GBK" w:hAnsi="方正仿宋_GBK" w:eastAsia="方正仿宋_GBK" w:cs="方正仿宋_GBK"/>
                <w:sz w:val="28"/>
                <w:szCs w:val="28"/>
                <w:bdr w:val="none" w:color="auto" w:sz="0" w:space="0"/>
              </w:rPr>
              <w:t>营范围经营企业信息或者无照经营信息及时推</w:t>
            </w:r>
            <w:r>
              <w:rPr>
                <w:rFonts w:hint="eastAsia" w:ascii="方正仿宋_GBK" w:hAnsi="方正仿宋_GBK" w:eastAsia="方正仿宋_GBK" w:cs="方正仿宋_GBK"/>
                <w:spacing w:val="-16"/>
                <w:sz w:val="28"/>
                <w:szCs w:val="28"/>
                <w:bdr w:val="none" w:color="auto" w:sz="0" w:space="0"/>
              </w:rPr>
              <w:t>送至有关主管部门。有关行业主管部门要充分运</w:t>
            </w:r>
            <w:r>
              <w:rPr>
                <w:rFonts w:hint="eastAsia" w:ascii="方正仿宋_GBK" w:hAnsi="方正仿宋_GBK" w:eastAsia="方正仿宋_GBK" w:cs="方正仿宋_GBK"/>
                <w:sz w:val="28"/>
                <w:szCs w:val="28"/>
                <w:bdr w:val="none" w:color="auto" w:sz="0" w:space="0"/>
              </w:rPr>
              <w:t>用共享的监管信息，有针对性地加强监管执法。</w:t>
            </w:r>
          </w:p>
        </w:tc>
      </w:tr>
    </w:tbl>
    <w:p>
      <w:pPr>
        <w:pStyle w:val="2"/>
        <w:keepNext w:val="0"/>
        <w:keepLines w:val="0"/>
        <w:pageBreakBefore w:val="0"/>
        <w:widowControl/>
        <w:suppressLineNumbers w:val="0"/>
        <w:kinsoku/>
        <w:overflowPunct/>
        <w:topLinePunct w:val="0"/>
        <w:autoSpaceDE/>
        <w:autoSpaceDN/>
        <w:bidi w:val="0"/>
        <w:adjustRightInd/>
        <w:snapToGrid/>
        <w:spacing w:before="274" w:beforeAutospacing="0" w:after="302" w:afterAutospacing="0" w:line="587" w:lineRule="exact"/>
        <w:ind w:left="0" w:firstLine="0"/>
        <w:jc w:val="left"/>
        <w:textAlignment w:val="auto"/>
        <w:rPr>
          <w:rFonts w:hint="eastAsia" w:ascii="方正黑体_GBK" w:hAnsi="方正黑体_GBK" w:eastAsia="方正黑体_GBK" w:cs="方正黑体_GBK"/>
          <w:i w:val="0"/>
          <w:caps w:val="0"/>
          <w:color w:val="000000"/>
          <w:spacing w:val="0"/>
          <w:sz w:val="32"/>
          <w:szCs w:val="32"/>
        </w:rPr>
      </w:pPr>
    </w:p>
    <w:p>
      <w:pPr>
        <w:pStyle w:val="2"/>
        <w:keepNext w:val="0"/>
        <w:keepLines w:val="0"/>
        <w:pageBreakBefore w:val="0"/>
        <w:widowControl/>
        <w:suppressLineNumbers w:val="0"/>
        <w:kinsoku/>
        <w:overflowPunct/>
        <w:topLinePunct w:val="0"/>
        <w:autoSpaceDE/>
        <w:autoSpaceDN/>
        <w:bidi w:val="0"/>
        <w:adjustRightInd/>
        <w:snapToGrid/>
        <w:spacing w:before="274" w:beforeAutospacing="0" w:after="302" w:afterAutospacing="0" w:line="587" w:lineRule="exact"/>
        <w:ind w:left="0" w:firstLine="0"/>
        <w:jc w:val="left"/>
        <w:textAlignment w:val="auto"/>
        <w:rPr>
          <w:rFonts w:hint="eastAsia" w:ascii="方正黑体_GBK" w:hAnsi="方正黑体_GBK" w:eastAsia="方正黑体_GBK" w:cs="方正黑体_GBK"/>
          <w:i w:val="0"/>
          <w:caps w:val="0"/>
          <w:color w:val="000000"/>
          <w:spacing w:val="0"/>
          <w:sz w:val="32"/>
          <w:szCs w:val="32"/>
        </w:rPr>
      </w:pPr>
    </w:p>
    <w:p>
      <w:pPr>
        <w:pStyle w:val="2"/>
        <w:keepNext w:val="0"/>
        <w:keepLines w:val="0"/>
        <w:pageBreakBefore w:val="0"/>
        <w:widowControl/>
        <w:suppressLineNumbers w:val="0"/>
        <w:kinsoku/>
        <w:overflowPunct/>
        <w:topLinePunct w:val="0"/>
        <w:autoSpaceDE/>
        <w:autoSpaceDN/>
        <w:bidi w:val="0"/>
        <w:adjustRightInd/>
        <w:snapToGrid/>
        <w:spacing w:before="274" w:beforeAutospacing="0" w:after="302" w:afterAutospacing="0" w:line="587" w:lineRule="exact"/>
        <w:ind w:left="0" w:firstLine="0"/>
        <w:jc w:val="left"/>
        <w:textAlignment w:val="auto"/>
        <w:rPr>
          <w:rFonts w:hint="eastAsia" w:ascii="方正黑体_GBK" w:hAnsi="方正黑体_GBK" w:eastAsia="方正黑体_GBK" w:cs="方正黑体_GBK"/>
          <w:i w:val="0"/>
          <w:caps w:val="0"/>
          <w:color w:val="000000"/>
          <w:spacing w:val="0"/>
          <w:sz w:val="32"/>
          <w:szCs w:val="32"/>
        </w:rPr>
      </w:pPr>
    </w:p>
    <w:p>
      <w:pPr>
        <w:pStyle w:val="2"/>
        <w:keepNext w:val="0"/>
        <w:keepLines w:val="0"/>
        <w:pageBreakBefore w:val="0"/>
        <w:widowControl/>
        <w:suppressLineNumbers w:val="0"/>
        <w:kinsoku/>
        <w:overflowPunct/>
        <w:topLinePunct w:val="0"/>
        <w:autoSpaceDE/>
        <w:autoSpaceDN/>
        <w:bidi w:val="0"/>
        <w:adjustRightInd/>
        <w:snapToGrid/>
        <w:spacing w:before="274" w:beforeAutospacing="0" w:after="302" w:afterAutospacing="0" w:line="587" w:lineRule="exact"/>
        <w:ind w:left="0" w:firstLine="0"/>
        <w:jc w:val="left"/>
        <w:textAlignment w:val="auto"/>
        <w:rPr>
          <w:rFonts w:hint="eastAsia" w:ascii="方正黑体_GBK" w:hAnsi="方正黑体_GBK" w:eastAsia="方正黑体_GBK" w:cs="方正黑体_GBK"/>
          <w:i w:val="0"/>
          <w:caps w:val="0"/>
          <w:color w:val="000000"/>
          <w:spacing w:val="0"/>
          <w:sz w:val="32"/>
          <w:szCs w:val="32"/>
        </w:rPr>
      </w:pPr>
    </w:p>
    <w:p>
      <w:pPr>
        <w:pStyle w:val="2"/>
        <w:keepNext w:val="0"/>
        <w:keepLines w:val="0"/>
        <w:pageBreakBefore w:val="0"/>
        <w:widowControl/>
        <w:suppressLineNumbers w:val="0"/>
        <w:kinsoku/>
        <w:overflowPunct/>
        <w:topLinePunct w:val="0"/>
        <w:autoSpaceDE/>
        <w:autoSpaceDN/>
        <w:bidi w:val="0"/>
        <w:adjustRightInd/>
        <w:snapToGrid/>
        <w:spacing w:before="274" w:beforeAutospacing="0" w:after="302" w:afterAutospacing="0" w:line="587" w:lineRule="exact"/>
        <w:ind w:left="0" w:firstLine="0"/>
        <w:jc w:val="left"/>
        <w:textAlignment w:val="auto"/>
        <w:rPr>
          <w:rFonts w:hint="eastAsia" w:ascii="方正黑体_GBK" w:hAnsi="方正黑体_GBK" w:eastAsia="方正黑体_GBK" w:cs="方正黑体_GBK"/>
          <w:i w:val="0"/>
          <w:caps w:val="0"/>
          <w:color w:val="000000"/>
          <w:spacing w:val="0"/>
          <w:sz w:val="32"/>
          <w:szCs w:val="32"/>
        </w:rPr>
      </w:pPr>
    </w:p>
    <w:p>
      <w:pPr>
        <w:pStyle w:val="2"/>
        <w:keepNext w:val="0"/>
        <w:keepLines w:val="0"/>
        <w:pageBreakBefore w:val="0"/>
        <w:widowControl/>
        <w:suppressLineNumbers w:val="0"/>
        <w:kinsoku/>
        <w:overflowPunct/>
        <w:topLinePunct w:val="0"/>
        <w:autoSpaceDE/>
        <w:autoSpaceDN/>
        <w:bidi w:val="0"/>
        <w:adjustRightInd/>
        <w:snapToGrid/>
        <w:spacing w:before="274" w:beforeAutospacing="0" w:after="302" w:afterAutospacing="0" w:line="587" w:lineRule="exact"/>
        <w:ind w:left="0" w:firstLine="0"/>
        <w:jc w:val="left"/>
        <w:textAlignment w:val="auto"/>
        <w:rPr>
          <w:rFonts w:hint="eastAsia" w:ascii="方正黑体_GBK" w:hAnsi="方正黑体_GBK" w:eastAsia="方正黑体_GBK" w:cs="方正黑体_GBK"/>
          <w:i w:val="0"/>
          <w:caps w:val="0"/>
          <w:color w:val="000000"/>
          <w:spacing w:val="0"/>
          <w:sz w:val="32"/>
          <w:szCs w:val="32"/>
        </w:rPr>
      </w:pPr>
      <w:bookmarkStart w:id="0" w:name="_GoBack"/>
      <w:bookmarkEnd w:id="0"/>
    </w:p>
    <w:p>
      <w:pPr>
        <w:pStyle w:val="2"/>
        <w:keepNext w:val="0"/>
        <w:keepLines w:val="0"/>
        <w:pageBreakBefore w:val="0"/>
        <w:widowControl/>
        <w:suppressLineNumbers w:val="0"/>
        <w:kinsoku/>
        <w:overflowPunct/>
        <w:topLinePunct w:val="0"/>
        <w:autoSpaceDE/>
        <w:autoSpaceDN/>
        <w:bidi w:val="0"/>
        <w:adjustRightInd/>
        <w:snapToGrid/>
        <w:spacing w:before="274" w:beforeAutospacing="0" w:after="302" w:afterAutospacing="0" w:line="587" w:lineRule="exact"/>
        <w:ind w:left="0" w:firstLine="0"/>
        <w:jc w:val="left"/>
        <w:textAlignment w:val="auto"/>
        <w:rPr>
          <w:rFonts w:hint="eastAsia" w:ascii="方正黑体_GBK" w:hAnsi="方正黑体_GBK" w:eastAsia="方正黑体_GBK" w:cs="方正黑体_GBK"/>
          <w:i w:val="0"/>
          <w:caps w:val="0"/>
          <w:color w:val="000000"/>
          <w:spacing w:val="0"/>
          <w:sz w:val="32"/>
          <w:szCs w:val="32"/>
        </w:rPr>
      </w:pPr>
    </w:p>
    <w:p>
      <w:pPr>
        <w:pStyle w:val="2"/>
        <w:keepNext w:val="0"/>
        <w:keepLines w:val="0"/>
        <w:pageBreakBefore w:val="0"/>
        <w:widowControl/>
        <w:suppressLineNumbers w:val="0"/>
        <w:kinsoku/>
        <w:overflowPunct/>
        <w:topLinePunct w:val="0"/>
        <w:autoSpaceDE/>
        <w:autoSpaceDN/>
        <w:bidi w:val="0"/>
        <w:adjustRightInd/>
        <w:snapToGrid/>
        <w:spacing w:before="274" w:beforeAutospacing="0" w:after="302" w:afterAutospacing="0" w:line="587" w:lineRule="exact"/>
        <w:ind w:left="0" w:firstLine="0"/>
        <w:jc w:val="left"/>
        <w:textAlignment w:val="auto"/>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i w:val="0"/>
          <w:caps w:val="0"/>
          <w:color w:val="000000"/>
          <w:spacing w:val="0"/>
          <w:sz w:val="32"/>
          <w:szCs w:val="32"/>
        </w:rPr>
        <w:t>附件</w:t>
      </w:r>
      <w:r>
        <w:rPr>
          <w:rFonts w:hint="default" w:ascii="Times New Roman" w:hAnsi="Times New Roman" w:eastAsia="sans-serif" w:cs="Times New Roman"/>
          <w:i w:val="0"/>
          <w:caps w:val="0"/>
          <w:color w:val="000000"/>
          <w:spacing w:val="0"/>
          <w:sz w:val="32"/>
          <w:szCs w:val="32"/>
        </w:rPr>
        <w:t>2</w:t>
      </w:r>
    </w:p>
    <w:p>
      <w:pPr>
        <w:pStyle w:val="2"/>
        <w:keepNext w:val="0"/>
        <w:keepLines w:val="0"/>
        <w:pageBreakBefore w:val="0"/>
        <w:widowControl/>
        <w:suppressLineNumbers w:val="0"/>
        <w:kinsoku/>
        <w:overflowPunct/>
        <w:topLinePunct w:val="0"/>
        <w:autoSpaceDE/>
        <w:autoSpaceDN/>
        <w:bidi w:val="0"/>
        <w:adjustRightInd/>
        <w:snapToGrid/>
        <w:spacing w:before="274" w:beforeAutospacing="0" w:after="302" w:afterAutospacing="0" w:line="587" w:lineRule="exact"/>
        <w:ind w:left="0" w:firstLine="0"/>
        <w:jc w:val="center"/>
        <w:textAlignment w:val="auto"/>
        <w:rPr>
          <w:rFonts w:hint="default" w:ascii="sans-serif" w:hAnsi="sans-serif" w:eastAsia="sans-serif" w:cs="sans-serif"/>
          <w:i w:val="0"/>
          <w:caps w:val="0"/>
          <w:color w:val="000000"/>
          <w:spacing w:val="0"/>
          <w:sz w:val="27"/>
          <w:szCs w:val="27"/>
        </w:rPr>
      </w:pPr>
      <w:r>
        <w:rPr>
          <w:rFonts w:hint="eastAsia" w:ascii="方正小标宋_GBK" w:hAnsi="方正小标宋_GBK" w:eastAsia="方正小标宋_GBK" w:cs="方正小标宋_GBK"/>
          <w:b w:val="0"/>
          <w:i w:val="0"/>
          <w:caps w:val="0"/>
          <w:color w:val="000000"/>
          <w:spacing w:val="0"/>
          <w:sz w:val="44"/>
          <w:szCs w:val="44"/>
        </w:rPr>
        <w:t>对应市级取消的行政许可事项目录</w:t>
      </w:r>
      <w:r>
        <w:rPr>
          <w:rFonts w:hint="eastAsia" w:ascii="宋体" w:hAnsi="宋体" w:eastAsia="宋体" w:cs="宋体"/>
          <w:i w:val="0"/>
          <w:caps w:val="0"/>
          <w:color w:val="000000"/>
          <w:spacing w:val="0"/>
          <w:sz w:val="24"/>
          <w:szCs w:val="24"/>
        </w:rPr>
        <w:t> </w:t>
      </w:r>
    </w:p>
    <w:tbl>
      <w:tblPr>
        <w:tblW w:w="9240" w:type="dxa"/>
        <w:jc w:val="center"/>
        <w:tblInd w:w="-438"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
      <w:tblGrid>
        <w:gridCol w:w="402"/>
        <w:gridCol w:w="1416"/>
        <w:gridCol w:w="1904"/>
        <w:gridCol w:w="685"/>
        <w:gridCol w:w="731"/>
        <w:gridCol w:w="4102"/>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1125" w:hRule="atLeast"/>
          <w:jc w:val="center"/>
        </w:trPr>
        <w:tc>
          <w:tcPr>
            <w:tcW w:w="402"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29"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587" w:lineRule="exact"/>
              <w:ind w:left="29" w:right="29"/>
              <w:jc w:val="center"/>
              <w:textAlignment w:val="auto"/>
            </w:pPr>
            <w:r>
              <w:rPr>
                <w:rFonts w:hint="eastAsia" w:ascii="方正黑体_GBK" w:hAnsi="方正黑体_GBK" w:eastAsia="方正黑体_GBK" w:cs="方正黑体_GBK"/>
                <w:sz w:val="28"/>
                <w:szCs w:val="28"/>
                <w:bdr w:val="none" w:color="auto" w:sz="0" w:space="0"/>
              </w:rPr>
              <w:t>序号</w:t>
            </w:r>
          </w:p>
        </w:tc>
        <w:tc>
          <w:tcPr>
            <w:tcW w:w="1416"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29"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587" w:lineRule="exact"/>
              <w:ind w:left="29" w:right="29"/>
              <w:jc w:val="center"/>
              <w:textAlignment w:val="auto"/>
            </w:pPr>
            <w:r>
              <w:rPr>
                <w:rFonts w:hint="eastAsia" w:ascii="方正黑体_GBK" w:hAnsi="方正黑体_GBK" w:eastAsia="方正黑体_GBK" w:cs="方正黑体_GBK"/>
                <w:sz w:val="28"/>
                <w:szCs w:val="28"/>
                <w:bdr w:val="none" w:color="auto" w:sz="0" w:space="0"/>
              </w:rPr>
              <w:t>事项名称</w:t>
            </w:r>
          </w:p>
        </w:tc>
        <w:tc>
          <w:tcPr>
            <w:tcW w:w="1904"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29"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587" w:lineRule="exact"/>
              <w:ind w:left="29" w:right="29"/>
              <w:jc w:val="center"/>
              <w:textAlignment w:val="auto"/>
            </w:pPr>
            <w:r>
              <w:rPr>
                <w:rFonts w:hint="eastAsia" w:ascii="方正黑体_GBK" w:hAnsi="方正黑体_GBK" w:eastAsia="方正黑体_GBK" w:cs="方正黑体_GBK"/>
                <w:sz w:val="28"/>
                <w:szCs w:val="28"/>
                <w:bdr w:val="none" w:color="auto" w:sz="0" w:space="0"/>
              </w:rPr>
              <w:t>设定依据</w:t>
            </w:r>
          </w:p>
        </w:tc>
        <w:tc>
          <w:tcPr>
            <w:tcW w:w="685"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29"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587" w:lineRule="exact"/>
              <w:ind w:left="29" w:right="29"/>
              <w:jc w:val="center"/>
              <w:textAlignment w:val="auto"/>
            </w:pPr>
            <w:r>
              <w:rPr>
                <w:rFonts w:hint="eastAsia" w:ascii="方正黑体_GBK" w:hAnsi="方正黑体_GBK" w:eastAsia="方正黑体_GBK" w:cs="方正黑体_GBK"/>
                <w:sz w:val="28"/>
                <w:szCs w:val="28"/>
                <w:bdr w:val="none" w:color="auto" w:sz="0" w:space="0"/>
              </w:rPr>
              <w:t>审批部门</w:t>
            </w:r>
          </w:p>
        </w:tc>
        <w:tc>
          <w:tcPr>
            <w:tcW w:w="731"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29"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587" w:lineRule="exact"/>
              <w:ind w:left="29" w:right="29"/>
              <w:jc w:val="center"/>
              <w:textAlignment w:val="auto"/>
            </w:pPr>
            <w:r>
              <w:rPr>
                <w:rFonts w:hint="eastAsia" w:ascii="方正黑体_GBK" w:hAnsi="方正黑体_GBK" w:eastAsia="方正黑体_GBK" w:cs="方正黑体_GBK"/>
                <w:sz w:val="28"/>
                <w:szCs w:val="28"/>
                <w:bdr w:val="none" w:color="auto" w:sz="0" w:space="0"/>
              </w:rPr>
              <w:t>处理决定</w:t>
            </w:r>
          </w:p>
        </w:tc>
        <w:tc>
          <w:tcPr>
            <w:tcW w:w="4102"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29"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587" w:lineRule="exact"/>
              <w:ind w:left="29" w:right="29"/>
              <w:jc w:val="center"/>
              <w:textAlignment w:val="auto"/>
            </w:pPr>
            <w:r>
              <w:rPr>
                <w:rFonts w:hint="eastAsia" w:ascii="方正黑体_GBK" w:hAnsi="方正黑体_GBK" w:eastAsia="方正黑体_GBK" w:cs="方正黑体_GBK"/>
                <w:sz w:val="28"/>
                <w:szCs w:val="28"/>
                <w:bdr w:val="none" w:color="auto" w:sz="0" w:space="0"/>
              </w:rPr>
              <w:t>加强事中事后监管措施</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531" w:hRule="atLeast"/>
          <w:jc w:val="center"/>
        </w:trPr>
        <w:tc>
          <w:tcPr>
            <w:tcW w:w="402"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29"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587" w:lineRule="exact"/>
              <w:ind w:left="29" w:right="29"/>
              <w:jc w:val="center"/>
              <w:textAlignment w:val="auto"/>
            </w:pPr>
            <w:r>
              <w:rPr>
                <w:rFonts w:hint="default" w:ascii="Times New Roman" w:hAnsi="Times New Roman" w:cs="Times New Roman"/>
                <w:sz w:val="28"/>
                <w:szCs w:val="28"/>
                <w:bdr w:val="none" w:color="auto" w:sz="0" w:space="0"/>
              </w:rPr>
              <w:t>1</w:t>
            </w:r>
          </w:p>
        </w:tc>
        <w:tc>
          <w:tcPr>
            <w:tcW w:w="1416"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29"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587" w:lineRule="exact"/>
              <w:ind w:left="29" w:right="29"/>
              <w:jc w:val="center"/>
              <w:textAlignment w:val="auto"/>
            </w:pPr>
            <w:r>
              <w:rPr>
                <w:rFonts w:hint="eastAsia" w:ascii="方正仿宋_GBK" w:hAnsi="方正仿宋_GBK" w:eastAsia="方正仿宋_GBK" w:cs="方正仿宋_GBK"/>
                <w:sz w:val="28"/>
                <w:szCs w:val="28"/>
                <w:bdr w:val="none" w:color="auto" w:sz="0" w:space="0"/>
              </w:rPr>
              <w:t>典当业特种行业许可证核发</w:t>
            </w:r>
          </w:p>
        </w:tc>
        <w:tc>
          <w:tcPr>
            <w:tcW w:w="1904"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29"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587" w:lineRule="exact"/>
              <w:ind w:left="29" w:right="29"/>
              <w:jc w:val="center"/>
              <w:textAlignment w:val="auto"/>
            </w:pPr>
            <w:r>
              <w:rPr>
                <w:rFonts w:hint="eastAsia" w:ascii="方正仿宋_GBK" w:hAnsi="方正仿宋_GBK" w:eastAsia="方正仿宋_GBK" w:cs="方正仿宋_GBK"/>
                <w:sz w:val="28"/>
                <w:szCs w:val="28"/>
                <w:bdr w:val="none" w:color="auto" w:sz="0" w:space="0"/>
              </w:rPr>
              <w:t>《国务院对确需保留的行政审批项目设定行政许可的决定》</w:t>
            </w:r>
          </w:p>
        </w:tc>
        <w:tc>
          <w:tcPr>
            <w:tcW w:w="685"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29"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587" w:lineRule="exact"/>
              <w:ind w:left="29" w:right="29"/>
              <w:jc w:val="center"/>
              <w:textAlignment w:val="auto"/>
            </w:pPr>
            <w:r>
              <w:rPr>
                <w:rFonts w:hint="eastAsia" w:ascii="方正仿宋_GBK" w:hAnsi="方正仿宋_GBK" w:eastAsia="方正仿宋_GBK" w:cs="方正仿宋_GBK"/>
                <w:sz w:val="28"/>
                <w:szCs w:val="28"/>
                <w:bdr w:val="none" w:color="auto" w:sz="0" w:space="0"/>
              </w:rPr>
              <w:t>区县公安部门</w:t>
            </w:r>
          </w:p>
        </w:tc>
        <w:tc>
          <w:tcPr>
            <w:tcW w:w="731"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29"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587" w:lineRule="exact"/>
              <w:ind w:left="29" w:right="29"/>
              <w:jc w:val="center"/>
              <w:textAlignment w:val="auto"/>
            </w:pPr>
            <w:r>
              <w:rPr>
                <w:rFonts w:hint="eastAsia" w:ascii="方正仿宋_GBK" w:hAnsi="方正仿宋_GBK" w:eastAsia="方正仿宋_GBK" w:cs="方正仿宋_GBK"/>
                <w:sz w:val="28"/>
                <w:szCs w:val="28"/>
                <w:bdr w:val="none" w:color="auto" w:sz="0" w:space="0"/>
              </w:rPr>
              <w:t>取消</w:t>
            </w:r>
          </w:p>
        </w:tc>
        <w:tc>
          <w:tcPr>
            <w:tcW w:w="4102"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29"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587" w:lineRule="exact"/>
              <w:ind w:left="29" w:right="29"/>
              <w:jc w:val="both"/>
              <w:textAlignment w:val="auto"/>
            </w:pPr>
            <w:r>
              <w:rPr>
                <w:rFonts w:hint="eastAsia" w:ascii="方正仿宋_GBK" w:hAnsi="方正仿宋_GBK" w:eastAsia="方正仿宋_GBK" w:cs="方正仿宋_GBK"/>
                <w:sz w:val="28"/>
                <w:szCs w:val="28"/>
                <w:bdr w:val="none" w:color="auto" w:sz="0" w:space="0"/>
              </w:rPr>
              <w:t>取消许可后，公安机关和有关部门要通过以下措施加强监管：</w:t>
            </w:r>
            <w:r>
              <w:rPr>
                <w:rFonts w:hint="default" w:ascii="Times New Roman" w:hAnsi="Times New Roman" w:cs="Times New Roman"/>
                <w:sz w:val="28"/>
                <w:szCs w:val="28"/>
                <w:bdr w:val="none" w:color="auto" w:sz="0" w:space="0"/>
              </w:rPr>
              <w:t>1</w:t>
            </w:r>
            <w:r>
              <w:rPr>
                <w:rFonts w:hint="eastAsia" w:ascii="方正仿宋_GBK" w:hAnsi="方正仿宋_GBK" w:eastAsia="方正仿宋_GBK" w:cs="方正仿宋_GBK"/>
                <w:sz w:val="28"/>
                <w:szCs w:val="28"/>
                <w:bdr w:val="none" w:color="auto" w:sz="0" w:space="0"/>
              </w:rPr>
              <w:t>．市地方金融监管部门应当将办理“设立典当行及分支机构审批”（含设立、变更、注销）的信息在作出审批决定后</w:t>
            </w:r>
            <w:r>
              <w:rPr>
                <w:rFonts w:hint="default" w:ascii="Times New Roman" w:hAnsi="Times New Roman" w:cs="Times New Roman"/>
                <w:sz w:val="28"/>
                <w:szCs w:val="28"/>
                <w:bdr w:val="none" w:color="auto" w:sz="0" w:space="0"/>
              </w:rPr>
              <w:t>5</w:t>
            </w:r>
            <w:r>
              <w:rPr>
                <w:rFonts w:hint="eastAsia" w:ascii="方正仿宋_GBK" w:hAnsi="方正仿宋_GBK" w:eastAsia="方正仿宋_GBK" w:cs="方正仿宋_GBK"/>
                <w:sz w:val="28"/>
                <w:szCs w:val="28"/>
                <w:bdr w:val="none" w:color="auto" w:sz="0" w:space="0"/>
              </w:rPr>
              <w:t>个工作日内推送至市级公安机关，公安机关据此将典当行及分支机构纳入监管范围，依法实施监管。</w:t>
            </w:r>
            <w:r>
              <w:rPr>
                <w:rFonts w:hint="default" w:ascii="Times New Roman" w:hAnsi="Times New Roman" w:cs="Times New Roman"/>
                <w:sz w:val="28"/>
                <w:szCs w:val="28"/>
                <w:bdr w:val="none" w:color="auto" w:sz="0" w:space="0"/>
              </w:rPr>
              <w:t>2</w:t>
            </w:r>
            <w:r>
              <w:rPr>
                <w:rFonts w:hint="eastAsia" w:ascii="方正仿宋_GBK" w:hAnsi="方正仿宋_GBK" w:eastAsia="方正仿宋_GBK" w:cs="方正仿宋_GBK"/>
                <w:sz w:val="28"/>
                <w:szCs w:val="28"/>
                <w:bdr w:val="none" w:color="auto" w:sz="0" w:space="0"/>
              </w:rPr>
              <w:t>．通过“双随机、一公开”监管等方式，加强对典当行的治安管理，及时化解风险隐患，发现违法犯罪活动要依法查处。</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471" w:hRule="atLeast"/>
          <w:jc w:val="center"/>
        </w:trPr>
        <w:tc>
          <w:tcPr>
            <w:tcW w:w="402"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29"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587" w:lineRule="exact"/>
              <w:ind w:left="29" w:right="29"/>
              <w:jc w:val="center"/>
              <w:textAlignment w:val="auto"/>
            </w:pPr>
            <w:r>
              <w:rPr>
                <w:rFonts w:hint="default" w:ascii="Times New Roman" w:hAnsi="Times New Roman" w:cs="Times New Roman"/>
                <w:sz w:val="28"/>
                <w:szCs w:val="28"/>
                <w:bdr w:val="none" w:color="auto" w:sz="0" w:space="0"/>
              </w:rPr>
              <w:t>2</w:t>
            </w:r>
          </w:p>
        </w:tc>
        <w:tc>
          <w:tcPr>
            <w:tcW w:w="1416"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29"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587" w:lineRule="exact"/>
              <w:ind w:left="29" w:right="29"/>
              <w:jc w:val="center"/>
              <w:textAlignment w:val="auto"/>
            </w:pPr>
            <w:r>
              <w:rPr>
                <w:rFonts w:hint="eastAsia" w:ascii="方正仿宋_GBK" w:hAnsi="方正仿宋_GBK" w:eastAsia="方正仿宋_GBK" w:cs="方正仿宋_GBK"/>
                <w:sz w:val="28"/>
                <w:szCs w:val="28"/>
                <w:bdr w:val="none" w:color="auto" w:sz="0" w:space="0"/>
              </w:rPr>
              <w:t>乡村兽医登记许可</w:t>
            </w:r>
          </w:p>
        </w:tc>
        <w:tc>
          <w:tcPr>
            <w:tcW w:w="1904"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29"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302" w:afterAutospacing="0" w:line="587" w:lineRule="exact"/>
              <w:ind w:left="29" w:right="29"/>
              <w:jc w:val="center"/>
              <w:textAlignment w:val="auto"/>
            </w:pPr>
            <w:r>
              <w:rPr>
                <w:rFonts w:hint="eastAsia" w:ascii="方正仿宋_GBK" w:hAnsi="方正仿宋_GBK" w:eastAsia="方正仿宋_GBK" w:cs="方正仿宋_GBK"/>
                <w:sz w:val="28"/>
                <w:szCs w:val="28"/>
                <w:bdr w:val="none" w:color="auto" w:sz="0" w:space="0"/>
              </w:rPr>
              <w:t>《中华人民共和国动物防疫法》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587" w:lineRule="exact"/>
              <w:ind w:left="29" w:right="29"/>
              <w:jc w:val="center"/>
              <w:textAlignment w:val="auto"/>
            </w:pPr>
            <w:r>
              <w:rPr>
                <w:rFonts w:hint="eastAsia" w:ascii="方正仿宋_GBK" w:hAnsi="方正仿宋_GBK" w:eastAsia="方正仿宋_GBK" w:cs="方正仿宋_GBK"/>
                <w:sz w:val="28"/>
                <w:szCs w:val="28"/>
                <w:bdr w:val="none" w:color="auto" w:sz="0" w:space="0"/>
              </w:rPr>
              <w:t>《乡村兽医管理办法》（原农业部令第</w:t>
            </w:r>
            <w:r>
              <w:rPr>
                <w:rFonts w:hint="default" w:ascii="Times New Roman" w:hAnsi="Times New Roman" w:cs="Times New Roman"/>
                <w:sz w:val="28"/>
                <w:szCs w:val="28"/>
                <w:bdr w:val="none" w:color="auto" w:sz="0" w:space="0"/>
              </w:rPr>
              <w:t>17</w:t>
            </w:r>
            <w:r>
              <w:rPr>
                <w:rFonts w:hint="eastAsia" w:ascii="方正仿宋_GBK" w:hAnsi="方正仿宋_GBK" w:eastAsia="方正仿宋_GBK" w:cs="方正仿宋_GBK"/>
                <w:sz w:val="28"/>
                <w:szCs w:val="28"/>
                <w:bdr w:val="none" w:color="auto" w:sz="0" w:space="0"/>
              </w:rPr>
              <w:t>号）</w:t>
            </w:r>
          </w:p>
        </w:tc>
        <w:tc>
          <w:tcPr>
            <w:tcW w:w="685"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29"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587" w:lineRule="exact"/>
              <w:ind w:left="29" w:right="29"/>
              <w:jc w:val="center"/>
              <w:textAlignment w:val="auto"/>
            </w:pPr>
            <w:r>
              <w:rPr>
                <w:rFonts w:hint="eastAsia" w:ascii="方正仿宋_GBK" w:hAnsi="方正仿宋_GBK" w:eastAsia="方正仿宋_GBK" w:cs="方正仿宋_GBK"/>
                <w:sz w:val="28"/>
                <w:szCs w:val="28"/>
                <w:bdr w:val="none" w:color="auto" w:sz="0" w:space="0"/>
              </w:rPr>
              <w:t>区县农业农村部门</w:t>
            </w:r>
          </w:p>
        </w:tc>
        <w:tc>
          <w:tcPr>
            <w:tcW w:w="731"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29"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587" w:lineRule="exact"/>
              <w:ind w:left="29" w:right="29"/>
              <w:jc w:val="center"/>
              <w:textAlignment w:val="auto"/>
            </w:pPr>
            <w:r>
              <w:rPr>
                <w:rFonts w:hint="eastAsia" w:ascii="方正仿宋_GBK" w:hAnsi="方正仿宋_GBK" w:eastAsia="方正仿宋_GBK" w:cs="方正仿宋_GBK"/>
                <w:sz w:val="28"/>
                <w:szCs w:val="28"/>
                <w:bdr w:val="none" w:color="auto" w:sz="0" w:space="0"/>
              </w:rPr>
              <w:t>取消</w:t>
            </w:r>
          </w:p>
        </w:tc>
        <w:tc>
          <w:tcPr>
            <w:tcW w:w="4102"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29"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587" w:lineRule="exact"/>
              <w:ind w:left="29" w:right="29"/>
              <w:jc w:val="both"/>
              <w:textAlignment w:val="auto"/>
            </w:pPr>
            <w:r>
              <w:rPr>
                <w:rFonts w:hint="eastAsia" w:ascii="方正仿宋_GBK" w:hAnsi="方正仿宋_GBK" w:eastAsia="方正仿宋_GBK" w:cs="方正仿宋_GBK"/>
                <w:sz w:val="28"/>
                <w:szCs w:val="28"/>
                <w:bdr w:val="none" w:color="auto" w:sz="0" w:space="0"/>
              </w:rPr>
              <w:t>取消许可，改为备案。农业农村（兽医）部门要通过以下措施加强监管：</w:t>
            </w:r>
            <w:r>
              <w:rPr>
                <w:rFonts w:hint="default" w:ascii="Times New Roman" w:hAnsi="Times New Roman" w:cs="Times New Roman"/>
                <w:sz w:val="28"/>
                <w:szCs w:val="28"/>
                <w:bdr w:val="none" w:color="auto" w:sz="0" w:space="0"/>
              </w:rPr>
              <w:t>1</w:t>
            </w:r>
            <w:r>
              <w:rPr>
                <w:rFonts w:hint="eastAsia" w:ascii="方正仿宋_GBK" w:hAnsi="方正仿宋_GBK" w:eastAsia="方正仿宋_GBK" w:cs="方正仿宋_GBK"/>
                <w:sz w:val="28"/>
                <w:szCs w:val="28"/>
                <w:bdr w:val="none" w:color="auto" w:sz="0" w:space="0"/>
              </w:rPr>
              <w:t>．建立健全乡村兽医服务人员备案制度，对不按要求备案的要依法设定并追究法律责任。要向社会公开备案情况，方便查询、就医，并发挥社会监督作用。</w:t>
            </w:r>
            <w:r>
              <w:rPr>
                <w:rFonts w:hint="default" w:ascii="Times New Roman" w:hAnsi="Times New Roman" w:cs="Times New Roman"/>
                <w:sz w:val="28"/>
                <w:szCs w:val="28"/>
                <w:bdr w:val="none" w:color="auto" w:sz="0" w:space="0"/>
              </w:rPr>
              <w:t>2</w:t>
            </w:r>
            <w:r>
              <w:rPr>
                <w:rFonts w:hint="eastAsia" w:ascii="方正仿宋_GBK" w:hAnsi="方正仿宋_GBK" w:eastAsia="方正仿宋_GBK" w:cs="方正仿宋_GBK"/>
                <w:sz w:val="28"/>
                <w:szCs w:val="28"/>
                <w:bdr w:val="none" w:color="auto" w:sz="0" w:space="0"/>
              </w:rPr>
              <w:t>．开展“双随机、一公开”监管，畅通投诉举报渠道，发现违法违规行为要依法查处并向社会公开结果。</w:t>
            </w:r>
            <w:r>
              <w:rPr>
                <w:rFonts w:hint="default" w:ascii="Times New Roman" w:hAnsi="Times New Roman" w:cs="Times New Roman"/>
                <w:sz w:val="28"/>
                <w:szCs w:val="28"/>
                <w:bdr w:val="none" w:color="auto" w:sz="0" w:space="0"/>
              </w:rPr>
              <w:t>3</w:t>
            </w:r>
            <w:r>
              <w:rPr>
                <w:rFonts w:hint="eastAsia" w:ascii="方正仿宋_GBK" w:hAnsi="方正仿宋_GBK" w:eastAsia="方正仿宋_GBK" w:cs="方正仿宋_GBK"/>
                <w:sz w:val="28"/>
                <w:szCs w:val="28"/>
                <w:bdr w:val="none" w:color="auto" w:sz="0" w:space="0"/>
              </w:rPr>
              <w:t>．依法实施信用监管，如实记录违法失信行为，实施差异化监管等措施。</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330" w:hRule="atLeast"/>
          <w:jc w:val="center"/>
        </w:trPr>
        <w:tc>
          <w:tcPr>
            <w:tcW w:w="402"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29"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587" w:lineRule="exact"/>
              <w:ind w:left="29" w:right="29"/>
              <w:jc w:val="center"/>
              <w:textAlignment w:val="auto"/>
            </w:pPr>
            <w:r>
              <w:rPr>
                <w:rFonts w:hint="default" w:ascii="Times New Roman" w:hAnsi="Times New Roman" w:cs="Times New Roman"/>
                <w:sz w:val="28"/>
                <w:szCs w:val="28"/>
                <w:bdr w:val="none" w:color="auto" w:sz="0" w:space="0"/>
              </w:rPr>
              <w:t>3</w:t>
            </w:r>
          </w:p>
        </w:tc>
        <w:tc>
          <w:tcPr>
            <w:tcW w:w="1416"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29"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587" w:lineRule="exact"/>
              <w:ind w:left="29" w:right="29"/>
              <w:jc w:val="both"/>
              <w:textAlignment w:val="auto"/>
            </w:pPr>
            <w:r>
              <w:rPr>
                <w:rFonts w:hint="eastAsia" w:ascii="方正仿宋_GBK" w:hAnsi="方正仿宋_GBK" w:eastAsia="方正仿宋_GBK" w:cs="方正仿宋_GBK"/>
                <w:sz w:val="28"/>
                <w:szCs w:val="28"/>
                <w:bdr w:val="none" w:color="auto" w:sz="0" w:space="0"/>
              </w:rPr>
              <w:t>部分医疗机构（除三级医院、三级妇幼保健院、急救中心、急救站、临床检验中心、中外合资合作医疗机构、港澳台独资医疗机构外）《设置医疗机构批准书》核发</w:t>
            </w:r>
          </w:p>
        </w:tc>
        <w:tc>
          <w:tcPr>
            <w:tcW w:w="1904"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29"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587" w:lineRule="exact"/>
              <w:ind w:left="29" w:right="29"/>
              <w:jc w:val="center"/>
              <w:textAlignment w:val="auto"/>
            </w:pPr>
            <w:r>
              <w:rPr>
                <w:rFonts w:hint="eastAsia" w:ascii="方正仿宋_GBK" w:hAnsi="方正仿宋_GBK" w:eastAsia="方正仿宋_GBK" w:cs="方正仿宋_GBK"/>
                <w:sz w:val="28"/>
                <w:szCs w:val="28"/>
                <w:bdr w:val="none" w:color="auto" w:sz="0" w:space="0"/>
              </w:rPr>
              <w:t>《医疗机构管理条例》</w:t>
            </w:r>
          </w:p>
        </w:tc>
        <w:tc>
          <w:tcPr>
            <w:tcW w:w="685"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29"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274" w:afterAutospacing="0" w:line="587" w:lineRule="exact"/>
              <w:ind w:left="29" w:right="29"/>
              <w:jc w:val="center"/>
              <w:textAlignment w:val="auto"/>
            </w:pPr>
            <w:r>
              <w:rPr>
                <w:rFonts w:hint="eastAsia" w:ascii="方正仿宋_GBK" w:hAnsi="方正仿宋_GBK" w:eastAsia="方正仿宋_GBK" w:cs="方正仿宋_GBK"/>
                <w:sz w:val="28"/>
                <w:szCs w:val="28"/>
                <w:bdr w:val="none" w:color="auto" w:sz="0" w:space="0"/>
              </w:rPr>
              <w:t>市卫生健康委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274" w:afterAutospacing="0" w:line="587" w:lineRule="exact"/>
              <w:ind w:left="29" w:right="29"/>
              <w:jc w:val="center"/>
              <w:textAlignment w:val="auto"/>
            </w:pPr>
            <w:r>
              <w:rPr>
                <w:rFonts w:hint="eastAsia" w:ascii="方正仿宋_GBK" w:hAnsi="方正仿宋_GBK" w:eastAsia="方正仿宋_GBK" w:cs="方正仿宋_GBK"/>
                <w:sz w:val="28"/>
                <w:szCs w:val="28"/>
                <w:bdr w:val="none" w:color="auto" w:sz="0" w:space="0"/>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587" w:lineRule="exact"/>
              <w:ind w:left="29" w:right="29"/>
              <w:jc w:val="center"/>
              <w:textAlignment w:val="auto"/>
            </w:pPr>
            <w:r>
              <w:rPr>
                <w:rFonts w:hint="eastAsia" w:ascii="方正仿宋_GBK" w:hAnsi="方正仿宋_GBK" w:eastAsia="方正仿宋_GBK" w:cs="方正仿宋_GBK"/>
                <w:sz w:val="28"/>
                <w:szCs w:val="28"/>
                <w:bdr w:val="none" w:color="auto" w:sz="0" w:space="0"/>
              </w:rPr>
              <w:t>区县卫生健康部门</w:t>
            </w:r>
          </w:p>
        </w:tc>
        <w:tc>
          <w:tcPr>
            <w:tcW w:w="731"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29"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587" w:lineRule="exact"/>
              <w:ind w:left="29" w:right="29"/>
              <w:jc w:val="center"/>
              <w:textAlignment w:val="auto"/>
            </w:pPr>
            <w:r>
              <w:rPr>
                <w:rFonts w:hint="eastAsia" w:ascii="方正仿宋_GBK" w:hAnsi="方正仿宋_GBK" w:eastAsia="方正仿宋_GBK" w:cs="方正仿宋_GBK"/>
                <w:sz w:val="28"/>
                <w:szCs w:val="28"/>
                <w:bdr w:val="none" w:color="auto" w:sz="0" w:space="0"/>
              </w:rPr>
              <w:t>取消</w:t>
            </w:r>
          </w:p>
        </w:tc>
        <w:tc>
          <w:tcPr>
            <w:tcW w:w="4102"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29"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587" w:lineRule="exact"/>
              <w:ind w:left="29" w:right="29"/>
              <w:jc w:val="both"/>
              <w:textAlignment w:val="auto"/>
            </w:pPr>
            <w:r>
              <w:rPr>
                <w:rFonts w:hint="eastAsia" w:ascii="方正仿宋_GBK" w:hAnsi="方正仿宋_GBK" w:eastAsia="方正仿宋_GBK" w:cs="方正仿宋_GBK"/>
                <w:sz w:val="28"/>
                <w:szCs w:val="28"/>
                <w:bdr w:val="none" w:color="auto" w:sz="0" w:space="0"/>
              </w:rPr>
              <w:t>取消许可后，卫生健康部门要通过以下措施加强监管：</w:t>
            </w:r>
            <w:r>
              <w:rPr>
                <w:rFonts w:hint="default" w:ascii="Times New Roman" w:hAnsi="Times New Roman" w:cs="Times New Roman"/>
                <w:sz w:val="28"/>
                <w:szCs w:val="28"/>
                <w:bdr w:val="none" w:color="auto" w:sz="0" w:space="0"/>
              </w:rPr>
              <w:t>1</w:t>
            </w:r>
            <w:r>
              <w:rPr>
                <w:rFonts w:hint="eastAsia" w:ascii="方正仿宋_GBK" w:hAnsi="方正仿宋_GBK" w:eastAsia="方正仿宋_GBK" w:cs="方正仿宋_GBK"/>
                <w:sz w:val="28"/>
                <w:szCs w:val="28"/>
                <w:bdr w:val="none" w:color="auto" w:sz="0" w:space="0"/>
              </w:rPr>
              <w:t>．完善医疗机构设置规划方式，对社会办医疗机构实行指导性规划。加强对社会资本投资医疗机构的服务，同时注意防止以服务之名行审批之实。</w:t>
            </w:r>
            <w:r>
              <w:rPr>
                <w:rFonts w:hint="default" w:ascii="Times New Roman" w:hAnsi="Times New Roman" w:cs="Times New Roman"/>
                <w:sz w:val="28"/>
                <w:szCs w:val="28"/>
                <w:bdr w:val="none" w:color="auto" w:sz="0" w:space="0"/>
              </w:rPr>
              <w:t>2</w:t>
            </w:r>
            <w:r>
              <w:rPr>
                <w:rFonts w:hint="eastAsia" w:ascii="方正仿宋_GBK" w:hAnsi="方正仿宋_GBK" w:eastAsia="方正仿宋_GBK" w:cs="方正仿宋_GBK"/>
                <w:sz w:val="28"/>
                <w:szCs w:val="28"/>
                <w:bdr w:val="none" w:color="auto" w:sz="0" w:space="0"/>
              </w:rPr>
              <w:t>．严格实施“医疗机构执业登记”，并将审批结果向社会公开。</w:t>
            </w:r>
            <w:r>
              <w:rPr>
                <w:rFonts w:hint="default" w:ascii="Times New Roman" w:hAnsi="Times New Roman" w:cs="Times New Roman"/>
                <w:sz w:val="28"/>
                <w:szCs w:val="28"/>
                <w:bdr w:val="none" w:color="auto" w:sz="0" w:space="0"/>
              </w:rPr>
              <w:t>3</w:t>
            </w:r>
            <w:r>
              <w:rPr>
                <w:rFonts w:hint="eastAsia" w:ascii="方正仿宋_GBK" w:hAnsi="方正仿宋_GBK" w:eastAsia="方正仿宋_GBK" w:cs="方正仿宋_GBK"/>
                <w:sz w:val="28"/>
                <w:szCs w:val="28"/>
                <w:bdr w:val="none" w:color="auto" w:sz="0" w:space="0"/>
              </w:rPr>
              <w:t>．开展“双随机、一公开”监管、重点监管等，畅通投诉举报渠道，依法处理医患纠纷和医疗事故，加大对医疗机构的监督检查力度，发现违法违规行为要依法查处并向社会公开结果。</w:t>
            </w:r>
            <w:r>
              <w:rPr>
                <w:rFonts w:hint="default" w:ascii="Times New Roman" w:hAnsi="Times New Roman" w:cs="Times New Roman"/>
                <w:sz w:val="28"/>
                <w:szCs w:val="28"/>
                <w:bdr w:val="none" w:color="auto" w:sz="0" w:space="0"/>
              </w:rPr>
              <w:t>4</w:t>
            </w:r>
            <w:r>
              <w:rPr>
                <w:rFonts w:hint="eastAsia" w:ascii="方正仿宋_GBK" w:hAnsi="方正仿宋_GBK" w:eastAsia="方正仿宋_GBK" w:cs="方正仿宋_GBK"/>
                <w:sz w:val="28"/>
                <w:szCs w:val="28"/>
                <w:bdr w:val="none" w:color="auto" w:sz="0" w:space="0"/>
              </w:rPr>
              <w:t>．依法实施信用监管，如实记录违法失信行为，实施差异化监管措施，对严重违法的医疗机构及其从业人员实行行业禁入。</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316" w:hRule="atLeast"/>
          <w:jc w:val="center"/>
        </w:trPr>
        <w:tc>
          <w:tcPr>
            <w:tcW w:w="402"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29"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587" w:lineRule="exact"/>
              <w:ind w:left="29" w:right="29"/>
              <w:jc w:val="center"/>
              <w:textAlignment w:val="auto"/>
            </w:pPr>
            <w:r>
              <w:rPr>
                <w:rFonts w:hint="default" w:ascii="Times New Roman" w:hAnsi="Times New Roman" w:cs="Times New Roman"/>
                <w:sz w:val="28"/>
                <w:szCs w:val="28"/>
                <w:bdr w:val="none" w:color="auto" w:sz="0" w:space="0"/>
              </w:rPr>
              <w:t>4</w:t>
            </w:r>
          </w:p>
        </w:tc>
        <w:tc>
          <w:tcPr>
            <w:tcW w:w="1416"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29"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587" w:lineRule="exact"/>
              <w:ind w:left="29" w:right="29"/>
              <w:jc w:val="both"/>
              <w:textAlignment w:val="auto"/>
            </w:pPr>
            <w:r>
              <w:rPr>
                <w:rFonts w:hint="eastAsia" w:ascii="方正仿宋_GBK" w:hAnsi="方正仿宋_GBK" w:eastAsia="方正仿宋_GBK" w:cs="方正仿宋_GBK"/>
                <w:sz w:val="28"/>
                <w:szCs w:val="28"/>
                <w:bdr w:val="none" w:color="auto" w:sz="0" w:space="0"/>
              </w:rPr>
              <w:t>职业卫生技术服务机构丙级资质认可</w:t>
            </w:r>
          </w:p>
        </w:tc>
        <w:tc>
          <w:tcPr>
            <w:tcW w:w="1904"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29"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274" w:afterAutospacing="0" w:line="587" w:lineRule="exact"/>
              <w:ind w:left="29" w:right="29"/>
              <w:jc w:val="center"/>
              <w:textAlignment w:val="auto"/>
            </w:pPr>
            <w:r>
              <w:rPr>
                <w:rFonts w:hint="eastAsia" w:ascii="方正仿宋_GBK" w:hAnsi="方正仿宋_GBK" w:eastAsia="方正仿宋_GBK" w:cs="方正仿宋_GBK"/>
                <w:sz w:val="28"/>
                <w:szCs w:val="28"/>
                <w:bdr w:val="none" w:color="auto" w:sz="0" w:space="0"/>
              </w:rPr>
              <w:t>《中华人民共和国职业病防治法》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587" w:lineRule="exact"/>
              <w:ind w:left="29" w:right="29"/>
              <w:jc w:val="center"/>
              <w:textAlignment w:val="auto"/>
            </w:pPr>
            <w:r>
              <w:rPr>
                <w:rFonts w:hint="eastAsia" w:ascii="方正仿宋_GBK" w:hAnsi="方正仿宋_GBK" w:eastAsia="方正仿宋_GBK" w:cs="方正仿宋_GBK"/>
                <w:sz w:val="28"/>
                <w:szCs w:val="28"/>
                <w:bdr w:val="none" w:color="auto" w:sz="0" w:space="0"/>
              </w:rPr>
              <w:t>《职业卫生技术服务机构监督管理暂行办法》（原国家安全监管总局令第</w:t>
            </w:r>
            <w:r>
              <w:rPr>
                <w:rFonts w:hint="default" w:ascii="Times New Roman" w:hAnsi="Times New Roman" w:cs="Times New Roman"/>
                <w:sz w:val="28"/>
                <w:szCs w:val="28"/>
                <w:bdr w:val="none" w:color="auto" w:sz="0" w:space="0"/>
              </w:rPr>
              <w:t>50</w:t>
            </w:r>
            <w:r>
              <w:rPr>
                <w:rFonts w:hint="eastAsia" w:ascii="方正仿宋_GBK" w:hAnsi="方正仿宋_GBK" w:eastAsia="方正仿宋_GBK" w:cs="方正仿宋_GBK"/>
                <w:sz w:val="28"/>
                <w:szCs w:val="28"/>
                <w:bdr w:val="none" w:color="auto" w:sz="0" w:space="0"/>
              </w:rPr>
              <w:t>号）</w:t>
            </w:r>
          </w:p>
        </w:tc>
        <w:tc>
          <w:tcPr>
            <w:tcW w:w="685"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29"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587" w:lineRule="exact"/>
              <w:ind w:left="29" w:right="29"/>
              <w:jc w:val="center"/>
              <w:textAlignment w:val="auto"/>
            </w:pPr>
            <w:r>
              <w:rPr>
                <w:rFonts w:hint="eastAsia" w:ascii="方正仿宋_GBK" w:hAnsi="方正仿宋_GBK" w:eastAsia="方正仿宋_GBK" w:cs="方正仿宋_GBK"/>
                <w:sz w:val="28"/>
                <w:szCs w:val="28"/>
                <w:bdr w:val="none" w:color="auto" w:sz="0" w:space="0"/>
              </w:rPr>
              <w:t>区县卫生健康部门</w:t>
            </w:r>
          </w:p>
        </w:tc>
        <w:tc>
          <w:tcPr>
            <w:tcW w:w="731"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29"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587" w:lineRule="exact"/>
              <w:ind w:left="29" w:right="29"/>
              <w:jc w:val="center"/>
              <w:textAlignment w:val="auto"/>
            </w:pPr>
            <w:r>
              <w:rPr>
                <w:rFonts w:hint="eastAsia" w:ascii="方正仿宋_GBK" w:hAnsi="方正仿宋_GBK" w:eastAsia="方正仿宋_GBK" w:cs="方正仿宋_GBK"/>
                <w:sz w:val="28"/>
                <w:szCs w:val="28"/>
                <w:bdr w:val="none" w:color="auto" w:sz="0" w:space="0"/>
              </w:rPr>
              <w:t>取消</w:t>
            </w:r>
          </w:p>
        </w:tc>
        <w:tc>
          <w:tcPr>
            <w:tcW w:w="4102"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29"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587" w:lineRule="exact"/>
              <w:ind w:left="29" w:right="29"/>
              <w:jc w:val="both"/>
              <w:textAlignment w:val="auto"/>
            </w:pPr>
            <w:r>
              <w:rPr>
                <w:rFonts w:hint="eastAsia" w:ascii="方正仿宋_GBK" w:hAnsi="方正仿宋_GBK" w:eastAsia="方正仿宋_GBK" w:cs="方正仿宋_GBK"/>
                <w:sz w:val="28"/>
                <w:szCs w:val="28"/>
                <w:bdr w:val="none" w:color="auto" w:sz="0" w:space="0"/>
              </w:rPr>
              <w:t>取消许可，整合至“职业卫生技术服务机构乙级资质认可”。卫生健康部门要通过以下措施加强监管：</w:t>
            </w:r>
            <w:r>
              <w:rPr>
                <w:rFonts w:hint="default" w:ascii="Times New Roman" w:hAnsi="Times New Roman" w:cs="Times New Roman"/>
                <w:sz w:val="28"/>
                <w:szCs w:val="28"/>
                <w:bdr w:val="none" w:color="auto" w:sz="0" w:space="0"/>
              </w:rPr>
              <w:t>1</w:t>
            </w:r>
            <w:r>
              <w:rPr>
                <w:rFonts w:hint="eastAsia" w:ascii="方正仿宋_GBK" w:hAnsi="方正仿宋_GBK" w:eastAsia="方正仿宋_GBK" w:cs="方正仿宋_GBK"/>
                <w:sz w:val="28"/>
                <w:szCs w:val="28"/>
                <w:bdr w:val="none" w:color="auto" w:sz="0" w:space="0"/>
              </w:rPr>
              <w:t>．适当降低职业卫生技术服务机构乙级资质条件要求，完善职业卫生技术服务标准。引导现有职业卫生技术服务丙级机构换领新的乙级资质证书，拓宽业务范围和业务地域范围。</w:t>
            </w:r>
            <w:r>
              <w:rPr>
                <w:rFonts w:hint="default" w:ascii="Times New Roman" w:hAnsi="Times New Roman" w:cs="Times New Roman"/>
                <w:sz w:val="28"/>
                <w:szCs w:val="28"/>
                <w:bdr w:val="none" w:color="auto" w:sz="0" w:space="0"/>
              </w:rPr>
              <w:t>2</w:t>
            </w:r>
            <w:r>
              <w:rPr>
                <w:rFonts w:hint="eastAsia" w:ascii="方正仿宋_GBK" w:hAnsi="方正仿宋_GBK" w:eastAsia="方正仿宋_GBK" w:cs="方正仿宋_GBK"/>
                <w:sz w:val="28"/>
                <w:szCs w:val="28"/>
                <w:bdr w:val="none" w:color="auto" w:sz="0" w:space="0"/>
              </w:rPr>
              <w:t>．开展“双随机、一公开”监管，畅通投诉举报渠道，发现违法违规行为要依法查处并向社会公开结果。</w:t>
            </w:r>
            <w:r>
              <w:rPr>
                <w:rFonts w:hint="default" w:ascii="Times New Roman" w:hAnsi="Times New Roman" w:cs="Times New Roman"/>
                <w:sz w:val="28"/>
                <w:szCs w:val="28"/>
                <w:bdr w:val="none" w:color="auto" w:sz="0" w:space="0"/>
              </w:rPr>
              <w:t>3</w:t>
            </w:r>
            <w:r>
              <w:rPr>
                <w:rFonts w:hint="eastAsia" w:ascii="方正仿宋_GBK" w:hAnsi="方正仿宋_GBK" w:eastAsia="方正仿宋_GBK" w:cs="方正仿宋_GBK"/>
                <w:sz w:val="28"/>
                <w:szCs w:val="28"/>
                <w:bdr w:val="none" w:color="auto" w:sz="0" w:space="0"/>
              </w:rPr>
              <w:t>．对存在职业病危害因素的企业，依法开展职业病危害因素监督检查。发现职业卫生技术服务机构出具虚假报告的，依法追究法律责任。</w:t>
            </w:r>
            <w:r>
              <w:rPr>
                <w:rFonts w:hint="default" w:ascii="Times New Roman" w:hAnsi="Times New Roman" w:cs="Times New Roman"/>
                <w:sz w:val="28"/>
                <w:szCs w:val="28"/>
                <w:bdr w:val="none" w:color="auto" w:sz="0" w:space="0"/>
              </w:rPr>
              <w:t>4</w:t>
            </w:r>
            <w:r>
              <w:rPr>
                <w:rFonts w:hint="eastAsia" w:ascii="方正仿宋_GBK" w:hAnsi="方正仿宋_GBK" w:eastAsia="方正仿宋_GBK" w:cs="方正仿宋_GBK"/>
                <w:sz w:val="28"/>
                <w:szCs w:val="28"/>
                <w:bdr w:val="none" w:color="auto" w:sz="0" w:space="0"/>
              </w:rPr>
              <w:t>．依法实施信用监管，如实记录违法失信行为，实施差异化监管等措施。</w:t>
            </w:r>
          </w:p>
        </w:tc>
      </w:tr>
    </w:tbl>
    <w:p>
      <w:pPr>
        <w:pStyle w:val="2"/>
        <w:keepNext w:val="0"/>
        <w:keepLines w:val="0"/>
        <w:pageBreakBefore w:val="0"/>
        <w:widowControl/>
        <w:suppressLineNumbers w:val="0"/>
        <w:kinsoku/>
        <w:overflowPunct/>
        <w:topLinePunct w:val="0"/>
        <w:autoSpaceDE/>
        <w:autoSpaceDN/>
        <w:bidi w:val="0"/>
        <w:adjustRightInd/>
        <w:snapToGrid/>
        <w:spacing w:before="274" w:beforeAutospacing="0" w:after="270" w:afterAutospacing="0" w:line="587" w:lineRule="exact"/>
        <w:ind w:left="0" w:firstLine="418"/>
        <w:jc w:val="left"/>
        <w:textAlignment w:val="auto"/>
        <w:rPr>
          <w:rFonts w:hint="default" w:ascii="sans-serif" w:hAnsi="sans-serif" w:eastAsia="sans-serif" w:cs="sans-serif"/>
          <w:i w:val="0"/>
          <w:caps w:val="0"/>
          <w:color w:val="000000"/>
          <w:spacing w:val="0"/>
          <w:sz w:val="27"/>
          <w:szCs w:val="27"/>
        </w:rPr>
      </w:pPr>
    </w:p>
    <w:p>
      <w:pPr>
        <w:pStyle w:val="2"/>
        <w:keepNext w:val="0"/>
        <w:keepLines w:val="0"/>
        <w:pageBreakBefore w:val="0"/>
        <w:widowControl/>
        <w:suppressLineNumbers w:val="0"/>
        <w:kinsoku/>
        <w:overflowPunct/>
        <w:topLinePunct w:val="0"/>
        <w:autoSpaceDE/>
        <w:autoSpaceDN/>
        <w:bidi w:val="0"/>
        <w:adjustRightInd/>
        <w:snapToGrid/>
        <w:spacing w:before="0" w:beforeAutospacing="1" w:after="0" w:afterAutospacing="0" w:line="587" w:lineRule="exact"/>
        <w:ind w:left="0" w:right="1282" w:firstLine="1296"/>
        <w:textAlignment w:val="auto"/>
        <w:rPr>
          <w:rFonts w:hint="default" w:ascii="sans-serif" w:hAnsi="sans-serif" w:eastAsia="sans-serif" w:cs="sans-serif"/>
          <w:i w:val="0"/>
          <w:caps w:val="0"/>
          <w:color w:val="000000"/>
          <w:spacing w:val="0"/>
          <w:sz w:val="19"/>
          <w:szCs w:val="19"/>
        </w:rPr>
      </w:pPr>
    </w:p>
    <w:p>
      <w:pPr>
        <w:pStyle w:val="2"/>
        <w:keepNext w:val="0"/>
        <w:keepLines w:val="0"/>
        <w:pageBreakBefore w:val="0"/>
        <w:widowControl/>
        <w:suppressLineNumbers w:val="0"/>
        <w:kinsoku/>
        <w:overflowPunct/>
        <w:topLinePunct w:val="0"/>
        <w:autoSpaceDE/>
        <w:autoSpaceDN/>
        <w:bidi w:val="0"/>
        <w:adjustRightInd/>
        <w:snapToGrid/>
        <w:spacing w:before="230" w:beforeAutospacing="0" w:after="0" w:afterAutospacing="0" w:line="587" w:lineRule="exact"/>
        <w:ind w:left="0" w:firstLine="0"/>
        <w:jc w:val="right"/>
        <w:textAlignment w:val="auto"/>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—5—</w:t>
      </w:r>
    </w:p>
    <w:p>
      <w:pPr>
        <w:keepNext w:val="0"/>
        <w:keepLines w:val="0"/>
        <w:pageBreakBefore w:val="0"/>
        <w:kinsoku/>
        <w:overflowPunct/>
        <w:topLinePunct w:val="0"/>
        <w:autoSpaceDE/>
        <w:autoSpaceDN/>
        <w:bidi w:val="0"/>
        <w:adjustRightInd/>
        <w:snapToGrid/>
        <w:spacing w:line="587"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760565"/>
    <w:rsid w:val="63B00C65"/>
    <w:rsid w:val="660062A6"/>
    <w:rsid w:val="7C082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2022-07-07T08:14:20Z</dcterms:created>
  <dc:creator>Administrator</dc:creator>
  <cp:lastModifiedBy>Administrator</cp:lastModifiedBy>
  <dcterms:modified xsi:type="dcterms:W3CDTF">2022-07-07T08:15:25Z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