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74" w:beforeAutospacing="0" w:after="302" w:afterAutospacing="0" w:line="315" w:lineRule="atLeast"/>
        <w:ind w:lef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274" w:beforeAutospacing="0" w:after="302" w:afterAutospacing="0"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</w:rPr>
        <w:t>对应市级取消的行政许可事项目录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</w:t>
      </w:r>
    </w:p>
    <w:tbl>
      <w:tblPr>
        <w:tblStyle w:val="3"/>
        <w:tblW w:w="9240" w:type="dxa"/>
        <w:jc w:val="center"/>
        <w:tblInd w:w="-438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02"/>
        <w:gridCol w:w="1416"/>
        <w:gridCol w:w="1904"/>
        <w:gridCol w:w="685"/>
        <w:gridCol w:w="731"/>
        <w:gridCol w:w="41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25" w:hRule="atLeast"/>
          <w:jc w:val="center"/>
        </w:trPr>
        <w:tc>
          <w:tcPr>
            <w:tcW w:w="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4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事项名称</w:t>
            </w:r>
          </w:p>
        </w:tc>
        <w:tc>
          <w:tcPr>
            <w:tcW w:w="1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设定依据</w:t>
            </w:r>
          </w:p>
        </w:tc>
        <w:tc>
          <w:tcPr>
            <w:tcW w:w="6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审批部门</w:t>
            </w:r>
          </w:p>
        </w:tc>
        <w:tc>
          <w:tcPr>
            <w:tcW w:w="73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处理决定</w:t>
            </w:r>
          </w:p>
        </w:tc>
        <w:tc>
          <w:tcPr>
            <w:tcW w:w="41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加强事中事后监管措施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31" w:hRule="atLeast"/>
          <w:jc w:val="center"/>
        </w:trPr>
        <w:tc>
          <w:tcPr>
            <w:tcW w:w="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典当业特种行业许可证核发</w:t>
            </w:r>
          </w:p>
        </w:tc>
        <w:tc>
          <w:tcPr>
            <w:tcW w:w="1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《国务院对确需保留的行政审批项目设定行政许可的决定》</w:t>
            </w:r>
          </w:p>
        </w:tc>
        <w:tc>
          <w:tcPr>
            <w:tcW w:w="6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区县公安部门</w:t>
            </w:r>
          </w:p>
        </w:tc>
        <w:tc>
          <w:tcPr>
            <w:tcW w:w="73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</w:t>
            </w:r>
          </w:p>
        </w:tc>
        <w:tc>
          <w:tcPr>
            <w:tcW w:w="41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取消许可后，公安机关和有关部门要通过以下措施加强监管：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．市地方金融监管部门应当将办理“设立典当行及分支机构审批”（含设立、变更、注销）的信息在作出审批决定后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个工作日内推送至市级公安机关，公安机关据此将典当行及分支机构纳入监管范围，依法实施监管。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．通过“双随机、一公开”监管等方式，加强对典当行的治安管理，及时化解风险隐患，发现违法犯罪活动要依法查处。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471" w:hRule="atLeast"/>
          <w:jc w:val="center"/>
        </w:trPr>
        <w:tc>
          <w:tcPr>
            <w:tcW w:w="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乡村兽医登记许可</w:t>
            </w:r>
          </w:p>
        </w:tc>
        <w:tc>
          <w:tcPr>
            <w:tcW w:w="1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302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《中华人民共和国动物防疫法》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《乡村兽医管理办法》（原农业部令第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号）</w:t>
            </w:r>
          </w:p>
        </w:tc>
        <w:tc>
          <w:tcPr>
            <w:tcW w:w="6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区县农业农村部门</w:t>
            </w:r>
          </w:p>
        </w:tc>
        <w:tc>
          <w:tcPr>
            <w:tcW w:w="73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</w:t>
            </w:r>
          </w:p>
        </w:tc>
        <w:tc>
          <w:tcPr>
            <w:tcW w:w="41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取消许可，改为备案。农业农村（兽医）部门要通过以下措施加强监管：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．建立健全乡村兽医服务人员备案制度，对不按要求备案的要依法设定并追究法律责任。要向社会公开备案情况，方便查询、就医，并发挥社会监督作用。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．开展“双随机、一公开”监管，畅通投诉举报渠道，发现违法违规行为要依法查处并向社会公开结果。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．依法实施信用监管，如实记录违法失信行为，实施差异化监管等措施。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30" w:hRule="atLeast"/>
          <w:jc w:val="center"/>
        </w:trPr>
        <w:tc>
          <w:tcPr>
            <w:tcW w:w="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部分医疗机构（除三级医院、三级妇幼保健院、急救中心、急救站、临床检验中心、中外合资合作医疗机构、港澳台独资医疗机构外）《设置医疗机构批准书》核发</w:t>
            </w:r>
          </w:p>
        </w:tc>
        <w:tc>
          <w:tcPr>
            <w:tcW w:w="1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《医疗机构管理条例》</w:t>
            </w:r>
          </w:p>
        </w:tc>
        <w:tc>
          <w:tcPr>
            <w:tcW w:w="6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274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市卫生健康委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274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区县卫生健康部门</w:t>
            </w:r>
          </w:p>
        </w:tc>
        <w:tc>
          <w:tcPr>
            <w:tcW w:w="73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</w:t>
            </w:r>
          </w:p>
        </w:tc>
        <w:tc>
          <w:tcPr>
            <w:tcW w:w="41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取消许可后，卫生健康部门要通过以下措施加强监管：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．完善医疗机构设置规划方式，对社会办医疗机构实行指导性规划。加强对社会资本投资医疗机构的服务，同时注意防止以服务之名行审批之实。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．严格实施“医疗机构执业登记”，并将审批结果向社会公开。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．开展“双随机、一公开”监管、重点监管等，畅通投诉举报渠道，依法处理医患纠纷和医疗事故，加大对医疗机构的监督检查力度，发现违法违规行为要依法查处并向社会公开结果。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．依法实施信用监管，如实记录违法失信行为，实施差异化监管措施，对严重违法的医疗机构及其从业人员实行行业禁入。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  <w:jc w:val="center"/>
        </w:trPr>
        <w:tc>
          <w:tcPr>
            <w:tcW w:w="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职业卫生技术服务机构丙级资质认可</w:t>
            </w:r>
          </w:p>
        </w:tc>
        <w:tc>
          <w:tcPr>
            <w:tcW w:w="1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274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《中华人民共和国职业病防治法》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《职业卫生技术服务机构监督管理暂行办法》（原国家安全监管总局令第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号）</w:t>
            </w:r>
          </w:p>
        </w:tc>
        <w:tc>
          <w:tcPr>
            <w:tcW w:w="6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区县卫生健康部门</w:t>
            </w:r>
          </w:p>
        </w:tc>
        <w:tc>
          <w:tcPr>
            <w:tcW w:w="73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</w:t>
            </w:r>
          </w:p>
        </w:tc>
        <w:tc>
          <w:tcPr>
            <w:tcW w:w="41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15" w:lineRule="atLeast"/>
              <w:ind w:left="29" w:right="29"/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取消许可，整合至“职业卫生技术服务机构乙级资质认可”。卫生健康部门要通过以下措施加强监管：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．适当降低职业卫生技术服务机构乙级资质条件要求，完善职业卫生技术服务标准。引导现有职业卫生技术服务丙级机构换领新的乙级资质证书，拓宽业务范围和业务地域范围。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．开展“双随机、一公开”监管，畅通投诉举报渠道，发现违法违规行为要依法查处并向社会公开结果。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．对存在职业病危害因素的企业，依法开展职业病危害因素监督检查。发现职业卫生技术服务机构出具虚假报告的，依法追究法律责任。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．依法实施信用监管，如实记录违法失信行为，实施差异化监管等措施。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74" w:beforeAutospacing="0" w:after="270" w:afterAutospacing="0" w:line="315" w:lineRule="atLeast"/>
        <w:ind w:left="0" w:firstLine="418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E3D4B"/>
    <w:rsid w:val="3DA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区政务服务管理办公室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2022-07-07T08:12:00Z</dcterms:created>
  <dc:creator>Administrator</dc:creator>
  <cp:lastModifiedBy>Administrator</cp:lastModifiedBy>
  <dcterms:modified xsi:type="dcterms:W3CDTF">2022-07-07T08:13:13Z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