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ascii="sans-serif" w:hAnsi="sans-serif" w:eastAsia="sans-serif" w:cs="sans-serif"/>
          <w:i w:val="0"/>
          <w:caps w:val="0"/>
          <w:color w:val="000000"/>
          <w:spacing w:val="0"/>
          <w:sz w:val="24"/>
          <w:szCs w:val="24"/>
        </w:rPr>
      </w:pPr>
      <w:r>
        <w:rPr>
          <w:rFonts w:ascii="方正小标宋_GBK" w:hAnsi="方正小标宋_GBK" w:eastAsia="方正小标宋_GBK" w:cs="方正小标宋_GBK"/>
          <w:i w:val="0"/>
          <w:caps w:val="0"/>
          <w:color w:val="333333"/>
          <w:spacing w:val="0"/>
          <w:sz w:val="44"/>
          <w:szCs w:val="44"/>
          <w:bdr w:val="none" w:color="auto" w:sz="0" w:space="0"/>
        </w:rPr>
        <w:t>重庆市万州区人民政府办公室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sans-serif" w:hAnsi="sans-serif" w:eastAsia="sans-serif" w:cs="sans-serif"/>
          <w:i w:val="0"/>
          <w:caps w:val="0"/>
          <w:color w:val="000000"/>
          <w:spacing w:val="0"/>
          <w:sz w:val="24"/>
          <w:szCs w:val="24"/>
        </w:rPr>
      </w:pPr>
      <w:bookmarkStart w:id="0" w:name="_GoBack"/>
      <w:r>
        <w:rPr>
          <w:rFonts w:hint="eastAsia" w:ascii="方正小标宋_GBK" w:hAnsi="方正小标宋_GBK" w:eastAsia="方正小标宋_GBK" w:cs="方正小标宋_GBK"/>
          <w:i w:val="0"/>
          <w:caps w:val="0"/>
          <w:color w:val="333333"/>
          <w:spacing w:val="0"/>
          <w:sz w:val="44"/>
          <w:szCs w:val="44"/>
          <w:bdr w:val="none" w:color="auto" w:sz="0" w:space="0"/>
        </w:rPr>
        <w:t>关于做好承接市级下放和对应市级</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sans-serif" w:hAnsi="sans-serif" w:eastAsia="sans-serif" w:cs="sans-serif"/>
          <w:i w:val="0"/>
          <w:caps w:val="0"/>
          <w:color w:val="000000"/>
          <w:spacing w:val="0"/>
          <w:sz w:val="24"/>
          <w:szCs w:val="24"/>
        </w:rPr>
      </w:pPr>
      <w:r>
        <w:rPr>
          <w:rFonts w:hint="eastAsia" w:ascii="方正小标宋_GBK" w:hAnsi="方正小标宋_GBK" w:eastAsia="方正小标宋_GBK" w:cs="方正小标宋_GBK"/>
          <w:i w:val="0"/>
          <w:caps w:val="0"/>
          <w:color w:val="333333"/>
          <w:spacing w:val="0"/>
          <w:sz w:val="44"/>
          <w:szCs w:val="44"/>
          <w:bdr w:val="none" w:color="auto" w:sz="0" w:space="0"/>
        </w:rPr>
        <w:t>取消行政许可事项（2019年第一批）等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方正小标宋_GBK" w:hAnsi="方正小标宋_GBK" w:eastAsia="方正小标宋_GBK" w:cs="方正小标宋_GBK"/>
          <w:i w:val="0"/>
          <w:caps w:val="0"/>
          <w:color w:val="333333"/>
          <w:spacing w:val="0"/>
          <w:sz w:val="44"/>
          <w:szCs w:val="44"/>
          <w:bdr w:val="none" w:color="auto" w:sz="0" w:space="0"/>
        </w:rPr>
      </w:pPr>
      <w:r>
        <w:rPr>
          <w:rFonts w:hint="eastAsia" w:ascii="方正小标宋_GBK" w:hAnsi="方正小标宋_GBK" w:eastAsia="方正小标宋_GBK" w:cs="方正小标宋_GBK"/>
          <w:i w:val="0"/>
          <w:caps w:val="0"/>
          <w:color w:val="333333"/>
          <w:spacing w:val="0"/>
          <w:sz w:val="44"/>
          <w:szCs w:val="44"/>
          <w:bdr w:val="none" w:color="auto" w:sz="0" w:space="0"/>
        </w:rPr>
        <w:t>有关工作的通知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方正小标宋_GBK" w:hAnsi="方正小标宋_GBK" w:eastAsia="方正小标宋_GBK" w:cs="方正小标宋_GBK"/>
          <w:i w:val="0"/>
          <w:caps w:val="0"/>
          <w:color w:val="333333"/>
          <w:spacing w:val="0"/>
          <w:sz w:val="44"/>
          <w:szCs w:val="4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firstLine="420"/>
        <w:jc w:val="center"/>
        <w:textAlignment w:val="auto"/>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333333"/>
          <w:spacing w:val="0"/>
          <w:sz w:val="31"/>
          <w:szCs w:val="31"/>
          <w:bdr w:val="none" w:color="auto" w:sz="0" w:space="0"/>
        </w:rPr>
        <w:t>万州府办发〔</w:t>
      </w:r>
      <w:r>
        <w:rPr>
          <w:rFonts w:hint="eastAsia" w:ascii="方正仿宋_GBK" w:hAnsi="方正仿宋_GBK" w:eastAsia="方正仿宋_GBK" w:cs="方正仿宋_GBK"/>
          <w:i w:val="0"/>
          <w:caps w:val="0"/>
          <w:color w:val="333333"/>
          <w:spacing w:val="0"/>
          <w:sz w:val="31"/>
          <w:szCs w:val="31"/>
          <w:bdr w:val="none" w:color="auto" w:sz="0" w:space="0"/>
        </w:rPr>
        <w:t>2019〕47号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firstLine="420"/>
        <w:jc w:val="center"/>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bdr w:val="none" w:color="auto" w:sz="0" w:space="0"/>
        </w:rPr>
        <w:t>各镇乡（民族乡）人民政府，各街道办事处，区政府各部门，有关单位：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i w:val="0"/>
          <w:caps w:val="0"/>
          <w:color w:val="333333"/>
          <w:spacing w:val="0"/>
          <w:sz w:val="32"/>
          <w:szCs w:val="32"/>
          <w:bdr w:val="none" w:color="auto" w:sz="0" w:space="0"/>
        </w:rPr>
      </w:pPr>
      <w:r>
        <w:rPr>
          <w:rFonts w:hint="eastAsia" w:ascii="方正仿宋_GBK" w:hAnsi="方正仿宋_GBK" w:eastAsia="方正仿宋_GBK" w:cs="方正仿宋_GBK"/>
          <w:i w:val="0"/>
          <w:caps w:val="0"/>
          <w:color w:val="333333"/>
          <w:spacing w:val="0"/>
          <w:sz w:val="32"/>
          <w:szCs w:val="32"/>
          <w:bdr w:val="none" w:color="auto" w:sz="0" w:space="0"/>
        </w:rPr>
        <w:t>为贯彻落实《国务院关于修改部分行政法规的决定》（国令第709号、第710号）、《国务院关于取消和下放一批行政许可事项的决定》（国发〔2019〕6 号）、《国务院办公厅关于压缩不动产登记办理时间的通知》（国办发〔2019〕8 号）、《重庆市人民政府关于取消和调整一批行政许可事项的决定》（渝府发〔2019〕9号）和《重庆市人民政府关于印发重庆市工程建设项目审批制度改革试点实施方案的通知》（渝府发〔2018〕43号）等文件精神，进一步推进放管服改革工作，优化营商环境，经区政府同意，现就承接市级下放和对应市级取消行政许可事项（2019年第一批）等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方正仿宋_GBK" w:hAnsi="方正仿宋_GBK" w:eastAsia="方正仿宋_GBK" w:cs="方正仿宋_GBK"/>
          <w:i w:val="0"/>
          <w:caps w:val="0"/>
          <w:color w:val="333333"/>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ascii="方正黑体_GBK" w:hAnsi="方正黑体_GBK" w:eastAsia="方正黑体_GBK" w:cs="方正黑体_GBK"/>
          <w:i w:val="0"/>
          <w:caps w:val="0"/>
          <w:color w:val="000000"/>
          <w:spacing w:val="0"/>
          <w:sz w:val="32"/>
          <w:szCs w:val="32"/>
          <w:bdr w:val="none" w:color="auto" w:sz="0" w:space="0"/>
        </w:rPr>
        <w:t> 一、承接市级下放和对应市级取消行政许可等事项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333333"/>
          <w:spacing w:val="0"/>
          <w:sz w:val="32"/>
          <w:szCs w:val="32"/>
          <w:bdr w:val="none" w:color="auto" w:sz="0" w:space="0"/>
        </w:rPr>
        <w:t>（一）承接市级下放的行政许可事项2项，对应取消6项行政许可事项（见附件）。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333333"/>
          <w:spacing w:val="0"/>
          <w:sz w:val="32"/>
          <w:szCs w:val="32"/>
          <w:bdr w:val="none" w:color="auto" w:sz="0" w:space="0"/>
        </w:rPr>
        <w:t>（二）为确保行政审批改革措施落到实处，我区未纳入区级行政许可项目库但上级要求取消的“建设项目消防方案设计技术审查”、“建设项目防空地下室初步设计审批”、“结建人防工程施工图备案”、“房屋建筑及其附属设施和市政工程初步设计（社会投资类）”、“房屋建筑工程和市政基础设施工程防雷装置设计审核（超高层建筑等雷电风险高的特殊项目除外）”、“房屋建筑工程和市政基础设施工程防雷装置竣工验收（超高层建筑等雷电风险高的特殊项目除外）”等6个项目，现一并对外公开发布，接受社会监督，区政府有关部门和单位不得对上述事项实施审批或变相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2"/>
          <w:szCs w:val="32"/>
          <w:bdr w:val="none" w:color="auto" w:sz="0" w:space="0"/>
        </w:rPr>
        <w:t>（三）</w:t>
      </w:r>
      <w:r>
        <w:rPr>
          <w:rFonts w:hint="eastAsia" w:ascii="方正仿宋_GBK" w:hAnsi="方正仿宋_GBK" w:eastAsia="方正仿宋_GBK" w:cs="方正仿宋_GBK"/>
          <w:i w:val="0"/>
          <w:caps w:val="0"/>
          <w:color w:val="333333"/>
          <w:spacing w:val="0"/>
          <w:sz w:val="32"/>
          <w:szCs w:val="32"/>
          <w:bdr w:val="none" w:color="auto" w:sz="0" w:space="0"/>
        </w:rPr>
        <w:t>凡涉及承接市级下放行政许可事项的，相关部门和单位要主动与市级部门对接，制定承接方案，及时制定和公开行政审批流程示意图，确保承接落实到位。除涉密等不宜集中办理的审批事项外，承接事项按照“应进必进”原则进入区政务服务中心集中办理，并及时纳入市网审平台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333333"/>
          <w:spacing w:val="0"/>
          <w:sz w:val="32"/>
          <w:szCs w:val="32"/>
          <w:bdr w:val="none" w:color="auto" w:sz="0" w:space="0"/>
        </w:rPr>
        <w:t>（四）凡对应市级取消的行政许可事项，自本通知下发之日起，相关部门和单位不得再实施审批；区级有关部门和单位要切实转变职能，认真做好行政许可等事项取消的落实工作，切实强化事中事后监管，细化完善工作措施，做好工作衔接，方便企业和群众办事。已取消的行政许可等事项，不得通过拆分、合并或重组等方式以新的名义替代审批，不得以事前备案等其他任何形式变相审批，不得违法转交下属事业单位、协会继续审批。凡未纳入区级行政许可事项目录，区级有关部门和单位一律不得开展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000000"/>
          <w:spacing w:val="0"/>
          <w:sz w:val="32"/>
          <w:szCs w:val="32"/>
          <w:bdr w:val="none" w:color="auto" w:sz="0" w:space="0"/>
        </w:rPr>
        <w:t>二、清理规范行政许可中介服务和证明材料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333333"/>
          <w:spacing w:val="0"/>
          <w:sz w:val="32"/>
          <w:szCs w:val="32"/>
          <w:bdr w:val="none" w:color="auto" w:sz="0" w:space="0"/>
        </w:rPr>
        <w:t>清理规范6项行政审批中介服务和证明材料（见附件）。对清理规范的行政审批中介服务和证明材料，区政府有关部门和有单位要严格执行到位，及时调整完善相应行政许可事项服务指南，同时加快推进配套改革和相关制度建设，切实加强事中事后监管和便民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000000"/>
          <w:spacing w:val="0"/>
          <w:sz w:val="32"/>
          <w:szCs w:val="32"/>
          <w:bdr w:val="none" w:color="auto" w:sz="0" w:space="0"/>
        </w:rPr>
        <w:t>三、有关要求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333333"/>
          <w:spacing w:val="0"/>
          <w:sz w:val="32"/>
          <w:szCs w:val="32"/>
          <w:bdr w:val="none" w:color="auto" w:sz="0" w:space="0"/>
        </w:rPr>
        <w:t>区政府有关部门和单位要按照审批服务便民化改革要求，进一步规范行政审批行为，优化行政审批流程，改进审批服务质量，提高行政审批效率。要按照行政许可标准化的要求，加强行政审批信息公开，相应调整网上行政许可事项及办事指南，确保重大政策措施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i w:val="0"/>
          <w:caps w:val="0"/>
          <w:color w:val="333333"/>
          <w:spacing w:val="0"/>
          <w:sz w:val="32"/>
          <w:szCs w:val="32"/>
          <w:bdr w:val="none" w:color="auto" w:sz="0" w:space="0"/>
        </w:rPr>
      </w:pPr>
      <w:r>
        <w:rPr>
          <w:rFonts w:hint="eastAsia" w:ascii="方正仿宋_GBK" w:hAnsi="方正仿宋_GBK" w:eastAsia="方正仿宋_GBK" w:cs="方正仿宋_GBK"/>
          <w:i w:val="0"/>
          <w:caps w:val="0"/>
          <w:color w:val="333333"/>
          <w:spacing w:val="0"/>
          <w:sz w:val="32"/>
          <w:szCs w:val="32"/>
          <w:bdr w:val="none" w:color="auto" w:sz="0" w:space="0"/>
        </w:rPr>
        <w:t>区政府有关部门和单位在实施过程中如发现问题，要及时向区政务服务管理办公室反馈。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方正仿宋_GBK" w:hAnsi="方正仿宋_GBK" w:eastAsia="方正仿宋_GBK" w:cs="方正仿宋_GBK"/>
          <w:i w:val="0"/>
          <w:caps w:val="0"/>
          <w:color w:val="333333"/>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32"/>
          <w:szCs w:val="32"/>
          <w:bdr w:val="none" w:color="auto" w:sz="0" w:space="0"/>
        </w:rPr>
        <w:t>附件：万州区承接市级下放和对应市级取消行政许可事项目录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bdr w:val="none" w:color="auto" w:sz="0" w:space="0"/>
        </w:rPr>
        <w:t>                                                                     </w:t>
      </w:r>
      <w:r>
        <w:rPr>
          <w:rFonts w:hint="eastAsia" w:ascii="sans-serif" w:hAnsi="sans-serif" w:eastAsia="宋体" w:cs="sans-serif"/>
          <w:i w:val="0"/>
          <w:caps w:val="0"/>
          <w:color w:val="333333"/>
          <w:spacing w:val="0"/>
          <w:sz w:val="24"/>
          <w:szCs w:val="24"/>
          <w:bdr w:val="none" w:color="auto" w:sz="0" w:space="0"/>
          <w:lang w:val="en-US" w:eastAsia="zh-CN"/>
        </w:rPr>
        <w:t xml:space="preserve">                            </w:t>
      </w:r>
      <w:r>
        <w:rPr>
          <w:rFonts w:hint="default" w:ascii="sans-serif" w:hAnsi="sans-serif" w:eastAsia="sans-serif" w:cs="sans-serif"/>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32"/>
          <w:szCs w:val="32"/>
          <w:bdr w:val="none" w:color="auto" w:sz="0" w:space="0"/>
        </w:rPr>
        <w:t>重庆市万州区人民政府办公室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1109" w:firstLine="420"/>
        <w:jc w:val="center"/>
        <w:textAlignment w:val="auto"/>
        <w:rPr>
          <w:rFonts w:hint="eastAsia" w:ascii="方正仿宋_GBK" w:hAnsi="方正仿宋_GBK" w:eastAsia="方正仿宋_GBK" w:cs="方正仿宋_GBK"/>
          <w:i w:val="0"/>
          <w:caps w:val="0"/>
          <w:color w:val="333333"/>
          <w:spacing w:val="0"/>
          <w:sz w:val="32"/>
          <w:szCs w:val="32"/>
          <w:bdr w:val="none" w:color="auto" w:sz="0" w:space="0"/>
        </w:rPr>
      </w:pPr>
      <w:r>
        <w:rPr>
          <w:rFonts w:hint="default" w:ascii="sans-serif" w:hAnsi="sans-serif" w:eastAsia="sans-serif" w:cs="sans-serif"/>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32"/>
          <w:szCs w:val="32"/>
          <w:bdr w:val="none" w:color="auto" w:sz="0" w:space="0"/>
        </w:rPr>
        <w:t>2019年7月23日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right="0"/>
        <w:jc w:val="left"/>
        <w:textAlignment w:val="auto"/>
        <w:rPr>
          <w:rFonts w:hint="eastAsia" w:ascii="方正黑体_GBK" w:hAnsi="方正黑体_GBK" w:eastAsia="方正黑体_GBK" w:cs="方正黑体_GBK"/>
          <w:i w:val="0"/>
          <w:caps w:val="0"/>
          <w:color w:val="333333"/>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right="0"/>
        <w:jc w:val="left"/>
        <w:textAlignment w:val="auto"/>
        <w:rPr>
          <w:rFonts w:hint="default" w:ascii="sans-serif" w:hAnsi="sans-serif" w:eastAsia="sans-serif" w:cs="sans-serif"/>
          <w:i w:val="0"/>
          <w:caps w:val="0"/>
          <w:color w:val="000000"/>
          <w:spacing w:val="0"/>
          <w:sz w:val="24"/>
          <w:szCs w:val="24"/>
        </w:rPr>
      </w:pPr>
      <w:r>
        <w:rPr>
          <w:rFonts w:hint="eastAsia" w:ascii="方正黑体_GBK" w:hAnsi="方正黑体_GBK" w:eastAsia="方正黑体_GBK" w:cs="方正黑体_GBK"/>
          <w:i w:val="0"/>
          <w:caps w:val="0"/>
          <w:color w:val="333333"/>
          <w:spacing w:val="0"/>
          <w:sz w:val="32"/>
          <w:szCs w:val="32"/>
          <w:bdr w:val="none" w:color="auto" w:sz="0" w:space="0"/>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center"/>
        <w:textAlignment w:val="auto"/>
        <w:rPr>
          <w:rFonts w:hint="default" w:ascii="sans-serif" w:hAnsi="sans-serif" w:eastAsia="sans-serif" w:cs="sans-serif"/>
          <w:i w:val="0"/>
          <w:caps w:val="0"/>
          <w:color w:val="000000"/>
          <w:spacing w:val="0"/>
          <w:sz w:val="24"/>
          <w:szCs w:val="24"/>
        </w:rPr>
      </w:pPr>
      <w:r>
        <w:rPr>
          <w:rFonts w:hint="eastAsia" w:ascii="方正小标宋_GBK" w:hAnsi="方正小标宋_GBK" w:eastAsia="方正小标宋_GBK" w:cs="方正小标宋_GBK"/>
          <w:i w:val="0"/>
          <w:caps w:val="0"/>
          <w:color w:val="333333"/>
          <w:spacing w:val="0"/>
          <w:sz w:val="44"/>
          <w:szCs w:val="44"/>
          <w:bdr w:val="none" w:color="auto" w:sz="0" w:space="0"/>
        </w:rPr>
        <w:t>万州区承接市级下放和对应市级取消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center"/>
        <w:textAlignment w:val="auto"/>
        <w:rPr>
          <w:rFonts w:hint="default" w:ascii="sans-serif" w:hAnsi="sans-serif" w:eastAsia="sans-serif" w:cs="sans-serif"/>
          <w:i w:val="0"/>
          <w:caps w:val="0"/>
          <w:color w:val="000000"/>
          <w:spacing w:val="0"/>
          <w:sz w:val="24"/>
          <w:szCs w:val="24"/>
        </w:rPr>
      </w:pPr>
      <w:r>
        <w:rPr>
          <w:rFonts w:hint="eastAsia" w:ascii="方正小标宋_GBK" w:hAnsi="方正小标宋_GBK" w:eastAsia="方正小标宋_GBK" w:cs="方正小标宋_GBK"/>
          <w:i w:val="0"/>
          <w:caps w:val="0"/>
          <w:color w:val="333333"/>
          <w:spacing w:val="0"/>
          <w:sz w:val="44"/>
          <w:szCs w:val="44"/>
          <w:bdr w:val="none" w:color="auto" w:sz="0" w:space="0"/>
        </w:rPr>
        <w:t>行政许可事项目录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center"/>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r>
        <w:rPr>
          <w:rFonts w:ascii="微软雅黑" w:hAnsi="微软雅黑" w:eastAsia="微软雅黑" w:cs="微软雅黑"/>
          <w:i w:val="0"/>
          <w:caps w:val="0"/>
          <w:color w:val="333333"/>
          <w:spacing w:val="0"/>
          <w:sz w:val="32"/>
          <w:szCs w:val="32"/>
          <w:bdr w:val="none" w:color="auto" w:sz="0" w:space="0"/>
        </w:rPr>
        <w:t>一、 </w:t>
      </w:r>
      <w:r>
        <w:rPr>
          <w:rFonts w:hint="eastAsia" w:ascii="方正黑体_GBK" w:hAnsi="方正黑体_GBK" w:eastAsia="方正黑体_GBK" w:cs="方正黑体_GBK"/>
          <w:i w:val="0"/>
          <w:caps w:val="0"/>
          <w:color w:val="333333"/>
          <w:spacing w:val="0"/>
          <w:sz w:val="32"/>
          <w:szCs w:val="32"/>
          <w:bdr w:val="none" w:color="auto" w:sz="0" w:space="0"/>
        </w:rPr>
        <w:t>承接的行政许可事项目录（2项）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bdr w:val="none" w:color="auto" w:sz="0" w:space="0"/>
        </w:rPr>
        <w:t> </w:t>
      </w:r>
    </w:p>
    <w:tbl>
      <w:tblPr>
        <w:tblW w:w="851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706"/>
        <w:gridCol w:w="2026"/>
        <w:gridCol w:w="2152"/>
        <w:gridCol w:w="1500"/>
        <w:gridCol w:w="1231"/>
        <w:gridCol w:w="9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60" w:hRule="atLeast"/>
        </w:trPr>
        <w:tc>
          <w:tcPr>
            <w:tcW w:w="70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序号</w:t>
            </w:r>
          </w:p>
        </w:tc>
        <w:tc>
          <w:tcPr>
            <w:tcW w:w="20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项目名称</w:t>
            </w:r>
          </w:p>
        </w:tc>
        <w:tc>
          <w:tcPr>
            <w:tcW w:w="215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设定依据</w:t>
            </w: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市级实施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部门</w:t>
            </w:r>
          </w:p>
        </w:tc>
        <w:tc>
          <w:tcPr>
            <w:tcW w:w="123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我区承接部门</w:t>
            </w:r>
          </w:p>
        </w:tc>
        <w:tc>
          <w:tcPr>
            <w:tcW w:w="90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245" w:hRule="atLeast"/>
        </w:trPr>
        <w:tc>
          <w:tcPr>
            <w:tcW w:w="70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1</w:t>
            </w:r>
          </w:p>
        </w:tc>
        <w:tc>
          <w:tcPr>
            <w:tcW w:w="20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主城区以外毗邻区县行政区域间道路旅客运输经营许可</w:t>
            </w:r>
          </w:p>
        </w:tc>
        <w:tc>
          <w:tcPr>
            <w:tcW w:w="215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《中华人民共和国道路运输条例》</w:t>
            </w: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市道路运输管理局</w:t>
            </w:r>
          </w:p>
        </w:tc>
        <w:tc>
          <w:tcPr>
            <w:tcW w:w="123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区运管处</w:t>
            </w:r>
          </w:p>
        </w:tc>
        <w:tc>
          <w:tcPr>
            <w:tcW w:w="90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587" w:lineRule="exact"/>
              <w:ind w:left="0" w:firstLine="0"/>
              <w:jc w:val="left"/>
              <w:textAlignment w:val="auto"/>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65" w:hRule="atLeast"/>
        </w:trPr>
        <w:tc>
          <w:tcPr>
            <w:tcW w:w="70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2</w:t>
            </w:r>
          </w:p>
        </w:tc>
        <w:tc>
          <w:tcPr>
            <w:tcW w:w="202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护士执业注册</w:t>
            </w:r>
          </w:p>
        </w:tc>
        <w:tc>
          <w:tcPr>
            <w:tcW w:w="215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《护士条例》</w:t>
            </w: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市卫生健康委</w:t>
            </w:r>
          </w:p>
        </w:tc>
        <w:tc>
          <w:tcPr>
            <w:tcW w:w="123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区卫生健康委</w:t>
            </w:r>
          </w:p>
        </w:tc>
        <w:tc>
          <w:tcPr>
            <w:tcW w:w="90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line="587" w:lineRule="exact"/>
              <w:ind w:left="0" w:firstLine="0"/>
              <w:jc w:val="left"/>
              <w:textAlignment w:val="auto"/>
              <w:rPr>
                <w:rFonts w:hint="default" w:ascii="sans-serif" w:hAnsi="sans-serif" w:eastAsia="sans-serif" w:cs="sans-serif"/>
                <w:i w:val="0"/>
                <w:caps w:val="0"/>
                <w:color w:val="000000"/>
                <w:spacing w:val="0"/>
                <w:sz w:val="27"/>
                <w:szCs w:val="27"/>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333333"/>
          <w:spacing w:val="0"/>
          <w:sz w:val="32"/>
          <w:szCs w:val="32"/>
          <w:bdr w:val="none" w:color="auto" w:sz="0" w:space="0"/>
        </w:rPr>
        <w:t>二、 </w:t>
      </w:r>
      <w:r>
        <w:rPr>
          <w:rFonts w:hint="eastAsia" w:ascii="方正黑体_GBK" w:hAnsi="方正黑体_GBK" w:eastAsia="方正黑体_GBK" w:cs="方正黑体_GBK"/>
          <w:i w:val="0"/>
          <w:caps w:val="0"/>
          <w:color w:val="333333"/>
          <w:spacing w:val="0"/>
          <w:sz w:val="32"/>
          <w:szCs w:val="32"/>
          <w:bdr w:val="none" w:color="auto" w:sz="0" w:space="0"/>
        </w:rPr>
        <w:t>取消的行政许可事项目录（6项）</w:t>
      </w:r>
    </w:p>
    <w:tbl>
      <w:tblPr>
        <w:tblW w:w="836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720"/>
        <w:gridCol w:w="1042"/>
        <w:gridCol w:w="1650"/>
        <w:gridCol w:w="1112"/>
        <w:gridCol w:w="1083"/>
        <w:gridCol w:w="27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0" w:hRule="atLeast"/>
        </w:trPr>
        <w:tc>
          <w:tcPr>
            <w:tcW w:w="720" w:type="dxa"/>
            <w:tcBorders>
              <w:top w:val="single" w:color="808080"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序号</w:t>
            </w:r>
          </w:p>
        </w:tc>
        <w:tc>
          <w:tcPr>
            <w:tcW w:w="1042"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名称</w:t>
            </w:r>
          </w:p>
        </w:tc>
        <w:tc>
          <w:tcPr>
            <w:tcW w:w="1650"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设定依据</w:t>
            </w:r>
          </w:p>
        </w:tc>
        <w:tc>
          <w:tcPr>
            <w:tcW w:w="1112"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部门</w:t>
            </w:r>
          </w:p>
        </w:tc>
        <w:tc>
          <w:tcPr>
            <w:tcW w:w="1083"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意见</w:t>
            </w:r>
          </w:p>
        </w:tc>
        <w:tc>
          <w:tcPr>
            <w:tcW w:w="2759"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备</w:t>
            </w:r>
            <w:r>
              <w:rPr>
                <w:rFonts w:hint="eastAsia" w:ascii="微软雅黑" w:hAnsi="微软雅黑" w:eastAsia="微软雅黑" w:cs="微软雅黑"/>
                <w:i w:val="0"/>
                <w:caps w:val="0"/>
                <w:color w:val="333333"/>
                <w:spacing w:val="0"/>
                <w:sz w:val="24"/>
                <w:szCs w:val="24"/>
                <w:bdr w:val="none" w:color="auto" w:sz="0" w:space="0"/>
              </w:rPr>
              <w:t>  </w:t>
            </w:r>
            <w:r>
              <w:rPr>
                <w:rFonts w:hint="eastAsia" w:ascii="方正黑体_GBK" w:hAnsi="方正黑体_GBK" w:eastAsia="方正黑体_GBK" w:cs="方正黑体_GBK"/>
                <w:i w:val="0"/>
                <w:caps w:val="0"/>
                <w:color w:val="333333"/>
                <w:spacing w:val="0"/>
                <w:sz w:val="24"/>
                <w:szCs w:val="24"/>
                <w:bdr w:val="none" w:color="auto" w:sz="0" w:space="0"/>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625" w:hRule="atLeast"/>
        </w:trPr>
        <w:tc>
          <w:tcPr>
            <w:tcW w:w="720"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微软雅黑" w:hAnsi="微软雅黑" w:eastAsia="微软雅黑" w:cs="微软雅黑"/>
                <w:i w:val="0"/>
                <w:caps w:val="0"/>
                <w:color w:val="333333"/>
                <w:spacing w:val="0"/>
                <w:sz w:val="24"/>
                <w:szCs w:val="24"/>
                <w:bdr w:val="none" w:color="auto" w:sz="0" w:space="0"/>
              </w:rPr>
              <w:t>1</w:t>
            </w:r>
          </w:p>
        </w:tc>
        <w:tc>
          <w:tcPr>
            <w:tcW w:w="104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船员注册及服务簿签发</w:t>
            </w:r>
          </w:p>
        </w:tc>
        <w:tc>
          <w:tcPr>
            <w:tcW w:w="1650"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《中华人民共和国船员条例》</w:t>
            </w:r>
          </w:p>
        </w:tc>
        <w:tc>
          <w:tcPr>
            <w:tcW w:w="111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区港航局</w:t>
            </w:r>
          </w:p>
        </w:tc>
        <w:tc>
          <w:tcPr>
            <w:tcW w:w="108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75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取消审批后，对通过船员适任证书核发审查的船员直接发放《船员服务簿》。通过以下措施加强事中事后监管：</w:t>
            </w:r>
            <w:r>
              <w:rPr>
                <w:rFonts w:hint="default" w:ascii="Times New Roman" w:hAnsi="Times New Roman" w:eastAsia="sans-serif" w:cs="Times New Roman"/>
                <w:i w:val="0"/>
                <w:caps w:val="0"/>
                <w:color w:val="333333"/>
                <w:spacing w:val="0"/>
                <w:sz w:val="24"/>
                <w:szCs w:val="24"/>
                <w:bdr w:val="none" w:color="auto" w:sz="0" w:space="0"/>
              </w:rPr>
              <w:t>1</w:t>
            </w:r>
            <w:r>
              <w:rPr>
                <w:rFonts w:hint="eastAsia" w:ascii="方正仿宋_GBK" w:hAnsi="方正仿宋_GBK" w:eastAsia="方正仿宋_GBK" w:cs="方正仿宋_GBK"/>
                <w:i w:val="0"/>
                <w:caps w:val="0"/>
                <w:color w:val="333333"/>
                <w:spacing w:val="0"/>
                <w:sz w:val="24"/>
                <w:szCs w:val="24"/>
                <w:bdr w:val="none" w:color="auto" w:sz="0" w:space="0"/>
              </w:rPr>
              <w:t>．加强船员适任证书管理，厨师、服务员等不参加航行值班的船员纳入船员适任证书核发申请人员范围。</w:t>
            </w:r>
            <w:r>
              <w:rPr>
                <w:rFonts w:hint="default" w:ascii="Times New Roman" w:hAnsi="Times New Roman" w:eastAsia="sans-serif" w:cs="Times New Roman"/>
                <w:i w:val="0"/>
                <w:caps w:val="0"/>
                <w:color w:val="333333"/>
                <w:spacing w:val="0"/>
                <w:sz w:val="24"/>
                <w:szCs w:val="24"/>
                <w:bdr w:val="none" w:color="auto" w:sz="0" w:space="0"/>
              </w:rPr>
              <w:t>2</w:t>
            </w:r>
            <w:r>
              <w:rPr>
                <w:rFonts w:hint="eastAsia" w:ascii="方正仿宋_GBK" w:hAnsi="方正仿宋_GBK" w:eastAsia="方正仿宋_GBK" w:cs="方正仿宋_GBK"/>
                <w:i w:val="0"/>
                <w:caps w:val="0"/>
                <w:color w:val="333333"/>
                <w:spacing w:val="0"/>
                <w:sz w:val="24"/>
                <w:szCs w:val="24"/>
                <w:bdr w:val="none" w:color="auto" w:sz="0" w:space="0"/>
              </w:rPr>
              <w:t>．对年满</w:t>
            </w:r>
            <w:r>
              <w:rPr>
                <w:rFonts w:hint="default" w:ascii="Times New Roman" w:hAnsi="Times New Roman" w:eastAsia="sans-serif" w:cs="Times New Roman"/>
                <w:i w:val="0"/>
                <w:caps w:val="0"/>
                <w:color w:val="333333"/>
                <w:spacing w:val="0"/>
                <w:sz w:val="24"/>
                <w:szCs w:val="24"/>
                <w:bdr w:val="none" w:color="auto" w:sz="0" w:space="0"/>
              </w:rPr>
              <w:t>18</w:t>
            </w:r>
            <w:r>
              <w:rPr>
                <w:rFonts w:hint="eastAsia" w:ascii="方正仿宋_GBK" w:hAnsi="方正仿宋_GBK" w:eastAsia="方正仿宋_GBK" w:cs="方正仿宋_GBK"/>
                <w:i w:val="0"/>
                <w:caps w:val="0"/>
                <w:color w:val="333333"/>
                <w:spacing w:val="0"/>
                <w:sz w:val="24"/>
                <w:szCs w:val="24"/>
                <w:bdr w:val="none" w:color="auto" w:sz="0" w:space="0"/>
              </w:rPr>
              <w:t>周岁（在船实习、见习人员年满</w:t>
            </w:r>
            <w:r>
              <w:rPr>
                <w:rFonts w:hint="default" w:ascii="Times New Roman" w:hAnsi="Times New Roman" w:eastAsia="sans-serif" w:cs="Times New Roman"/>
                <w:i w:val="0"/>
                <w:caps w:val="0"/>
                <w:color w:val="333333"/>
                <w:spacing w:val="0"/>
                <w:sz w:val="24"/>
                <w:szCs w:val="24"/>
                <w:bdr w:val="none" w:color="auto" w:sz="0" w:space="0"/>
              </w:rPr>
              <w:t>16</w:t>
            </w:r>
            <w:r>
              <w:rPr>
                <w:rFonts w:hint="eastAsia" w:ascii="方正仿宋_GBK" w:hAnsi="方正仿宋_GBK" w:eastAsia="方正仿宋_GBK" w:cs="方正仿宋_GBK"/>
                <w:i w:val="0"/>
                <w:caps w:val="0"/>
                <w:color w:val="333333"/>
                <w:spacing w:val="0"/>
                <w:sz w:val="24"/>
                <w:szCs w:val="24"/>
                <w:bdr w:val="none" w:color="auto" w:sz="0" w:space="0"/>
              </w:rPr>
              <w:t>周岁）、符合船员健康要求、经船员基本安全培训并通过海事管理机构考试者，在签发相应船员适任证书时，直接发放《船员服务簿》。</w:t>
            </w:r>
            <w:r>
              <w:rPr>
                <w:rFonts w:hint="default" w:ascii="Times New Roman" w:hAnsi="Times New Roman" w:eastAsia="sans-serif" w:cs="Times New Roman"/>
                <w:i w:val="0"/>
                <w:caps w:val="0"/>
                <w:color w:val="333333"/>
                <w:spacing w:val="0"/>
                <w:sz w:val="24"/>
                <w:szCs w:val="24"/>
                <w:bdr w:val="none" w:color="auto" w:sz="0" w:space="0"/>
              </w:rPr>
              <w:t>3</w:t>
            </w:r>
            <w:r>
              <w:rPr>
                <w:rFonts w:hint="eastAsia" w:ascii="方正仿宋_GBK" w:hAnsi="方正仿宋_GBK" w:eastAsia="方正仿宋_GBK" w:cs="方正仿宋_GBK"/>
                <w:i w:val="0"/>
                <w:caps w:val="0"/>
                <w:color w:val="333333"/>
                <w:spacing w:val="0"/>
                <w:sz w:val="24"/>
                <w:szCs w:val="24"/>
                <w:bdr w:val="none" w:color="auto" w:sz="0" w:space="0"/>
              </w:rPr>
              <w:t>．新的《船员服务簿》作为船员个人持有的法定文书，主要承载船员档案功能，记录船员履职情况。加强船员持有《船员服务簿》和记录船员履职情况的监督检查。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825" w:hRule="atLeast"/>
        </w:trPr>
        <w:tc>
          <w:tcPr>
            <w:tcW w:w="720"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2</w:t>
            </w:r>
          </w:p>
        </w:tc>
        <w:tc>
          <w:tcPr>
            <w:tcW w:w="104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道路货物运输站（场）经营许可</w:t>
            </w:r>
          </w:p>
        </w:tc>
        <w:tc>
          <w:tcPr>
            <w:tcW w:w="1650"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《中华人民共和国道路运输条例》</w:t>
            </w:r>
          </w:p>
        </w:tc>
        <w:tc>
          <w:tcPr>
            <w:tcW w:w="111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区运管处</w:t>
            </w:r>
          </w:p>
        </w:tc>
        <w:tc>
          <w:tcPr>
            <w:tcW w:w="108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75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取消审批后，通过以下措施加强事中事后监管：</w:t>
            </w:r>
            <w:r>
              <w:rPr>
                <w:rFonts w:hint="default" w:ascii="Times New Roman" w:hAnsi="Times New Roman" w:eastAsia="sans-serif" w:cs="Times New Roman"/>
                <w:i w:val="0"/>
                <w:caps w:val="0"/>
                <w:color w:val="333333"/>
                <w:spacing w:val="0"/>
                <w:sz w:val="24"/>
                <w:szCs w:val="24"/>
                <w:bdr w:val="none" w:color="auto" w:sz="0" w:space="0"/>
              </w:rPr>
              <w:t>1</w:t>
            </w:r>
            <w:r>
              <w:rPr>
                <w:rFonts w:hint="eastAsia" w:ascii="方正仿宋_GBK" w:hAnsi="方正仿宋_GBK" w:eastAsia="方正仿宋_GBK" w:cs="方正仿宋_GBK"/>
                <w:i w:val="0"/>
                <w:caps w:val="0"/>
                <w:color w:val="333333"/>
                <w:spacing w:val="0"/>
                <w:sz w:val="24"/>
                <w:szCs w:val="24"/>
                <w:bdr w:val="none" w:color="auto" w:sz="0" w:space="0"/>
              </w:rPr>
              <w:t>．通过“双随机、一公开”监管等方式，加强对道路货物运输站（场）生产经营的监督管理，依法查处违反道路货物运输经营管理规定的行为。</w:t>
            </w:r>
            <w:r>
              <w:rPr>
                <w:rFonts w:hint="default" w:ascii="Times New Roman" w:hAnsi="Times New Roman" w:eastAsia="sans-serif" w:cs="Times New Roman"/>
                <w:i w:val="0"/>
                <w:caps w:val="0"/>
                <w:color w:val="333333"/>
                <w:spacing w:val="0"/>
                <w:sz w:val="24"/>
                <w:szCs w:val="24"/>
                <w:bdr w:val="none" w:color="auto" w:sz="0" w:space="0"/>
              </w:rPr>
              <w:t>2</w:t>
            </w:r>
            <w:r>
              <w:rPr>
                <w:rFonts w:hint="eastAsia" w:ascii="方正仿宋_GBK" w:hAnsi="方正仿宋_GBK" w:eastAsia="方正仿宋_GBK" w:cs="方正仿宋_GBK"/>
                <w:i w:val="0"/>
                <w:caps w:val="0"/>
                <w:color w:val="333333"/>
                <w:spacing w:val="0"/>
                <w:sz w:val="24"/>
                <w:szCs w:val="24"/>
                <w:bdr w:val="none" w:color="auto" w:sz="0" w:space="0"/>
              </w:rPr>
              <w:t>．实施道路货物运输站（场）相关标准，推动站（场）建设运营标准化。</w:t>
            </w:r>
            <w:r>
              <w:rPr>
                <w:rFonts w:hint="default" w:ascii="Times New Roman" w:hAnsi="Times New Roman" w:eastAsia="sans-serif" w:cs="Times New Roman"/>
                <w:i w:val="0"/>
                <w:caps w:val="0"/>
                <w:color w:val="333333"/>
                <w:spacing w:val="0"/>
                <w:sz w:val="24"/>
                <w:szCs w:val="24"/>
                <w:bdr w:val="none" w:color="auto" w:sz="0" w:space="0"/>
              </w:rPr>
              <w:t>3</w:t>
            </w:r>
            <w:r>
              <w:rPr>
                <w:rFonts w:hint="eastAsia" w:ascii="方正仿宋_GBK" w:hAnsi="方正仿宋_GBK" w:eastAsia="方正仿宋_GBK" w:cs="方正仿宋_GBK"/>
                <w:i w:val="0"/>
                <w:caps w:val="0"/>
                <w:color w:val="333333"/>
                <w:spacing w:val="0"/>
                <w:sz w:val="24"/>
                <w:szCs w:val="24"/>
                <w:bdr w:val="none" w:color="auto" w:sz="0" w:space="0"/>
              </w:rPr>
              <w:t>．加强与市场监管、住房城乡建设、应急管理、公安等部门关于道路货物运输站（场）相关信息共享。</w:t>
            </w:r>
            <w:r>
              <w:rPr>
                <w:rFonts w:hint="default" w:ascii="Times New Roman" w:hAnsi="Times New Roman" w:eastAsia="sans-serif" w:cs="Times New Roman"/>
                <w:i w:val="0"/>
                <w:caps w:val="0"/>
                <w:color w:val="333333"/>
                <w:spacing w:val="0"/>
                <w:sz w:val="24"/>
                <w:szCs w:val="24"/>
                <w:bdr w:val="none" w:color="auto" w:sz="0" w:space="0"/>
              </w:rPr>
              <w:t>4</w:t>
            </w:r>
            <w:r>
              <w:rPr>
                <w:rFonts w:hint="eastAsia" w:ascii="方正仿宋_GBK" w:hAnsi="方正仿宋_GBK" w:eastAsia="方正仿宋_GBK" w:cs="方正仿宋_GBK"/>
                <w:i w:val="0"/>
                <w:caps w:val="0"/>
                <w:color w:val="333333"/>
                <w:spacing w:val="0"/>
                <w:sz w:val="24"/>
                <w:szCs w:val="24"/>
                <w:bdr w:val="none" w:color="auto" w:sz="0" w:space="0"/>
              </w:rPr>
              <w:t>．加强对道路货物运输站（场）经营业户的信用监管，向社会公开失信企业名单，并实施联合惩戒。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535" w:hRule="atLeast"/>
        </w:trPr>
        <w:tc>
          <w:tcPr>
            <w:tcW w:w="720"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3</w:t>
            </w:r>
          </w:p>
        </w:tc>
        <w:tc>
          <w:tcPr>
            <w:tcW w:w="104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名称预先核准</w:t>
            </w:r>
          </w:p>
        </w:tc>
        <w:tc>
          <w:tcPr>
            <w:tcW w:w="1650"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《中华人民共和国公司登记管理条例》《中华人民共和国企业法人登记管理条例》《企业名称登记管理规定》《个体工商户条例》《农民专业合作社登记管理条例》</w:t>
            </w:r>
          </w:p>
        </w:tc>
        <w:tc>
          <w:tcPr>
            <w:tcW w:w="111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区市场监管局</w:t>
            </w:r>
          </w:p>
        </w:tc>
        <w:tc>
          <w:tcPr>
            <w:tcW w:w="108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75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取消审批后，改为企业（包括个体工商户、农民专业合作社，下同）自主申报名称，市场监管部门在企业注册登记时核准名称。市场监管部门通过以下措施优化服务、加强事中事后监管：</w:t>
            </w:r>
            <w:r>
              <w:rPr>
                <w:rFonts w:hint="default" w:ascii="Times New Roman" w:hAnsi="Times New Roman" w:eastAsia="sans-serif" w:cs="Times New Roman"/>
                <w:i w:val="0"/>
                <w:caps w:val="0"/>
                <w:color w:val="333333"/>
                <w:spacing w:val="0"/>
                <w:sz w:val="24"/>
                <w:szCs w:val="24"/>
                <w:bdr w:val="none" w:color="auto" w:sz="0" w:space="0"/>
              </w:rPr>
              <w:t>1</w:t>
            </w:r>
            <w:r>
              <w:rPr>
                <w:rFonts w:hint="eastAsia" w:ascii="方正仿宋_GBK" w:hAnsi="方正仿宋_GBK" w:eastAsia="方正仿宋_GBK" w:cs="方正仿宋_GBK"/>
                <w:i w:val="0"/>
                <w:caps w:val="0"/>
                <w:color w:val="333333"/>
                <w:spacing w:val="0"/>
                <w:sz w:val="24"/>
                <w:szCs w:val="24"/>
                <w:bdr w:val="none" w:color="auto" w:sz="0" w:space="0"/>
              </w:rPr>
              <w:t>．向社会公开企业名称库，引导企业自行拟定符合规则要求的名称。</w:t>
            </w:r>
            <w:r>
              <w:rPr>
                <w:rFonts w:hint="default" w:ascii="Times New Roman" w:hAnsi="Times New Roman" w:eastAsia="sans-serif" w:cs="Times New Roman"/>
                <w:i w:val="0"/>
                <w:caps w:val="0"/>
                <w:color w:val="333333"/>
                <w:spacing w:val="0"/>
                <w:sz w:val="24"/>
                <w:szCs w:val="24"/>
                <w:bdr w:val="none" w:color="auto" w:sz="0" w:space="0"/>
              </w:rPr>
              <w:t>2</w:t>
            </w:r>
            <w:r>
              <w:rPr>
                <w:rFonts w:hint="eastAsia" w:ascii="方正仿宋_GBK" w:hAnsi="方正仿宋_GBK" w:eastAsia="方正仿宋_GBK" w:cs="方正仿宋_GBK"/>
                <w:i w:val="0"/>
                <w:caps w:val="0"/>
                <w:color w:val="333333"/>
                <w:spacing w:val="0"/>
                <w:sz w:val="24"/>
                <w:szCs w:val="24"/>
                <w:bdr w:val="none" w:color="auto" w:sz="0" w:space="0"/>
              </w:rPr>
              <w:t>．建立企业名称自主申报制度，明确企业名称禁限用规则，完善企业名称争议处理机制，加强对企业名称使用的监督管理。</w:t>
            </w:r>
            <w:r>
              <w:rPr>
                <w:rFonts w:hint="default" w:ascii="Times New Roman" w:hAnsi="Times New Roman" w:eastAsia="sans-serif" w:cs="Times New Roman"/>
                <w:i w:val="0"/>
                <w:caps w:val="0"/>
                <w:color w:val="333333"/>
                <w:spacing w:val="0"/>
                <w:sz w:val="24"/>
                <w:szCs w:val="24"/>
                <w:bdr w:val="none" w:color="auto" w:sz="0" w:space="0"/>
              </w:rPr>
              <w:t>3</w:t>
            </w:r>
            <w:r>
              <w:rPr>
                <w:rFonts w:hint="eastAsia" w:ascii="方正仿宋_GBK" w:hAnsi="方正仿宋_GBK" w:eastAsia="方正仿宋_GBK" w:cs="方正仿宋_GBK"/>
                <w:i w:val="0"/>
                <w:caps w:val="0"/>
                <w:color w:val="333333"/>
                <w:spacing w:val="0"/>
                <w:sz w:val="24"/>
                <w:szCs w:val="24"/>
                <w:bdr w:val="none" w:color="auto" w:sz="0" w:space="0"/>
              </w:rPr>
              <w:t>．简化优化工商登记程序，实行“一次性告知”，提高企业登记办理效率，保障企业自主选择名称。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225" w:hRule="atLeast"/>
        </w:trPr>
        <w:tc>
          <w:tcPr>
            <w:tcW w:w="720"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4</w:t>
            </w:r>
          </w:p>
        </w:tc>
        <w:tc>
          <w:tcPr>
            <w:tcW w:w="104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养老机构设立许可（含分支机构，涉外投资、市级财政投资兴办除外）</w:t>
            </w:r>
          </w:p>
        </w:tc>
        <w:tc>
          <w:tcPr>
            <w:tcW w:w="1650"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《中华人民共和国老年人权益保障法》第四十四条；《养老机构设立许可办法》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第七条；《重庆市养老机构设立许可实施办法》第四条第二款；《养老机构设立许可办法》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24"/>
                <w:szCs w:val="24"/>
                <w:bdr w:val="none" w:color="auto" w:sz="0" w:space="0"/>
              </w:rPr>
              <w:t>第十七条</w:t>
            </w:r>
          </w:p>
        </w:tc>
        <w:tc>
          <w:tcPr>
            <w:tcW w:w="111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区民政局</w:t>
            </w:r>
          </w:p>
        </w:tc>
        <w:tc>
          <w:tcPr>
            <w:tcW w:w="108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75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bdr w:val="none" w:color="auto" w:sz="0" w:space="0"/>
              </w:rPr>
              <w:t>2019</w:t>
            </w:r>
            <w:r>
              <w:rPr>
                <w:rFonts w:hint="eastAsia" w:ascii="方正仿宋_GBK" w:hAnsi="方正仿宋_GBK" w:eastAsia="方正仿宋_GBK" w:cs="方正仿宋_GBK"/>
                <w:i w:val="0"/>
                <w:caps w:val="0"/>
                <w:color w:val="333333"/>
                <w:spacing w:val="0"/>
                <w:sz w:val="24"/>
                <w:szCs w:val="24"/>
                <w:bdr w:val="none" w:color="auto" w:sz="0" w:space="0"/>
              </w:rPr>
              <w:t>〕</w:t>
            </w:r>
            <w:r>
              <w:rPr>
                <w:rFonts w:hint="default" w:ascii="Times New Roman" w:hAnsi="Times New Roman" w:eastAsia="sans-serif" w:cs="Times New Roman"/>
                <w:i w:val="0"/>
                <w:caps w:val="0"/>
                <w:color w:val="333333"/>
                <w:spacing w:val="0"/>
                <w:sz w:val="24"/>
                <w:szCs w:val="24"/>
                <w:bdr w:val="none" w:color="auto" w:sz="0" w:space="0"/>
              </w:rPr>
              <w:t>7</w:t>
            </w:r>
            <w:r>
              <w:rPr>
                <w:rFonts w:hint="eastAsia" w:ascii="方正仿宋_GBK" w:hAnsi="方正仿宋_GBK" w:eastAsia="方正仿宋_GBK" w:cs="方正仿宋_GBK"/>
                <w:i w:val="0"/>
                <w:caps w:val="0"/>
                <w:color w:val="333333"/>
                <w:spacing w:val="0"/>
                <w:sz w:val="24"/>
                <w:szCs w:val="24"/>
                <w:bdr w:val="none" w:color="auto" w:sz="0" w:space="0"/>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945" w:hRule="atLeast"/>
        </w:trPr>
        <w:tc>
          <w:tcPr>
            <w:tcW w:w="720"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5</w:t>
            </w:r>
          </w:p>
        </w:tc>
        <w:tc>
          <w:tcPr>
            <w:tcW w:w="104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养老机构变更许可</w:t>
            </w:r>
          </w:p>
        </w:tc>
        <w:tc>
          <w:tcPr>
            <w:tcW w:w="1650"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24"/>
                <w:szCs w:val="24"/>
                <w:bdr w:val="none" w:color="auto" w:sz="0" w:space="0"/>
              </w:rPr>
              <w:t>第十八条</w:t>
            </w:r>
          </w:p>
        </w:tc>
        <w:tc>
          <w:tcPr>
            <w:tcW w:w="111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区民政局</w:t>
            </w:r>
          </w:p>
        </w:tc>
        <w:tc>
          <w:tcPr>
            <w:tcW w:w="108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75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bdr w:val="none" w:color="auto" w:sz="0" w:space="0"/>
              </w:rPr>
              <w:t>2019</w:t>
            </w:r>
            <w:r>
              <w:rPr>
                <w:rFonts w:hint="eastAsia" w:ascii="方正仿宋_GBK" w:hAnsi="方正仿宋_GBK" w:eastAsia="方正仿宋_GBK" w:cs="方正仿宋_GBK"/>
                <w:i w:val="0"/>
                <w:caps w:val="0"/>
                <w:color w:val="333333"/>
                <w:spacing w:val="0"/>
                <w:sz w:val="24"/>
                <w:szCs w:val="24"/>
                <w:bdr w:val="none" w:color="auto" w:sz="0" w:space="0"/>
              </w:rPr>
              <w:t>〕</w:t>
            </w:r>
            <w:r>
              <w:rPr>
                <w:rFonts w:hint="default" w:ascii="Times New Roman" w:hAnsi="Times New Roman" w:eastAsia="sans-serif" w:cs="Times New Roman"/>
                <w:i w:val="0"/>
                <w:caps w:val="0"/>
                <w:color w:val="333333"/>
                <w:spacing w:val="0"/>
                <w:sz w:val="24"/>
                <w:szCs w:val="24"/>
                <w:bdr w:val="none" w:color="auto" w:sz="0" w:space="0"/>
              </w:rPr>
              <w:t>7</w:t>
            </w:r>
            <w:r>
              <w:rPr>
                <w:rFonts w:hint="eastAsia" w:ascii="方正仿宋_GBK" w:hAnsi="方正仿宋_GBK" w:eastAsia="方正仿宋_GBK" w:cs="方正仿宋_GBK"/>
                <w:i w:val="0"/>
                <w:caps w:val="0"/>
                <w:color w:val="333333"/>
                <w:spacing w:val="0"/>
                <w:sz w:val="24"/>
                <w:szCs w:val="24"/>
                <w:bdr w:val="none" w:color="auto" w:sz="0" w:space="0"/>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955" w:hRule="atLeast"/>
        </w:trPr>
        <w:tc>
          <w:tcPr>
            <w:tcW w:w="720"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42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6</w:t>
            </w:r>
          </w:p>
        </w:tc>
        <w:tc>
          <w:tcPr>
            <w:tcW w:w="104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养老机构注销许可</w:t>
            </w:r>
          </w:p>
        </w:tc>
        <w:tc>
          <w:tcPr>
            <w:tcW w:w="1650"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0"/>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《养老机构设立许可法》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24"/>
                <w:szCs w:val="24"/>
                <w:bdr w:val="none" w:color="auto" w:sz="0" w:space="0"/>
              </w:rPr>
              <w:t>第十九条</w:t>
            </w:r>
          </w:p>
        </w:tc>
        <w:tc>
          <w:tcPr>
            <w:tcW w:w="1112"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区民政局</w:t>
            </w:r>
          </w:p>
        </w:tc>
        <w:tc>
          <w:tcPr>
            <w:tcW w:w="108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firstLine="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75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firstLine="420"/>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bdr w:val="none" w:color="auto" w:sz="0" w:space="0"/>
              </w:rPr>
              <w:t>2019</w:t>
            </w:r>
            <w:r>
              <w:rPr>
                <w:rFonts w:hint="eastAsia" w:ascii="方正仿宋_GBK" w:hAnsi="方正仿宋_GBK" w:eastAsia="方正仿宋_GBK" w:cs="方正仿宋_GBK"/>
                <w:i w:val="0"/>
                <w:caps w:val="0"/>
                <w:color w:val="333333"/>
                <w:spacing w:val="0"/>
                <w:sz w:val="24"/>
                <w:szCs w:val="24"/>
                <w:bdr w:val="none" w:color="auto" w:sz="0" w:space="0"/>
              </w:rPr>
              <w:t>〕</w:t>
            </w:r>
            <w:r>
              <w:rPr>
                <w:rFonts w:hint="default" w:ascii="Times New Roman" w:hAnsi="Times New Roman" w:eastAsia="sans-serif" w:cs="Times New Roman"/>
                <w:i w:val="0"/>
                <w:caps w:val="0"/>
                <w:color w:val="333333"/>
                <w:spacing w:val="0"/>
                <w:sz w:val="24"/>
                <w:szCs w:val="24"/>
                <w:bdr w:val="none" w:color="auto" w:sz="0" w:space="0"/>
              </w:rPr>
              <w:t>7</w:t>
            </w:r>
            <w:r>
              <w:rPr>
                <w:rFonts w:hint="eastAsia" w:ascii="方正仿宋_GBK" w:hAnsi="方正仿宋_GBK" w:eastAsia="方正仿宋_GBK" w:cs="方正仿宋_GBK"/>
                <w:i w:val="0"/>
                <w:caps w:val="0"/>
                <w:color w:val="333333"/>
                <w:spacing w:val="0"/>
                <w:sz w:val="24"/>
                <w:szCs w:val="24"/>
                <w:bdr w:val="none" w:color="auto" w:sz="0" w:space="0"/>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333333"/>
          <w:spacing w:val="0"/>
          <w:sz w:val="32"/>
          <w:szCs w:val="32"/>
          <w:bdr w:val="none" w:color="auto" w:sz="0" w:space="0"/>
        </w:rPr>
        <w:t>三、 </w:t>
      </w:r>
      <w:r>
        <w:rPr>
          <w:rFonts w:hint="eastAsia" w:ascii="方正黑体_GBK" w:hAnsi="方正黑体_GBK" w:eastAsia="方正黑体_GBK" w:cs="方正黑体_GBK"/>
          <w:i w:val="0"/>
          <w:caps w:val="0"/>
          <w:color w:val="333333"/>
          <w:spacing w:val="0"/>
          <w:sz w:val="32"/>
          <w:szCs w:val="32"/>
          <w:bdr w:val="none" w:color="auto" w:sz="0" w:space="0"/>
        </w:rPr>
        <w:t>行政审批中介和证明材料事项（6项）</w:t>
      </w:r>
    </w:p>
    <w:tbl>
      <w:tblPr>
        <w:tblW w:w="836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648"/>
        <w:gridCol w:w="1041"/>
        <w:gridCol w:w="1647"/>
        <w:gridCol w:w="1098"/>
        <w:gridCol w:w="1069"/>
        <w:gridCol w:w="28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50" w:hRule="atLeast"/>
        </w:trPr>
        <w:tc>
          <w:tcPr>
            <w:tcW w:w="648" w:type="dxa"/>
            <w:tcBorders>
              <w:top w:val="single" w:color="808080"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序号</w:t>
            </w:r>
          </w:p>
        </w:tc>
        <w:tc>
          <w:tcPr>
            <w:tcW w:w="1041"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项目名称</w:t>
            </w:r>
          </w:p>
        </w:tc>
        <w:tc>
          <w:tcPr>
            <w:tcW w:w="1647"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设定依据</w:t>
            </w:r>
          </w:p>
        </w:tc>
        <w:tc>
          <w:tcPr>
            <w:tcW w:w="1098"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审批部门</w:t>
            </w:r>
          </w:p>
        </w:tc>
        <w:tc>
          <w:tcPr>
            <w:tcW w:w="1069"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处理意见</w:t>
            </w:r>
          </w:p>
        </w:tc>
        <w:tc>
          <w:tcPr>
            <w:tcW w:w="2863" w:type="dxa"/>
            <w:tcBorders>
              <w:top w:val="single" w:color="808080"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黑体_GBK" w:hAnsi="方正黑体_GBK" w:eastAsia="方正黑体_GBK" w:cs="方正黑体_GBK"/>
                <w:i w:val="0"/>
                <w:caps w:val="0"/>
                <w:color w:val="333333"/>
                <w:spacing w:val="0"/>
                <w:sz w:val="24"/>
                <w:szCs w:val="24"/>
                <w:bdr w:val="none" w:color="auto" w:sz="0" w:space="0"/>
              </w:rPr>
              <w:t>备</w:t>
            </w:r>
            <w:r>
              <w:rPr>
                <w:rFonts w:hint="eastAsia" w:ascii="微软雅黑" w:hAnsi="微软雅黑" w:eastAsia="微软雅黑" w:cs="微软雅黑"/>
                <w:i w:val="0"/>
                <w:caps w:val="0"/>
                <w:color w:val="333333"/>
                <w:spacing w:val="0"/>
                <w:sz w:val="24"/>
                <w:szCs w:val="24"/>
                <w:bdr w:val="none" w:color="auto" w:sz="0" w:space="0"/>
              </w:rPr>
              <w:t>  </w:t>
            </w:r>
            <w:r>
              <w:rPr>
                <w:rFonts w:hint="eastAsia" w:ascii="方正黑体_GBK" w:hAnsi="方正黑体_GBK" w:eastAsia="方正黑体_GBK" w:cs="方正黑体_GBK"/>
                <w:i w:val="0"/>
                <w:caps w:val="0"/>
                <w:color w:val="333333"/>
                <w:spacing w:val="0"/>
                <w:sz w:val="24"/>
                <w:szCs w:val="24"/>
                <w:bdr w:val="none" w:color="auto" w:sz="0" w:space="0"/>
              </w:rPr>
              <w:t>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625" w:hRule="atLeast"/>
        </w:trPr>
        <w:tc>
          <w:tcPr>
            <w:tcW w:w="648"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微软雅黑" w:hAnsi="微软雅黑" w:eastAsia="微软雅黑" w:cs="微软雅黑"/>
                <w:i w:val="0"/>
                <w:caps w:val="0"/>
                <w:color w:val="333333"/>
                <w:spacing w:val="0"/>
                <w:sz w:val="24"/>
                <w:szCs w:val="24"/>
                <w:bdr w:val="none" w:color="auto" w:sz="0" w:space="0"/>
              </w:rPr>
              <w:t>1</w:t>
            </w:r>
          </w:p>
        </w:tc>
        <w:tc>
          <w:tcPr>
            <w:tcW w:w="1041"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船员注册及服务簿签发</w:t>
            </w:r>
          </w:p>
        </w:tc>
        <w:tc>
          <w:tcPr>
            <w:tcW w:w="1647"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《中华人民共和国船员条例》</w:t>
            </w:r>
          </w:p>
        </w:tc>
        <w:tc>
          <w:tcPr>
            <w:tcW w:w="1098"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区港航局</w:t>
            </w:r>
          </w:p>
        </w:tc>
        <w:tc>
          <w:tcPr>
            <w:tcW w:w="106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86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取消审批后，对通过船员适任证书核发审查的船员直接发放《船员服务簿》。通过以下措施加强事中事后监管：</w:t>
            </w:r>
            <w:r>
              <w:rPr>
                <w:rFonts w:hint="default" w:ascii="Times New Roman" w:hAnsi="Times New Roman" w:eastAsia="sans-serif" w:cs="Times New Roman"/>
                <w:i w:val="0"/>
                <w:caps w:val="0"/>
                <w:color w:val="333333"/>
                <w:spacing w:val="0"/>
                <w:sz w:val="24"/>
                <w:szCs w:val="24"/>
                <w:bdr w:val="none" w:color="auto" w:sz="0" w:space="0"/>
              </w:rPr>
              <w:t>1</w:t>
            </w:r>
            <w:r>
              <w:rPr>
                <w:rFonts w:hint="eastAsia" w:ascii="方正仿宋_GBK" w:hAnsi="方正仿宋_GBK" w:eastAsia="方正仿宋_GBK" w:cs="方正仿宋_GBK"/>
                <w:i w:val="0"/>
                <w:caps w:val="0"/>
                <w:color w:val="333333"/>
                <w:spacing w:val="0"/>
                <w:sz w:val="24"/>
                <w:szCs w:val="24"/>
                <w:bdr w:val="none" w:color="auto" w:sz="0" w:space="0"/>
              </w:rPr>
              <w:t>．加强船员适任证书管理，厨师、服务员等不参加航行值班的船员纳入船员适任证书核发申请人员范围。</w:t>
            </w:r>
            <w:r>
              <w:rPr>
                <w:rFonts w:hint="default" w:ascii="Times New Roman" w:hAnsi="Times New Roman" w:eastAsia="sans-serif" w:cs="Times New Roman"/>
                <w:i w:val="0"/>
                <w:caps w:val="0"/>
                <w:color w:val="333333"/>
                <w:spacing w:val="0"/>
                <w:sz w:val="24"/>
                <w:szCs w:val="24"/>
                <w:bdr w:val="none" w:color="auto" w:sz="0" w:space="0"/>
              </w:rPr>
              <w:t>2</w:t>
            </w:r>
            <w:r>
              <w:rPr>
                <w:rFonts w:hint="eastAsia" w:ascii="方正仿宋_GBK" w:hAnsi="方正仿宋_GBK" w:eastAsia="方正仿宋_GBK" w:cs="方正仿宋_GBK"/>
                <w:i w:val="0"/>
                <w:caps w:val="0"/>
                <w:color w:val="333333"/>
                <w:spacing w:val="0"/>
                <w:sz w:val="24"/>
                <w:szCs w:val="24"/>
                <w:bdr w:val="none" w:color="auto" w:sz="0" w:space="0"/>
              </w:rPr>
              <w:t>．对年满</w:t>
            </w:r>
            <w:r>
              <w:rPr>
                <w:rFonts w:hint="default" w:ascii="Times New Roman" w:hAnsi="Times New Roman" w:eastAsia="sans-serif" w:cs="Times New Roman"/>
                <w:i w:val="0"/>
                <w:caps w:val="0"/>
                <w:color w:val="333333"/>
                <w:spacing w:val="0"/>
                <w:sz w:val="24"/>
                <w:szCs w:val="24"/>
                <w:bdr w:val="none" w:color="auto" w:sz="0" w:space="0"/>
              </w:rPr>
              <w:t>18</w:t>
            </w:r>
            <w:r>
              <w:rPr>
                <w:rFonts w:hint="eastAsia" w:ascii="方正仿宋_GBK" w:hAnsi="方正仿宋_GBK" w:eastAsia="方正仿宋_GBK" w:cs="方正仿宋_GBK"/>
                <w:i w:val="0"/>
                <w:caps w:val="0"/>
                <w:color w:val="333333"/>
                <w:spacing w:val="0"/>
                <w:sz w:val="24"/>
                <w:szCs w:val="24"/>
                <w:bdr w:val="none" w:color="auto" w:sz="0" w:space="0"/>
              </w:rPr>
              <w:t>周岁（在船实习、见习人员年满</w:t>
            </w:r>
            <w:r>
              <w:rPr>
                <w:rFonts w:hint="default" w:ascii="Times New Roman" w:hAnsi="Times New Roman" w:eastAsia="sans-serif" w:cs="Times New Roman"/>
                <w:i w:val="0"/>
                <w:caps w:val="0"/>
                <w:color w:val="333333"/>
                <w:spacing w:val="0"/>
                <w:sz w:val="24"/>
                <w:szCs w:val="24"/>
                <w:bdr w:val="none" w:color="auto" w:sz="0" w:space="0"/>
              </w:rPr>
              <w:t>16</w:t>
            </w:r>
            <w:r>
              <w:rPr>
                <w:rFonts w:hint="eastAsia" w:ascii="方正仿宋_GBK" w:hAnsi="方正仿宋_GBK" w:eastAsia="方正仿宋_GBK" w:cs="方正仿宋_GBK"/>
                <w:i w:val="0"/>
                <w:caps w:val="0"/>
                <w:color w:val="333333"/>
                <w:spacing w:val="0"/>
                <w:sz w:val="24"/>
                <w:szCs w:val="24"/>
                <w:bdr w:val="none" w:color="auto" w:sz="0" w:space="0"/>
              </w:rPr>
              <w:t>周岁）、符合船员健康要求、经船员基本安全培训并通过海事管理机构考试者，在签发相应船员适任证书时，直接发放《船员服务簿》。</w:t>
            </w:r>
            <w:r>
              <w:rPr>
                <w:rFonts w:hint="default" w:ascii="Times New Roman" w:hAnsi="Times New Roman" w:eastAsia="sans-serif" w:cs="Times New Roman"/>
                <w:i w:val="0"/>
                <w:caps w:val="0"/>
                <w:color w:val="333333"/>
                <w:spacing w:val="0"/>
                <w:sz w:val="24"/>
                <w:szCs w:val="24"/>
                <w:bdr w:val="none" w:color="auto" w:sz="0" w:space="0"/>
              </w:rPr>
              <w:t>3</w:t>
            </w:r>
            <w:r>
              <w:rPr>
                <w:rFonts w:hint="eastAsia" w:ascii="方正仿宋_GBK" w:hAnsi="方正仿宋_GBK" w:eastAsia="方正仿宋_GBK" w:cs="方正仿宋_GBK"/>
                <w:i w:val="0"/>
                <w:caps w:val="0"/>
                <w:color w:val="333333"/>
                <w:spacing w:val="0"/>
                <w:sz w:val="24"/>
                <w:szCs w:val="24"/>
                <w:bdr w:val="none" w:color="auto" w:sz="0" w:space="0"/>
              </w:rPr>
              <w:t>．新的《船员服务簿》作为船员个人持有的法定文书，主要承载船员档案功能，记录船员履职情况。加强船员持有《船员服务簿》和记录船员履职情况的监督检查。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825" w:hRule="atLeast"/>
        </w:trPr>
        <w:tc>
          <w:tcPr>
            <w:tcW w:w="648"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2</w:t>
            </w:r>
          </w:p>
        </w:tc>
        <w:tc>
          <w:tcPr>
            <w:tcW w:w="1041"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道路货物运输站（场）经营许可</w:t>
            </w:r>
          </w:p>
        </w:tc>
        <w:tc>
          <w:tcPr>
            <w:tcW w:w="1647"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《中华人民共和国道路运输条例》</w:t>
            </w:r>
          </w:p>
        </w:tc>
        <w:tc>
          <w:tcPr>
            <w:tcW w:w="1098"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区运管处</w:t>
            </w:r>
          </w:p>
        </w:tc>
        <w:tc>
          <w:tcPr>
            <w:tcW w:w="106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86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取消审批后，通过以下措施加强事中事后监管：</w:t>
            </w:r>
            <w:r>
              <w:rPr>
                <w:rFonts w:hint="default" w:ascii="Times New Roman" w:hAnsi="Times New Roman" w:eastAsia="sans-serif" w:cs="Times New Roman"/>
                <w:i w:val="0"/>
                <w:caps w:val="0"/>
                <w:color w:val="333333"/>
                <w:spacing w:val="0"/>
                <w:sz w:val="24"/>
                <w:szCs w:val="24"/>
                <w:bdr w:val="none" w:color="auto" w:sz="0" w:space="0"/>
              </w:rPr>
              <w:t>1</w:t>
            </w:r>
            <w:r>
              <w:rPr>
                <w:rFonts w:hint="eastAsia" w:ascii="方正仿宋_GBK" w:hAnsi="方正仿宋_GBK" w:eastAsia="方正仿宋_GBK" w:cs="方正仿宋_GBK"/>
                <w:i w:val="0"/>
                <w:caps w:val="0"/>
                <w:color w:val="333333"/>
                <w:spacing w:val="0"/>
                <w:sz w:val="24"/>
                <w:szCs w:val="24"/>
                <w:bdr w:val="none" w:color="auto" w:sz="0" w:space="0"/>
              </w:rPr>
              <w:t>．通过“双随机、一公开”监管等方式，加强对道路货物运输站（场）生产经营的监督管理，依法查处违反道路货物运输经营管理规定的行为。</w:t>
            </w:r>
            <w:r>
              <w:rPr>
                <w:rFonts w:hint="default" w:ascii="Times New Roman" w:hAnsi="Times New Roman" w:eastAsia="sans-serif" w:cs="Times New Roman"/>
                <w:i w:val="0"/>
                <w:caps w:val="0"/>
                <w:color w:val="333333"/>
                <w:spacing w:val="0"/>
                <w:sz w:val="24"/>
                <w:szCs w:val="24"/>
                <w:bdr w:val="none" w:color="auto" w:sz="0" w:space="0"/>
              </w:rPr>
              <w:t>2</w:t>
            </w:r>
            <w:r>
              <w:rPr>
                <w:rFonts w:hint="eastAsia" w:ascii="方正仿宋_GBK" w:hAnsi="方正仿宋_GBK" w:eastAsia="方正仿宋_GBK" w:cs="方正仿宋_GBK"/>
                <w:i w:val="0"/>
                <w:caps w:val="0"/>
                <w:color w:val="333333"/>
                <w:spacing w:val="0"/>
                <w:sz w:val="24"/>
                <w:szCs w:val="24"/>
                <w:bdr w:val="none" w:color="auto" w:sz="0" w:space="0"/>
              </w:rPr>
              <w:t>．实施道路货物运输站（场）相关标准，推动站（场）建设运营标准化。</w:t>
            </w:r>
            <w:r>
              <w:rPr>
                <w:rFonts w:hint="default" w:ascii="Times New Roman" w:hAnsi="Times New Roman" w:eastAsia="sans-serif" w:cs="Times New Roman"/>
                <w:i w:val="0"/>
                <w:caps w:val="0"/>
                <w:color w:val="333333"/>
                <w:spacing w:val="0"/>
                <w:sz w:val="24"/>
                <w:szCs w:val="24"/>
                <w:bdr w:val="none" w:color="auto" w:sz="0" w:space="0"/>
              </w:rPr>
              <w:t>3</w:t>
            </w:r>
            <w:r>
              <w:rPr>
                <w:rFonts w:hint="eastAsia" w:ascii="方正仿宋_GBK" w:hAnsi="方正仿宋_GBK" w:eastAsia="方正仿宋_GBK" w:cs="方正仿宋_GBK"/>
                <w:i w:val="0"/>
                <w:caps w:val="0"/>
                <w:color w:val="333333"/>
                <w:spacing w:val="0"/>
                <w:sz w:val="24"/>
                <w:szCs w:val="24"/>
                <w:bdr w:val="none" w:color="auto" w:sz="0" w:space="0"/>
              </w:rPr>
              <w:t>．加强与市场监管、住房城乡建设、应急管理、公安等部门关于道路货物运输站（场）相关信息共享。</w:t>
            </w:r>
            <w:r>
              <w:rPr>
                <w:rFonts w:hint="default" w:ascii="Times New Roman" w:hAnsi="Times New Roman" w:eastAsia="sans-serif" w:cs="Times New Roman"/>
                <w:i w:val="0"/>
                <w:caps w:val="0"/>
                <w:color w:val="333333"/>
                <w:spacing w:val="0"/>
                <w:sz w:val="24"/>
                <w:szCs w:val="24"/>
                <w:bdr w:val="none" w:color="auto" w:sz="0" w:space="0"/>
              </w:rPr>
              <w:t>4</w:t>
            </w:r>
            <w:r>
              <w:rPr>
                <w:rFonts w:hint="eastAsia" w:ascii="方正仿宋_GBK" w:hAnsi="方正仿宋_GBK" w:eastAsia="方正仿宋_GBK" w:cs="方正仿宋_GBK"/>
                <w:i w:val="0"/>
                <w:caps w:val="0"/>
                <w:color w:val="333333"/>
                <w:spacing w:val="0"/>
                <w:sz w:val="24"/>
                <w:szCs w:val="24"/>
                <w:bdr w:val="none" w:color="auto" w:sz="0" w:space="0"/>
              </w:rPr>
              <w:t>．加强对道路货物运输站（场）经营业户的信用监管，向社会公开失信企业名单，并实施联合惩戒。</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535" w:hRule="atLeast"/>
        </w:trPr>
        <w:tc>
          <w:tcPr>
            <w:tcW w:w="648"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3</w:t>
            </w:r>
          </w:p>
        </w:tc>
        <w:tc>
          <w:tcPr>
            <w:tcW w:w="1041"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名称预先核准</w:t>
            </w:r>
          </w:p>
        </w:tc>
        <w:tc>
          <w:tcPr>
            <w:tcW w:w="1647"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《中华人民共和国公司登记管理条例》《中华人民共和国企业法人登记管理条例》《企业名称登记管理规定》《个体工商户条例》《农民专业合作社登记管理条例》</w:t>
            </w:r>
          </w:p>
        </w:tc>
        <w:tc>
          <w:tcPr>
            <w:tcW w:w="1098"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区市场监管局</w:t>
            </w:r>
          </w:p>
        </w:tc>
        <w:tc>
          <w:tcPr>
            <w:tcW w:w="106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86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取消审批后，改为企业（包括个体工商户、农民专业合作社，下同）自主申报名称，市场监管部门在企业注册登记时核准名称。市场监管部门通过以下措施优化服务、加强事中事后监管：</w:t>
            </w:r>
            <w:r>
              <w:rPr>
                <w:rFonts w:hint="default" w:ascii="Times New Roman" w:hAnsi="Times New Roman" w:eastAsia="sans-serif" w:cs="Times New Roman"/>
                <w:i w:val="0"/>
                <w:caps w:val="0"/>
                <w:color w:val="333333"/>
                <w:spacing w:val="0"/>
                <w:sz w:val="24"/>
                <w:szCs w:val="24"/>
                <w:bdr w:val="none" w:color="auto" w:sz="0" w:space="0"/>
              </w:rPr>
              <w:t>1</w:t>
            </w:r>
            <w:r>
              <w:rPr>
                <w:rFonts w:hint="eastAsia" w:ascii="方正仿宋_GBK" w:hAnsi="方正仿宋_GBK" w:eastAsia="方正仿宋_GBK" w:cs="方正仿宋_GBK"/>
                <w:i w:val="0"/>
                <w:caps w:val="0"/>
                <w:color w:val="333333"/>
                <w:spacing w:val="0"/>
                <w:sz w:val="24"/>
                <w:szCs w:val="24"/>
                <w:bdr w:val="none" w:color="auto" w:sz="0" w:space="0"/>
              </w:rPr>
              <w:t>．向社会公开企业名称库，引导企业自行拟定符合规则要求的名称。</w:t>
            </w:r>
            <w:r>
              <w:rPr>
                <w:rFonts w:hint="default" w:ascii="Times New Roman" w:hAnsi="Times New Roman" w:eastAsia="sans-serif" w:cs="Times New Roman"/>
                <w:i w:val="0"/>
                <w:caps w:val="0"/>
                <w:color w:val="333333"/>
                <w:spacing w:val="0"/>
                <w:sz w:val="24"/>
                <w:szCs w:val="24"/>
                <w:bdr w:val="none" w:color="auto" w:sz="0" w:space="0"/>
              </w:rPr>
              <w:t>2</w:t>
            </w:r>
            <w:r>
              <w:rPr>
                <w:rFonts w:hint="eastAsia" w:ascii="方正仿宋_GBK" w:hAnsi="方正仿宋_GBK" w:eastAsia="方正仿宋_GBK" w:cs="方正仿宋_GBK"/>
                <w:i w:val="0"/>
                <w:caps w:val="0"/>
                <w:color w:val="333333"/>
                <w:spacing w:val="0"/>
                <w:sz w:val="24"/>
                <w:szCs w:val="24"/>
                <w:bdr w:val="none" w:color="auto" w:sz="0" w:space="0"/>
              </w:rPr>
              <w:t>．建立企业名称自主申报制度，明确企业名称禁限用规则，完善企业名称争议处理机制，加强对企业名称使用的监督管理。</w:t>
            </w:r>
            <w:r>
              <w:rPr>
                <w:rFonts w:hint="default" w:ascii="Times New Roman" w:hAnsi="Times New Roman" w:eastAsia="sans-serif" w:cs="Times New Roman"/>
                <w:i w:val="0"/>
                <w:caps w:val="0"/>
                <w:color w:val="333333"/>
                <w:spacing w:val="0"/>
                <w:sz w:val="24"/>
                <w:szCs w:val="24"/>
                <w:bdr w:val="none" w:color="auto" w:sz="0" w:space="0"/>
              </w:rPr>
              <w:t>3</w:t>
            </w:r>
            <w:r>
              <w:rPr>
                <w:rFonts w:hint="eastAsia" w:ascii="方正仿宋_GBK" w:hAnsi="方正仿宋_GBK" w:eastAsia="方正仿宋_GBK" w:cs="方正仿宋_GBK"/>
                <w:i w:val="0"/>
                <w:caps w:val="0"/>
                <w:color w:val="333333"/>
                <w:spacing w:val="0"/>
                <w:sz w:val="24"/>
                <w:szCs w:val="24"/>
                <w:bdr w:val="none" w:color="auto" w:sz="0" w:space="0"/>
              </w:rPr>
              <w:t>．简化优化工商登记程序，实行“一次性告知”，提高企业登记办理效率，保障企业自主选择名称。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225" w:hRule="atLeast"/>
        </w:trPr>
        <w:tc>
          <w:tcPr>
            <w:tcW w:w="648"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4</w:t>
            </w:r>
          </w:p>
        </w:tc>
        <w:tc>
          <w:tcPr>
            <w:tcW w:w="1041"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养老机构设立许可（含分支机构，涉外投资、市级财政投资兴办除外）</w:t>
            </w:r>
          </w:p>
        </w:tc>
        <w:tc>
          <w:tcPr>
            <w:tcW w:w="1647"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《中华人民共和国老年人权益保障法》第四十四条；《养老机构设立许可办法》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第七条；《重庆市养老机构设立许可实施办法》第四条第二款；《养老机构设立许可办法》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24"/>
                <w:szCs w:val="24"/>
                <w:bdr w:val="none" w:color="auto" w:sz="0" w:space="0"/>
              </w:rPr>
              <w:t>第十七条</w:t>
            </w:r>
          </w:p>
        </w:tc>
        <w:tc>
          <w:tcPr>
            <w:tcW w:w="1098"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区民政局</w:t>
            </w:r>
          </w:p>
        </w:tc>
        <w:tc>
          <w:tcPr>
            <w:tcW w:w="106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86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bdr w:val="none" w:color="auto" w:sz="0" w:space="0"/>
              </w:rPr>
              <w:t>2019</w:t>
            </w:r>
            <w:r>
              <w:rPr>
                <w:rFonts w:hint="eastAsia" w:ascii="方正仿宋_GBK" w:hAnsi="方正仿宋_GBK" w:eastAsia="方正仿宋_GBK" w:cs="方正仿宋_GBK"/>
                <w:i w:val="0"/>
                <w:caps w:val="0"/>
                <w:color w:val="333333"/>
                <w:spacing w:val="0"/>
                <w:sz w:val="24"/>
                <w:szCs w:val="24"/>
                <w:bdr w:val="none" w:color="auto" w:sz="0" w:space="0"/>
              </w:rPr>
              <w:t>〕</w:t>
            </w:r>
            <w:r>
              <w:rPr>
                <w:rFonts w:hint="default" w:ascii="Times New Roman" w:hAnsi="Times New Roman" w:eastAsia="sans-serif" w:cs="Times New Roman"/>
                <w:i w:val="0"/>
                <w:caps w:val="0"/>
                <w:color w:val="333333"/>
                <w:spacing w:val="0"/>
                <w:sz w:val="24"/>
                <w:szCs w:val="24"/>
                <w:bdr w:val="none" w:color="auto" w:sz="0" w:space="0"/>
              </w:rPr>
              <w:t>7</w:t>
            </w:r>
            <w:r>
              <w:rPr>
                <w:rFonts w:hint="eastAsia" w:ascii="方正仿宋_GBK" w:hAnsi="方正仿宋_GBK" w:eastAsia="方正仿宋_GBK" w:cs="方正仿宋_GBK"/>
                <w:i w:val="0"/>
                <w:caps w:val="0"/>
                <w:color w:val="333333"/>
                <w:spacing w:val="0"/>
                <w:sz w:val="24"/>
                <w:szCs w:val="24"/>
                <w:bdr w:val="none" w:color="auto" w:sz="0" w:space="0"/>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945" w:hRule="atLeast"/>
        </w:trPr>
        <w:tc>
          <w:tcPr>
            <w:tcW w:w="648"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5</w:t>
            </w:r>
          </w:p>
        </w:tc>
        <w:tc>
          <w:tcPr>
            <w:tcW w:w="1041"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养老机构变更许可</w:t>
            </w:r>
          </w:p>
        </w:tc>
        <w:tc>
          <w:tcPr>
            <w:tcW w:w="1647"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24"/>
                <w:szCs w:val="24"/>
                <w:bdr w:val="none" w:color="auto" w:sz="0" w:space="0"/>
              </w:rPr>
              <w:t>第十八条</w:t>
            </w:r>
          </w:p>
        </w:tc>
        <w:tc>
          <w:tcPr>
            <w:tcW w:w="1098"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区民政局</w:t>
            </w:r>
          </w:p>
        </w:tc>
        <w:tc>
          <w:tcPr>
            <w:tcW w:w="106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86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bdr w:val="none" w:color="auto" w:sz="0" w:space="0"/>
              </w:rPr>
              <w:t>2019</w:t>
            </w:r>
            <w:r>
              <w:rPr>
                <w:rFonts w:hint="eastAsia" w:ascii="方正仿宋_GBK" w:hAnsi="方正仿宋_GBK" w:eastAsia="方正仿宋_GBK" w:cs="方正仿宋_GBK"/>
                <w:i w:val="0"/>
                <w:caps w:val="0"/>
                <w:color w:val="333333"/>
                <w:spacing w:val="0"/>
                <w:sz w:val="24"/>
                <w:szCs w:val="24"/>
                <w:bdr w:val="none" w:color="auto" w:sz="0" w:space="0"/>
              </w:rPr>
              <w:t>〕</w:t>
            </w:r>
            <w:r>
              <w:rPr>
                <w:rFonts w:hint="default" w:ascii="Times New Roman" w:hAnsi="Times New Roman" w:eastAsia="sans-serif" w:cs="Times New Roman"/>
                <w:i w:val="0"/>
                <w:caps w:val="0"/>
                <w:color w:val="333333"/>
                <w:spacing w:val="0"/>
                <w:sz w:val="24"/>
                <w:szCs w:val="24"/>
                <w:bdr w:val="none" w:color="auto" w:sz="0" w:space="0"/>
              </w:rPr>
              <w:t>7</w:t>
            </w:r>
            <w:r>
              <w:rPr>
                <w:rFonts w:hint="eastAsia" w:ascii="方正仿宋_GBK" w:hAnsi="方正仿宋_GBK" w:eastAsia="方正仿宋_GBK" w:cs="方正仿宋_GBK"/>
                <w:i w:val="0"/>
                <w:caps w:val="0"/>
                <w:color w:val="333333"/>
                <w:spacing w:val="0"/>
                <w:sz w:val="24"/>
                <w:szCs w:val="24"/>
                <w:bdr w:val="none" w:color="auto" w:sz="0" w:space="0"/>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955" w:hRule="atLeast"/>
        </w:trPr>
        <w:tc>
          <w:tcPr>
            <w:tcW w:w="648" w:type="dxa"/>
            <w:tcBorders>
              <w:top w:val="single" w:color="auto" w:sz="6" w:space="0"/>
              <w:left w:val="single" w:color="808080"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6</w:t>
            </w:r>
          </w:p>
        </w:tc>
        <w:tc>
          <w:tcPr>
            <w:tcW w:w="1041"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养老机构注销许可</w:t>
            </w:r>
          </w:p>
        </w:tc>
        <w:tc>
          <w:tcPr>
            <w:tcW w:w="1647"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《养老机构设立许可办法》</w:t>
            </w:r>
            <w:r>
              <w:rPr>
                <w:rFonts w:hint="default" w:ascii="Times New Roman" w:hAnsi="Times New Roman" w:eastAsia="sans-serif" w:cs="Times New Roman"/>
                <w:i w:val="0"/>
                <w:caps w:val="0"/>
                <w:color w:val="333333"/>
                <w:spacing w:val="0"/>
                <w:sz w:val="24"/>
                <w:szCs w:val="24"/>
                <w:bdr w:val="none" w:color="auto" w:sz="0" w:space="0"/>
              </w:rPr>
              <w:t>(</w:t>
            </w:r>
            <w:r>
              <w:rPr>
                <w:rFonts w:hint="eastAsia" w:ascii="方正仿宋_GBK" w:hAnsi="方正仿宋_GBK" w:eastAsia="方正仿宋_GBK" w:cs="方正仿宋_GBK"/>
                <w:i w:val="0"/>
                <w:caps w:val="0"/>
                <w:color w:val="333333"/>
                <w:spacing w:val="0"/>
                <w:sz w:val="24"/>
                <w:szCs w:val="24"/>
                <w:bdr w:val="none" w:color="auto" w:sz="0" w:space="0"/>
              </w:rPr>
              <w:t>民政部令第</w:t>
            </w:r>
            <w:r>
              <w:rPr>
                <w:rFonts w:hint="default" w:ascii="Times New Roman" w:hAnsi="Times New Roman" w:eastAsia="sans-serif" w:cs="Times New Roman"/>
                <w:i w:val="0"/>
                <w:caps w:val="0"/>
                <w:color w:val="333333"/>
                <w:spacing w:val="0"/>
                <w:sz w:val="24"/>
                <w:szCs w:val="24"/>
                <w:bdr w:val="none" w:color="auto" w:sz="0" w:space="0"/>
              </w:rPr>
              <w:t>48</w:t>
            </w:r>
            <w:r>
              <w:rPr>
                <w:rFonts w:hint="eastAsia" w:ascii="方正仿宋_GBK" w:hAnsi="方正仿宋_GBK" w:eastAsia="方正仿宋_GBK" w:cs="方正仿宋_GBK"/>
                <w:i w:val="0"/>
                <w:caps w:val="0"/>
                <w:color w:val="333333"/>
                <w:spacing w:val="0"/>
                <w:sz w:val="24"/>
                <w:szCs w:val="24"/>
                <w:bdr w:val="none" w:color="auto" w:sz="0" w:space="0"/>
              </w:rPr>
              <w:t>号</w:t>
            </w:r>
            <w:r>
              <w:rPr>
                <w:rFonts w:hint="default" w:ascii="Times New Roman" w:hAnsi="Times New Roman" w:eastAsia="sans-serif" w:cs="Times New Roman"/>
                <w:i w:val="0"/>
                <w:caps w:val="0"/>
                <w:color w:val="333333"/>
                <w:spacing w:val="0"/>
                <w:sz w:val="24"/>
                <w:szCs w:val="24"/>
                <w:bdr w:val="none" w:color="auto" w:sz="0" w:space="0"/>
              </w:rPr>
              <w:t>) </w:t>
            </w:r>
            <w:r>
              <w:rPr>
                <w:rFonts w:hint="eastAsia" w:ascii="方正仿宋_GBK" w:hAnsi="方正仿宋_GBK" w:eastAsia="方正仿宋_GBK" w:cs="方正仿宋_GBK"/>
                <w:i w:val="0"/>
                <w:caps w:val="0"/>
                <w:color w:val="333333"/>
                <w:spacing w:val="0"/>
                <w:sz w:val="24"/>
                <w:szCs w:val="24"/>
                <w:bdr w:val="none" w:color="auto" w:sz="0" w:space="0"/>
              </w:rPr>
              <w:t>第十九条</w:t>
            </w:r>
          </w:p>
        </w:tc>
        <w:tc>
          <w:tcPr>
            <w:tcW w:w="1098"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区民政局</w:t>
            </w:r>
          </w:p>
        </w:tc>
        <w:tc>
          <w:tcPr>
            <w:tcW w:w="1069"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w:t>
            </w:r>
          </w:p>
        </w:tc>
        <w:tc>
          <w:tcPr>
            <w:tcW w:w="2863" w:type="dxa"/>
            <w:tcBorders>
              <w:top w:val="single" w:color="auto" w:sz="6" w:space="0"/>
              <w:left w:val="single" w:color="auto" w:sz="6" w:space="0"/>
              <w:bottom w:val="single" w:color="808080" w:sz="6" w:space="0"/>
              <w:right w:val="single" w:color="808080" w:sz="6" w:space="0"/>
            </w:tcBorders>
            <w:shd w:val="clear"/>
            <w:tcMar>
              <w:top w:w="0" w:type="dxa"/>
              <w:left w:w="30" w:type="dxa"/>
              <w:bottom w:w="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1" w:line="587" w:lineRule="exact"/>
              <w:ind w:left="0" w:right="0"/>
              <w:jc w:val="center"/>
              <w:textAlignment w:val="auto"/>
            </w:pPr>
            <w:r>
              <w:rPr>
                <w:rFonts w:hint="eastAsia" w:ascii="方正仿宋_GBK" w:hAnsi="方正仿宋_GBK" w:eastAsia="方正仿宋_GBK" w:cs="方正仿宋_GBK"/>
                <w:i w:val="0"/>
                <w:caps w:val="0"/>
                <w:color w:val="333333"/>
                <w:spacing w:val="0"/>
                <w:sz w:val="24"/>
                <w:szCs w:val="24"/>
                <w:bdr w:val="none" w:color="auto" w:sz="0" w:space="0"/>
              </w:rPr>
              <w:t>取消审批后，根据重庆市民政局《关于贯彻落实新修改的〈中华人民共和国老年人权益保障法〉和〈重庆市养老机构管理办法〉的通知》（渝民发〔</w:t>
            </w:r>
            <w:r>
              <w:rPr>
                <w:rFonts w:hint="default" w:ascii="Times New Roman" w:hAnsi="Times New Roman" w:eastAsia="sans-serif" w:cs="Times New Roman"/>
                <w:i w:val="0"/>
                <w:caps w:val="0"/>
                <w:color w:val="333333"/>
                <w:spacing w:val="0"/>
                <w:sz w:val="24"/>
                <w:szCs w:val="24"/>
                <w:bdr w:val="none" w:color="auto" w:sz="0" w:space="0"/>
              </w:rPr>
              <w:t>2019</w:t>
            </w:r>
            <w:r>
              <w:rPr>
                <w:rFonts w:hint="eastAsia" w:ascii="方正仿宋_GBK" w:hAnsi="方正仿宋_GBK" w:eastAsia="方正仿宋_GBK" w:cs="方正仿宋_GBK"/>
                <w:i w:val="0"/>
                <w:caps w:val="0"/>
                <w:color w:val="333333"/>
                <w:spacing w:val="0"/>
                <w:sz w:val="24"/>
                <w:szCs w:val="24"/>
                <w:bdr w:val="none" w:color="auto" w:sz="0" w:space="0"/>
              </w:rPr>
              <w:t>〕</w:t>
            </w:r>
            <w:r>
              <w:rPr>
                <w:rFonts w:hint="default" w:ascii="Times New Roman" w:hAnsi="Times New Roman" w:eastAsia="sans-serif" w:cs="Times New Roman"/>
                <w:i w:val="0"/>
                <w:caps w:val="0"/>
                <w:color w:val="333333"/>
                <w:spacing w:val="0"/>
                <w:sz w:val="24"/>
                <w:szCs w:val="24"/>
                <w:bdr w:val="none" w:color="auto" w:sz="0" w:space="0"/>
              </w:rPr>
              <w:t>7</w:t>
            </w:r>
            <w:r>
              <w:rPr>
                <w:rFonts w:hint="eastAsia" w:ascii="方正仿宋_GBK" w:hAnsi="方正仿宋_GBK" w:eastAsia="方正仿宋_GBK" w:cs="方正仿宋_GBK"/>
                <w:i w:val="0"/>
                <w:caps w:val="0"/>
                <w:color w:val="333333"/>
                <w:spacing w:val="0"/>
                <w:sz w:val="24"/>
                <w:szCs w:val="24"/>
                <w:bdr w:val="none" w:color="auto" w:sz="0" w:space="0"/>
              </w:rPr>
              <w:t>号）精神：设立公益性养老机构，符合事业单位登记规定的，向事业单位管理机关办理登记手续；符合社会组织登记条件的，向民政局社会组织登记部门办理登记手续；设立经营性养老机构，应当在市场监督管理部门办理登记。养老机构登记后即可开展服务活动，并向所在区县（自治县，以下简称区县）民政部门备案。原设立许可的养老机构在有效期内的仍然有效，无须登记备案，设立许可证有效期届满后，不再换发许可证，执行登记备案制度。社区养老服务中心（站）符合养老机构登记备案条件的，应予以登记备案，未达到条件的，应作为基本公共服务设施加强日常运营管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72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7" w:lineRule="exact"/>
        <w:ind w:left="0" w:right="0" w:firstLine="420"/>
        <w:jc w:val="left"/>
        <w:textAlignment w:val="auto"/>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333333"/>
          <w:spacing w:val="0"/>
          <w:sz w:val="24"/>
          <w:szCs w:val="24"/>
          <w:bdr w:val="none" w:color="auto" w:sz="0" w:space="0"/>
        </w:rPr>
        <w:t> </w:t>
      </w:r>
    </w:p>
    <w:p>
      <w:pPr>
        <w:keepNext w:val="0"/>
        <w:keepLines w:val="0"/>
        <w:pageBreakBefore w:val="0"/>
        <w:kinsoku/>
        <w:overflowPunct/>
        <w:topLinePunct w:val="0"/>
        <w:autoSpaceDE/>
        <w:autoSpaceDN/>
        <w:bidi w:val="0"/>
        <w:adjustRightInd/>
        <w:snapToGrid/>
        <w:spacing w:beforeAutospacing="0" w:line="587"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0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2022-07-07T08:22:01Z</dcterms:created>
  <dc:creator>Administrator</dc:creator>
  <cp:lastModifiedBy>Administrator</cp:lastModifiedBy>
  <dcterms:modified xsi:type="dcterms:W3CDTF">2022-07-07T08:31:06Z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