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right="0"/>
        <w:jc w:val="left"/>
        <w:textAlignment w:val="auto"/>
        <w:rPr>
          <w:rFonts w:hint="default" w:ascii="sans-serif" w:hAnsi="sans-serif" w:eastAsia="sans-serif" w:cs="sans-serif"/>
          <w:i w:val="0"/>
          <w:caps w:val="0"/>
          <w:color w:val="000000"/>
          <w:spacing w:val="0"/>
          <w:sz w:val="24"/>
          <w:szCs w:val="24"/>
        </w:rPr>
      </w:pPr>
      <w:r>
        <w:rPr>
          <w:rFonts w:hint="eastAsia" w:ascii="方正黑体_GBK" w:hAnsi="方正黑体_GBK" w:eastAsia="方正黑体_GBK" w:cs="方正黑体_GBK"/>
          <w:i w:val="0"/>
          <w:caps w:val="0"/>
          <w:color w:val="333333"/>
          <w:spacing w:val="0"/>
          <w:sz w:val="32"/>
          <w:szCs w:val="32"/>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0" w:right="0" w:firstLine="420"/>
        <w:jc w:val="center"/>
        <w:textAlignment w:val="auto"/>
        <w:rPr>
          <w:rFonts w:hint="default" w:ascii="sans-serif" w:hAnsi="sans-serif" w:eastAsia="sans-serif" w:cs="sans-serif"/>
          <w:i w:val="0"/>
          <w:caps w:val="0"/>
          <w:color w:val="000000"/>
          <w:spacing w:val="0"/>
          <w:sz w:val="24"/>
          <w:szCs w:val="24"/>
        </w:rPr>
      </w:pPr>
      <w:bookmarkStart w:id="0" w:name="_GoBack"/>
      <w:r>
        <w:rPr>
          <w:rFonts w:hint="eastAsia" w:ascii="方正小标宋_GBK" w:hAnsi="方正小标宋_GBK" w:eastAsia="方正小标宋_GBK" w:cs="方正小标宋_GBK"/>
          <w:i w:val="0"/>
          <w:caps w:val="0"/>
          <w:color w:val="333333"/>
          <w:spacing w:val="0"/>
          <w:sz w:val="44"/>
          <w:szCs w:val="44"/>
        </w:rPr>
        <w:t>万州区承接市级下放和对应市级取消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0" w:right="0" w:firstLine="420"/>
        <w:jc w:val="center"/>
        <w:textAlignment w:val="auto"/>
        <w:rPr>
          <w:rFonts w:hint="default" w:ascii="sans-serif" w:hAnsi="sans-serif" w:eastAsia="sans-serif" w:cs="sans-serif"/>
          <w:i w:val="0"/>
          <w:caps w:val="0"/>
          <w:color w:val="000000"/>
          <w:spacing w:val="0"/>
          <w:sz w:val="24"/>
          <w:szCs w:val="24"/>
        </w:rPr>
      </w:pPr>
      <w:r>
        <w:rPr>
          <w:rFonts w:hint="eastAsia" w:ascii="方正小标宋_GBK" w:hAnsi="方正小标宋_GBK" w:eastAsia="方正小标宋_GBK" w:cs="方正小标宋_GBK"/>
          <w:i w:val="0"/>
          <w:caps w:val="0"/>
          <w:color w:val="333333"/>
          <w:spacing w:val="0"/>
          <w:sz w:val="44"/>
          <w:szCs w:val="44"/>
        </w:rPr>
        <w:t>行政许可事项目录</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0" w:right="0" w:firstLine="420"/>
        <w:jc w:val="center"/>
        <w:textAlignment w:val="auto"/>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333333"/>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720" w:right="0" w:firstLine="420"/>
        <w:jc w:val="left"/>
        <w:textAlignment w:val="auto"/>
        <w:rPr>
          <w:rFonts w:hint="default" w:ascii="sans-serif" w:hAnsi="sans-serif" w:eastAsia="sans-serif" w:cs="sans-serif"/>
          <w:i w:val="0"/>
          <w:caps w:val="0"/>
          <w:color w:val="000000"/>
          <w:spacing w:val="0"/>
          <w:sz w:val="24"/>
          <w:szCs w:val="24"/>
        </w:rPr>
      </w:pPr>
      <w:r>
        <w:rPr>
          <w:rFonts w:ascii="微软雅黑" w:hAnsi="微软雅黑" w:eastAsia="微软雅黑" w:cs="微软雅黑"/>
          <w:i w:val="0"/>
          <w:caps w:val="0"/>
          <w:color w:val="333333"/>
          <w:spacing w:val="0"/>
          <w:sz w:val="32"/>
          <w:szCs w:val="32"/>
        </w:rPr>
        <w:t>一、 </w:t>
      </w:r>
      <w:r>
        <w:rPr>
          <w:rFonts w:hint="eastAsia" w:ascii="方正黑体_GBK" w:hAnsi="方正黑体_GBK" w:eastAsia="方正黑体_GBK" w:cs="方正黑体_GBK"/>
          <w:i w:val="0"/>
          <w:caps w:val="0"/>
          <w:color w:val="333333"/>
          <w:spacing w:val="0"/>
          <w:sz w:val="32"/>
          <w:szCs w:val="32"/>
        </w:rPr>
        <w:t>承接的行政许可事项目录（2项）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0" w:right="0" w:firstLine="420"/>
        <w:jc w:val="left"/>
        <w:textAlignment w:val="auto"/>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333333"/>
          <w:spacing w:val="0"/>
          <w:sz w:val="24"/>
          <w:szCs w:val="24"/>
        </w:rPr>
        <w:t> </w:t>
      </w:r>
    </w:p>
    <w:tbl>
      <w:tblPr>
        <w:tblStyle w:val="3"/>
        <w:tblW w:w="851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
      <w:tblGrid>
        <w:gridCol w:w="706"/>
        <w:gridCol w:w="2026"/>
        <w:gridCol w:w="2152"/>
        <w:gridCol w:w="1500"/>
        <w:gridCol w:w="1231"/>
        <w:gridCol w:w="90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660" w:hRule="atLeast"/>
        </w:trPr>
        <w:tc>
          <w:tcPr>
            <w:tcW w:w="7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rPr>
              <w:t>序号</w:t>
            </w:r>
          </w:p>
        </w:tc>
        <w:tc>
          <w:tcPr>
            <w:tcW w:w="202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rPr>
              <w:t>项目名称</w:t>
            </w:r>
          </w:p>
        </w:tc>
        <w:tc>
          <w:tcPr>
            <w:tcW w:w="21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rPr>
              <w:t>设定依据</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rPr>
              <w:t>市级实施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rPr>
              <w:t>部门</w:t>
            </w:r>
          </w:p>
        </w:tc>
        <w:tc>
          <w:tcPr>
            <w:tcW w:w="123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rPr>
              <w:t>我区承接部门</w:t>
            </w:r>
          </w:p>
        </w:tc>
        <w:tc>
          <w:tcPr>
            <w:tcW w:w="9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245" w:hRule="atLeast"/>
        </w:trPr>
        <w:tc>
          <w:tcPr>
            <w:tcW w:w="7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1</w:t>
            </w:r>
          </w:p>
        </w:tc>
        <w:tc>
          <w:tcPr>
            <w:tcW w:w="202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主城区以外毗邻区县行政区域间道路旅客运输经营许可</w:t>
            </w:r>
          </w:p>
        </w:tc>
        <w:tc>
          <w:tcPr>
            <w:tcW w:w="21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《中华人民共和国道路运输条例》</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市道路运输管理局</w:t>
            </w:r>
          </w:p>
        </w:tc>
        <w:tc>
          <w:tcPr>
            <w:tcW w:w="123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区运管处</w:t>
            </w:r>
          </w:p>
        </w:tc>
        <w:tc>
          <w:tcPr>
            <w:tcW w:w="9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line="587" w:lineRule="exact"/>
              <w:ind w:left="0" w:firstLine="0"/>
              <w:jc w:val="left"/>
              <w:textAlignment w:val="auto"/>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765" w:hRule="atLeast"/>
        </w:trPr>
        <w:tc>
          <w:tcPr>
            <w:tcW w:w="7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2</w:t>
            </w:r>
          </w:p>
        </w:tc>
        <w:tc>
          <w:tcPr>
            <w:tcW w:w="202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护士执业注册</w:t>
            </w:r>
          </w:p>
        </w:tc>
        <w:tc>
          <w:tcPr>
            <w:tcW w:w="21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《护士条例》</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市卫生健康委</w:t>
            </w:r>
          </w:p>
        </w:tc>
        <w:tc>
          <w:tcPr>
            <w:tcW w:w="123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区卫生健康委</w:t>
            </w:r>
          </w:p>
        </w:tc>
        <w:tc>
          <w:tcPr>
            <w:tcW w:w="9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line="587" w:lineRule="exact"/>
              <w:ind w:left="0" w:firstLine="0"/>
              <w:jc w:val="left"/>
              <w:textAlignment w:val="auto"/>
              <w:rPr>
                <w:rFonts w:hint="default" w:ascii="sans-serif" w:hAnsi="sans-serif" w:eastAsia="sans-serif" w:cs="sans-serif"/>
                <w:i w:val="0"/>
                <w:caps w:val="0"/>
                <w:color w:val="000000"/>
                <w:spacing w:val="0"/>
                <w:sz w:val="27"/>
                <w:szCs w:val="27"/>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0" w:right="0" w:firstLine="420"/>
        <w:jc w:val="left"/>
        <w:textAlignment w:val="auto"/>
        <w:rPr>
          <w:rFonts w:hint="default" w:ascii="sans-serif" w:hAnsi="sans-serif" w:eastAsia="sans-serif" w:cs="sans-serif"/>
          <w:i w:val="0"/>
          <w:caps w:val="0"/>
          <w:color w:val="000000"/>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720" w:right="0" w:firstLine="420"/>
        <w:jc w:val="left"/>
        <w:textAlignment w:val="auto"/>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333333"/>
          <w:spacing w:val="0"/>
          <w:sz w:val="32"/>
          <w:szCs w:val="32"/>
        </w:rPr>
        <w:t>二、 </w:t>
      </w:r>
      <w:r>
        <w:rPr>
          <w:rFonts w:hint="eastAsia" w:ascii="方正黑体_GBK" w:hAnsi="方正黑体_GBK" w:eastAsia="方正黑体_GBK" w:cs="方正黑体_GBK"/>
          <w:i w:val="0"/>
          <w:caps w:val="0"/>
          <w:color w:val="333333"/>
          <w:spacing w:val="0"/>
          <w:sz w:val="32"/>
          <w:szCs w:val="32"/>
        </w:rPr>
        <w:t>取消的行政许可事项目录（6项）</w:t>
      </w:r>
    </w:p>
    <w:tbl>
      <w:tblPr>
        <w:tblStyle w:val="3"/>
        <w:tblW w:w="836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
      <w:tblGrid>
        <w:gridCol w:w="720"/>
        <w:gridCol w:w="1042"/>
        <w:gridCol w:w="1650"/>
        <w:gridCol w:w="1112"/>
        <w:gridCol w:w="1083"/>
        <w:gridCol w:w="275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450" w:hRule="atLeast"/>
        </w:trPr>
        <w:tc>
          <w:tcPr>
            <w:tcW w:w="720" w:type="dxa"/>
            <w:tcBorders>
              <w:top w:val="single" w:color="808080" w:sz="6" w:space="0"/>
              <w:left w:val="single" w:color="808080"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rPr>
              <w:t>序号</w:t>
            </w:r>
          </w:p>
        </w:tc>
        <w:tc>
          <w:tcPr>
            <w:tcW w:w="1042" w:type="dxa"/>
            <w:tcBorders>
              <w:top w:val="single" w:color="808080"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rPr>
              <w:t>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rPr>
              <w:t>名称</w:t>
            </w:r>
          </w:p>
        </w:tc>
        <w:tc>
          <w:tcPr>
            <w:tcW w:w="1650" w:type="dxa"/>
            <w:tcBorders>
              <w:top w:val="single" w:color="808080"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rPr>
              <w:t>设定依据</w:t>
            </w:r>
          </w:p>
        </w:tc>
        <w:tc>
          <w:tcPr>
            <w:tcW w:w="1112" w:type="dxa"/>
            <w:tcBorders>
              <w:top w:val="single" w:color="808080"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rPr>
              <w:t>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rPr>
              <w:t>部门</w:t>
            </w:r>
          </w:p>
        </w:tc>
        <w:tc>
          <w:tcPr>
            <w:tcW w:w="1083" w:type="dxa"/>
            <w:tcBorders>
              <w:top w:val="single" w:color="808080"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rPr>
              <w:t>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rPr>
              <w:t>意见</w:t>
            </w:r>
          </w:p>
        </w:tc>
        <w:tc>
          <w:tcPr>
            <w:tcW w:w="2759" w:type="dxa"/>
            <w:tcBorders>
              <w:top w:val="single" w:color="808080"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rPr>
              <w:t>备</w:t>
            </w:r>
            <w:r>
              <w:rPr>
                <w:rFonts w:hint="eastAsia" w:ascii="微软雅黑" w:hAnsi="微软雅黑" w:eastAsia="微软雅黑" w:cs="微软雅黑"/>
                <w:i w:val="0"/>
                <w:caps w:val="0"/>
                <w:color w:val="333333"/>
                <w:spacing w:val="0"/>
                <w:sz w:val="24"/>
                <w:szCs w:val="24"/>
              </w:rPr>
              <w:t>  </w:t>
            </w:r>
            <w:r>
              <w:rPr>
                <w:rFonts w:hint="eastAsia" w:ascii="方正黑体_GBK" w:hAnsi="方正黑体_GBK" w:eastAsia="方正黑体_GBK" w:cs="方正黑体_GBK"/>
                <w:i w:val="0"/>
                <w:caps w:val="0"/>
                <w:color w:val="333333"/>
                <w:spacing w:val="0"/>
                <w:sz w:val="24"/>
                <w:szCs w:val="24"/>
              </w:rPr>
              <w:t>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2625" w:hRule="atLeast"/>
        </w:trPr>
        <w:tc>
          <w:tcPr>
            <w:tcW w:w="720" w:type="dxa"/>
            <w:tcBorders>
              <w:top w:val="single" w:color="auto" w:sz="6" w:space="0"/>
              <w:left w:val="single" w:color="808080"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微软雅黑" w:hAnsi="微软雅黑" w:eastAsia="微软雅黑" w:cs="微软雅黑"/>
                <w:i w:val="0"/>
                <w:caps w:val="0"/>
                <w:color w:val="333333"/>
                <w:spacing w:val="0"/>
                <w:sz w:val="24"/>
                <w:szCs w:val="24"/>
              </w:rPr>
              <w:t>1</w:t>
            </w:r>
          </w:p>
        </w:tc>
        <w:tc>
          <w:tcPr>
            <w:tcW w:w="1042"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rPr>
              <w:t>船员注册及服务簿签发</w:t>
            </w:r>
          </w:p>
        </w:tc>
        <w:tc>
          <w:tcPr>
            <w:tcW w:w="1650"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rPr>
              <w:t>《中华人民共和国船员条例》</w:t>
            </w:r>
          </w:p>
        </w:tc>
        <w:tc>
          <w:tcPr>
            <w:tcW w:w="1112"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rPr>
              <w:t>区港航局</w:t>
            </w:r>
          </w:p>
        </w:tc>
        <w:tc>
          <w:tcPr>
            <w:tcW w:w="1083"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rPr>
              <w:t>取消</w:t>
            </w:r>
          </w:p>
        </w:tc>
        <w:tc>
          <w:tcPr>
            <w:tcW w:w="2759"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420"/>
              <w:textAlignment w:val="auto"/>
            </w:pPr>
            <w:r>
              <w:rPr>
                <w:rFonts w:hint="eastAsia" w:ascii="方正仿宋_GBK" w:hAnsi="方正仿宋_GBK" w:eastAsia="方正仿宋_GBK" w:cs="方正仿宋_GBK"/>
                <w:i w:val="0"/>
                <w:caps w:val="0"/>
                <w:color w:val="333333"/>
                <w:spacing w:val="0"/>
                <w:sz w:val="24"/>
                <w:szCs w:val="24"/>
              </w:rPr>
              <w:t>取消审批后，对通过船员适任证书核发审查的船员直接发放《船员服务簿》。通过以下措施加强事中事后监管：</w:t>
            </w:r>
            <w:r>
              <w:rPr>
                <w:rFonts w:hint="default" w:ascii="Times New Roman" w:hAnsi="Times New Roman" w:eastAsia="sans-serif" w:cs="Times New Roman"/>
                <w:i w:val="0"/>
                <w:caps w:val="0"/>
                <w:color w:val="333333"/>
                <w:spacing w:val="0"/>
                <w:sz w:val="24"/>
                <w:szCs w:val="24"/>
              </w:rPr>
              <w:t>1</w:t>
            </w:r>
            <w:r>
              <w:rPr>
                <w:rFonts w:hint="eastAsia" w:ascii="方正仿宋_GBK" w:hAnsi="方正仿宋_GBK" w:eastAsia="方正仿宋_GBK" w:cs="方正仿宋_GBK"/>
                <w:i w:val="0"/>
                <w:caps w:val="0"/>
                <w:color w:val="333333"/>
                <w:spacing w:val="0"/>
                <w:sz w:val="24"/>
                <w:szCs w:val="24"/>
              </w:rPr>
              <w:t>．加强船员适任证书管理，厨师、服务员等不参加航行值班的船员纳入船员适任证书核发申请人员范围。</w:t>
            </w:r>
            <w:r>
              <w:rPr>
                <w:rFonts w:hint="default" w:ascii="Times New Roman" w:hAnsi="Times New Roman" w:eastAsia="sans-serif" w:cs="Times New Roman"/>
                <w:i w:val="0"/>
                <w:caps w:val="0"/>
                <w:color w:val="333333"/>
                <w:spacing w:val="0"/>
                <w:sz w:val="24"/>
                <w:szCs w:val="24"/>
              </w:rPr>
              <w:t>2</w:t>
            </w:r>
            <w:r>
              <w:rPr>
                <w:rFonts w:hint="eastAsia" w:ascii="方正仿宋_GBK" w:hAnsi="方正仿宋_GBK" w:eastAsia="方正仿宋_GBK" w:cs="方正仿宋_GBK"/>
                <w:i w:val="0"/>
                <w:caps w:val="0"/>
                <w:color w:val="333333"/>
                <w:spacing w:val="0"/>
                <w:sz w:val="24"/>
                <w:szCs w:val="24"/>
              </w:rPr>
              <w:t>．对年满</w:t>
            </w:r>
            <w:r>
              <w:rPr>
                <w:rFonts w:hint="default" w:ascii="Times New Roman" w:hAnsi="Times New Roman" w:eastAsia="sans-serif" w:cs="Times New Roman"/>
                <w:i w:val="0"/>
                <w:caps w:val="0"/>
                <w:color w:val="333333"/>
                <w:spacing w:val="0"/>
                <w:sz w:val="24"/>
                <w:szCs w:val="24"/>
              </w:rPr>
              <w:t>18</w:t>
            </w:r>
            <w:r>
              <w:rPr>
                <w:rFonts w:hint="eastAsia" w:ascii="方正仿宋_GBK" w:hAnsi="方正仿宋_GBK" w:eastAsia="方正仿宋_GBK" w:cs="方正仿宋_GBK"/>
                <w:i w:val="0"/>
                <w:caps w:val="0"/>
                <w:color w:val="333333"/>
                <w:spacing w:val="0"/>
                <w:sz w:val="24"/>
                <w:szCs w:val="24"/>
              </w:rPr>
              <w:t>周岁（在船实习、见习人员年满</w:t>
            </w:r>
            <w:r>
              <w:rPr>
                <w:rFonts w:hint="default" w:ascii="Times New Roman" w:hAnsi="Times New Roman" w:eastAsia="sans-serif" w:cs="Times New Roman"/>
                <w:i w:val="0"/>
                <w:caps w:val="0"/>
                <w:color w:val="333333"/>
                <w:spacing w:val="0"/>
                <w:sz w:val="24"/>
                <w:szCs w:val="24"/>
              </w:rPr>
              <w:t>16</w:t>
            </w:r>
            <w:r>
              <w:rPr>
                <w:rFonts w:hint="eastAsia" w:ascii="方正仿宋_GBK" w:hAnsi="方正仿宋_GBK" w:eastAsia="方正仿宋_GBK" w:cs="方正仿宋_GBK"/>
                <w:i w:val="0"/>
                <w:caps w:val="0"/>
                <w:color w:val="333333"/>
                <w:spacing w:val="0"/>
                <w:sz w:val="24"/>
                <w:szCs w:val="24"/>
              </w:rPr>
              <w:t>周岁）、符合船员健康要求、经船员基本安全培训并通过海事管理机构考试者，在签发相应船员适任证书时，直接发放《船员服务簿》。</w:t>
            </w:r>
            <w:r>
              <w:rPr>
                <w:rFonts w:hint="default" w:ascii="Times New Roman" w:hAnsi="Times New Roman" w:eastAsia="sans-serif" w:cs="Times New Roman"/>
                <w:i w:val="0"/>
                <w:caps w:val="0"/>
                <w:color w:val="333333"/>
                <w:spacing w:val="0"/>
                <w:sz w:val="24"/>
                <w:szCs w:val="24"/>
              </w:rPr>
              <w:t>3</w:t>
            </w:r>
            <w:r>
              <w:rPr>
                <w:rFonts w:hint="eastAsia" w:ascii="方正仿宋_GBK" w:hAnsi="方正仿宋_GBK" w:eastAsia="方正仿宋_GBK" w:cs="方正仿宋_GBK"/>
                <w:i w:val="0"/>
                <w:caps w:val="0"/>
                <w:color w:val="333333"/>
                <w:spacing w:val="0"/>
                <w:sz w:val="24"/>
                <w:szCs w:val="24"/>
              </w:rPr>
              <w:t>．新的《船员服务簿》作为船员个人持有的法定文书，主要承载船员档案功能，记录船员履职情况。加强船员持有《船员服务簿》和记录船员履职情况的监督检查。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3825" w:hRule="atLeast"/>
        </w:trPr>
        <w:tc>
          <w:tcPr>
            <w:tcW w:w="720" w:type="dxa"/>
            <w:tcBorders>
              <w:top w:val="single" w:color="auto" w:sz="6" w:space="0"/>
              <w:left w:val="single" w:color="808080"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仿宋_GBK" w:hAnsi="方正仿宋_GBK" w:eastAsia="方正仿宋_GBK" w:cs="方正仿宋_GBK"/>
                <w:i w:val="0"/>
                <w:caps w:val="0"/>
                <w:color w:val="333333"/>
                <w:spacing w:val="0"/>
                <w:sz w:val="24"/>
                <w:szCs w:val="24"/>
              </w:rPr>
              <w:t>2</w:t>
            </w:r>
          </w:p>
        </w:tc>
        <w:tc>
          <w:tcPr>
            <w:tcW w:w="1042"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rPr>
              <w:t>道路货物运输站（场）经营许可</w:t>
            </w:r>
          </w:p>
        </w:tc>
        <w:tc>
          <w:tcPr>
            <w:tcW w:w="1650"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rPr>
              <w:t>《中华人民共和国道路运输条例》</w:t>
            </w:r>
          </w:p>
        </w:tc>
        <w:tc>
          <w:tcPr>
            <w:tcW w:w="1112"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rPr>
              <w:t>区运管处</w:t>
            </w:r>
          </w:p>
        </w:tc>
        <w:tc>
          <w:tcPr>
            <w:tcW w:w="1083"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rPr>
              <w:t>取消</w:t>
            </w:r>
          </w:p>
        </w:tc>
        <w:tc>
          <w:tcPr>
            <w:tcW w:w="2759"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420"/>
              <w:textAlignment w:val="auto"/>
            </w:pPr>
            <w:r>
              <w:rPr>
                <w:rFonts w:hint="eastAsia" w:ascii="方正仿宋_GBK" w:hAnsi="方正仿宋_GBK" w:eastAsia="方正仿宋_GBK" w:cs="方正仿宋_GBK"/>
                <w:i w:val="0"/>
                <w:caps w:val="0"/>
                <w:color w:val="333333"/>
                <w:spacing w:val="0"/>
                <w:sz w:val="24"/>
                <w:szCs w:val="24"/>
              </w:rPr>
              <w:t>取消审批后，通过以下措施加强事中事后监管：</w:t>
            </w:r>
            <w:r>
              <w:rPr>
                <w:rFonts w:hint="default" w:ascii="Times New Roman" w:hAnsi="Times New Roman" w:eastAsia="sans-serif" w:cs="Times New Roman"/>
                <w:i w:val="0"/>
                <w:caps w:val="0"/>
                <w:color w:val="333333"/>
                <w:spacing w:val="0"/>
                <w:sz w:val="24"/>
                <w:szCs w:val="24"/>
              </w:rPr>
              <w:t>1</w:t>
            </w:r>
            <w:r>
              <w:rPr>
                <w:rFonts w:hint="eastAsia" w:ascii="方正仿宋_GBK" w:hAnsi="方正仿宋_GBK" w:eastAsia="方正仿宋_GBK" w:cs="方正仿宋_GBK"/>
                <w:i w:val="0"/>
                <w:caps w:val="0"/>
                <w:color w:val="333333"/>
                <w:spacing w:val="0"/>
                <w:sz w:val="24"/>
                <w:szCs w:val="24"/>
              </w:rPr>
              <w:t>．通过“双随机、一公开”监管等方式，加强对道路货物运输站（场）生产经营的监督管理，依法查处违反道路货物运输经营管理规定的行为。</w:t>
            </w:r>
            <w:r>
              <w:rPr>
                <w:rFonts w:hint="default" w:ascii="Times New Roman" w:hAnsi="Times New Roman" w:eastAsia="sans-serif" w:cs="Times New Roman"/>
                <w:i w:val="0"/>
                <w:caps w:val="0"/>
                <w:color w:val="333333"/>
                <w:spacing w:val="0"/>
                <w:sz w:val="24"/>
                <w:szCs w:val="24"/>
              </w:rPr>
              <w:t>2</w:t>
            </w:r>
            <w:r>
              <w:rPr>
                <w:rFonts w:hint="eastAsia" w:ascii="方正仿宋_GBK" w:hAnsi="方正仿宋_GBK" w:eastAsia="方正仿宋_GBK" w:cs="方正仿宋_GBK"/>
                <w:i w:val="0"/>
                <w:caps w:val="0"/>
                <w:color w:val="333333"/>
                <w:spacing w:val="0"/>
                <w:sz w:val="24"/>
                <w:szCs w:val="24"/>
              </w:rPr>
              <w:t>．实施道路货物运输站（场）相关标准，推动站（场）建设运营标准化。</w:t>
            </w:r>
            <w:r>
              <w:rPr>
                <w:rFonts w:hint="default" w:ascii="Times New Roman" w:hAnsi="Times New Roman" w:eastAsia="sans-serif" w:cs="Times New Roman"/>
                <w:i w:val="0"/>
                <w:caps w:val="0"/>
                <w:color w:val="333333"/>
                <w:spacing w:val="0"/>
                <w:sz w:val="24"/>
                <w:szCs w:val="24"/>
              </w:rPr>
              <w:t>3</w:t>
            </w:r>
            <w:r>
              <w:rPr>
                <w:rFonts w:hint="eastAsia" w:ascii="方正仿宋_GBK" w:hAnsi="方正仿宋_GBK" w:eastAsia="方正仿宋_GBK" w:cs="方正仿宋_GBK"/>
                <w:i w:val="0"/>
                <w:caps w:val="0"/>
                <w:color w:val="333333"/>
                <w:spacing w:val="0"/>
                <w:sz w:val="24"/>
                <w:szCs w:val="24"/>
              </w:rPr>
              <w:t>．加强与市场监管、住房城乡建设、应急管理、公安等部门关于道路货物运输站（场）相关信息共享。</w:t>
            </w:r>
            <w:r>
              <w:rPr>
                <w:rFonts w:hint="default" w:ascii="Times New Roman" w:hAnsi="Times New Roman" w:eastAsia="sans-serif" w:cs="Times New Roman"/>
                <w:i w:val="0"/>
                <w:caps w:val="0"/>
                <w:color w:val="333333"/>
                <w:spacing w:val="0"/>
                <w:sz w:val="24"/>
                <w:szCs w:val="24"/>
              </w:rPr>
              <w:t>4</w:t>
            </w:r>
            <w:r>
              <w:rPr>
                <w:rFonts w:hint="eastAsia" w:ascii="方正仿宋_GBK" w:hAnsi="方正仿宋_GBK" w:eastAsia="方正仿宋_GBK" w:cs="方正仿宋_GBK"/>
                <w:i w:val="0"/>
                <w:caps w:val="0"/>
                <w:color w:val="333333"/>
                <w:spacing w:val="0"/>
                <w:sz w:val="24"/>
                <w:szCs w:val="24"/>
              </w:rPr>
              <w:t>．加强对道路货物运输站（场）经营业户的信用监管，向社会公开失信企业名单，并实施联合惩戒。</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5535" w:hRule="atLeast"/>
        </w:trPr>
        <w:tc>
          <w:tcPr>
            <w:tcW w:w="720" w:type="dxa"/>
            <w:tcBorders>
              <w:top w:val="single" w:color="auto" w:sz="6" w:space="0"/>
              <w:left w:val="single" w:color="808080"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仿宋_GBK" w:hAnsi="方正仿宋_GBK" w:eastAsia="方正仿宋_GBK" w:cs="方正仿宋_GBK"/>
                <w:i w:val="0"/>
                <w:caps w:val="0"/>
                <w:color w:val="333333"/>
                <w:spacing w:val="0"/>
                <w:sz w:val="24"/>
                <w:szCs w:val="24"/>
              </w:rPr>
              <w:t>3</w:t>
            </w:r>
          </w:p>
        </w:tc>
        <w:tc>
          <w:tcPr>
            <w:tcW w:w="1042"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rPr>
              <w:t>名称预先核准</w:t>
            </w:r>
          </w:p>
        </w:tc>
        <w:tc>
          <w:tcPr>
            <w:tcW w:w="1650"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rPr>
              <w:t>《中华人民共和国公司登记管理条例》《中华人民共和国企业法人登记管理条例》《企业名称登记管理规定》《个体工商户条例》《农民专业合作社登记管理条例》</w:t>
            </w:r>
          </w:p>
        </w:tc>
        <w:tc>
          <w:tcPr>
            <w:tcW w:w="1112"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rPr>
              <w:t>区市场监管局</w:t>
            </w:r>
          </w:p>
        </w:tc>
        <w:tc>
          <w:tcPr>
            <w:tcW w:w="1083"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rPr>
              <w:t>取消</w:t>
            </w:r>
          </w:p>
        </w:tc>
        <w:tc>
          <w:tcPr>
            <w:tcW w:w="2759"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420"/>
              <w:textAlignment w:val="auto"/>
            </w:pPr>
            <w:r>
              <w:rPr>
                <w:rFonts w:hint="eastAsia" w:ascii="方正仿宋_GBK" w:hAnsi="方正仿宋_GBK" w:eastAsia="方正仿宋_GBK" w:cs="方正仿宋_GBK"/>
                <w:i w:val="0"/>
                <w:caps w:val="0"/>
                <w:color w:val="333333"/>
                <w:spacing w:val="0"/>
                <w:sz w:val="24"/>
                <w:szCs w:val="24"/>
              </w:rPr>
              <w:t>取消审批后，改为企业（包括个体工商户、农民专业合作社，下同）自主申报名称，市场监管部门在企业注册登记时核准名称。市场监管部门通过以下措施优化服务、加强事中事后监管：</w:t>
            </w:r>
            <w:r>
              <w:rPr>
                <w:rFonts w:hint="default" w:ascii="Times New Roman" w:hAnsi="Times New Roman" w:eastAsia="sans-serif" w:cs="Times New Roman"/>
                <w:i w:val="0"/>
                <w:caps w:val="0"/>
                <w:color w:val="333333"/>
                <w:spacing w:val="0"/>
                <w:sz w:val="24"/>
                <w:szCs w:val="24"/>
              </w:rPr>
              <w:t>1</w:t>
            </w:r>
            <w:r>
              <w:rPr>
                <w:rFonts w:hint="eastAsia" w:ascii="方正仿宋_GBK" w:hAnsi="方正仿宋_GBK" w:eastAsia="方正仿宋_GBK" w:cs="方正仿宋_GBK"/>
                <w:i w:val="0"/>
                <w:caps w:val="0"/>
                <w:color w:val="333333"/>
                <w:spacing w:val="0"/>
                <w:sz w:val="24"/>
                <w:szCs w:val="24"/>
              </w:rPr>
              <w:t>．向社会公开企业名称库，引导企业自行拟定符合规则要求的名称。</w:t>
            </w:r>
            <w:r>
              <w:rPr>
                <w:rFonts w:hint="default" w:ascii="Times New Roman" w:hAnsi="Times New Roman" w:eastAsia="sans-serif" w:cs="Times New Roman"/>
                <w:i w:val="0"/>
                <w:caps w:val="0"/>
                <w:color w:val="333333"/>
                <w:spacing w:val="0"/>
                <w:sz w:val="24"/>
                <w:szCs w:val="24"/>
              </w:rPr>
              <w:t>2</w:t>
            </w:r>
            <w:r>
              <w:rPr>
                <w:rFonts w:hint="eastAsia" w:ascii="方正仿宋_GBK" w:hAnsi="方正仿宋_GBK" w:eastAsia="方正仿宋_GBK" w:cs="方正仿宋_GBK"/>
                <w:i w:val="0"/>
                <w:caps w:val="0"/>
                <w:color w:val="333333"/>
                <w:spacing w:val="0"/>
                <w:sz w:val="24"/>
                <w:szCs w:val="24"/>
              </w:rPr>
              <w:t>．建立企业名称自主申报制度，明确企业名称禁限用规则，完善企业名称争议处理机制，加强对企业名称使用的监督管理。</w:t>
            </w:r>
            <w:r>
              <w:rPr>
                <w:rFonts w:hint="default" w:ascii="Times New Roman" w:hAnsi="Times New Roman" w:eastAsia="sans-serif" w:cs="Times New Roman"/>
                <w:i w:val="0"/>
                <w:caps w:val="0"/>
                <w:color w:val="333333"/>
                <w:spacing w:val="0"/>
                <w:sz w:val="24"/>
                <w:szCs w:val="24"/>
              </w:rPr>
              <w:t>3</w:t>
            </w:r>
            <w:r>
              <w:rPr>
                <w:rFonts w:hint="eastAsia" w:ascii="方正仿宋_GBK" w:hAnsi="方正仿宋_GBK" w:eastAsia="方正仿宋_GBK" w:cs="方正仿宋_GBK"/>
                <w:i w:val="0"/>
                <w:caps w:val="0"/>
                <w:color w:val="333333"/>
                <w:spacing w:val="0"/>
                <w:sz w:val="24"/>
                <w:szCs w:val="24"/>
              </w:rPr>
              <w:t>．简化优化工商登记程序，实行“一次性告知”，提高企业登记办理效率，保障企业自主选择名称。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6225" w:hRule="atLeast"/>
        </w:trPr>
        <w:tc>
          <w:tcPr>
            <w:tcW w:w="720" w:type="dxa"/>
            <w:tcBorders>
              <w:top w:val="single" w:color="auto" w:sz="6" w:space="0"/>
              <w:left w:val="single" w:color="808080"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仿宋_GBK" w:hAnsi="方正仿宋_GBK" w:eastAsia="方正仿宋_GBK" w:cs="方正仿宋_GBK"/>
                <w:i w:val="0"/>
                <w:caps w:val="0"/>
                <w:color w:val="333333"/>
                <w:spacing w:val="0"/>
                <w:sz w:val="24"/>
                <w:szCs w:val="24"/>
              </w:rPr>
              <w:t>4</w:t>
            </w:r>
          </w:p>
        </w:tc>
        <w:tc>
          <w:tcPr>
            <w:tcW w:w="1042"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rPr>
              <w:t>养老机构设立许可（含分支机构，涉外投资、市级财政投资兴办除外）</w:t>
            </w:r>
          </w:p>
        </w:tc>
        <w:tc>
          <w:tcPr>
            <w:tcW w:w="1650"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rPr>
              <w:t>《中华人民共和国老年人权益保障法》第四十四条；《养老机构设立许可办法》</w:t>
            </w:r>
            <w:r>
              <w:rPr>
                <w:rFonts w:hint="default" w:ascii="Times New Roman" w:hAnsi="Times New Roman" w:eastAsia="sans-serif" w:cs="Times New Roman"/>
                <w:i w:val="0"/>
                <w:caps w:val="0"/>
                <w:color w:val="333333"/>
                <w:spacing w:val="0"/>
                <w:sz w:val="24"/>
                <w:szCs w:val="24"/>
              </w:rPr>
              <w:t>(</w:t>
            </w:r>
            <w:r>
              <w:rPr>
                <w:rFonts w:hint="eastAsia" w:ascii="方正仿宋_GBK" w:hAnsi="方正仿宋_GBK" w:eastAsia="方正仿宋_GBK" w:cs="方正仿宋_GBK"/>
                <w:i w:val="0"/>
                <w:caps w:val="0"/>
                <w:color w:val="333333"/>
                <w:spacing w:val="0"/>
                <w:sz w:val="24"/>
                <w:szCs w:val="24"/>
              </w:rPr>
              <w:t>民政部令第</w:t>
            </w:r>
            <w:r>
              <w:rPr>
                <w:rFonts w:hint="default" w:ascii="Times New Roman" w:hAnsi="Times New Roman" w:eastAsia="sans-serif" w:cs="Times New Roman"/>
                <w:i w:val="0"/>
                <w:caps w:val="0"/>
                <w:color w:val="333333"/>
                <w:spacing w:val="0"/>
                <w:sz w:val="24"/>
                <w:szCs w:val="24"/>
              </w:rPr>
              <w:t>48</w:t>
            </w:r>
            <w:r>
              <w:rPr>
                <w:rFonts w:hint="eastAsia" w:ascii="方正仿宋_GBK" w:hAnsi="方正仿宋_GBK" w:eastAsia="方正仿宋_GBK" w:cs="方正仿宋_GBK"/>
                <w:i w:val="0"/>
                <w:caps w:val="0"/>
                <w:color w:val="333333"/>
                <w:spacing w:val="0"/>
                <w:sz w:val="24"/>
                <w:szCs w:val="24"/>
              </w:rPr>
              <w:t>号</w:t>
            </w:r>
            <w:r>
              <w:rPr>
                <w:rFonts w:hint="default" w:ascii="Times New Roman" w:hAnsi="Times New Roman" w:eastAsia="sans-serif" w:cs="Times New Roman"/>
                <w:i w:val="0"/>
                <w:caps w:val="0"/>
                <w:color w:val="333333"/>
                <w:spacing w:val="0"/>
                <w:sz w:val="24"/>
                <w:szCs w:val="24"/>
              </w:rPr>
              <w:t>)</w:t>
            </w:r>
            <w:r>
              <w:rPr>
                <w:rFonts w:hint="eastAsia" w:ascii="方正仿宋_GBK" w:hAnsi="方正仿宋_GBK" w:eastAsia="方正仿宋_GBK" w:cs="方正仿宋_GBK"/>
                <w:i w:val="0"/>
                <w:caps w:val="0"/>
                <w:color w:val="333333"/>
                <w:spacing w:val="0"/>
                <w:sz w:val="24"/>
                <w:szCs w:val="24"/>
              </w:rPr>
              <w:t>第七条；《重庆市养老机构设立许可实施办法》第四条第二款；《养老机构设立许可办法》</w:t>
            </w:r>
            <w:r>
              <w:rPr>
                <w:rFonts w:hint="default" w:ascii="Times New Roman" w:hAnsi="Times New Roman" w:eastAsia="sans-serif" w:cs="Times New Roman"/>
                <w:i w:val="0"/>
                <w:caps w:val="0"/>
                <w:color w:val="333333"/>
                <w:spacing w:val="0"/>
                <w:sz w:val="24"/>
                <w:szCs w:val="24"/>
              </w:rPr>
              <w:t>(</w:t>
            </w:r>
            <w:r>
              <w:rPr>
                <w:rFonts w:hint="eastAsia" w:ascii="方正仿宋_GBK" w:hAnsi="方正仿宋_GBK" w:eastAsia="方正仿宋_GBK" w:cs="方正仿宋_GBK"/>
                <w:i w:val="0"/>
                <w:caps w:val="0"/>
                <w:color w:val="333333"/>
                <w:spacing w:val="0"/>
                <w:sz w:val="24"/>
                <w:szCs w:val="24"/>
              </w:rPr>
              <w:t>民政部令第</w:t>
            </w:r>
            <w:r>
              <w:rPr>
                <w:rFonts w:hint="default" w:ascii="Times New Roman" w:hAnsi="Times New Roman" w:eastAsia="sans-serif" w:cs="Times New Roman"/>
                <w:i w:val="0"/>
                <w:caps w:val="0"/>
                <w:color w:val="333333"/>
                <w:spacing w:val="0"/>
                <w:sz w:val="24"/>
                <w:szCs w:val="24"/>
              </w:rPr>
              <w:t>48</w:t>
            </w:r>
            <w:r>
              <w:rPr>
                <w:rFonts w:hint="eastAsia" w:ascii="方正仿宋_GBK" w:hAnsi="方正仿宋_GBK" w:eastAsia="方正仿宋_GBK" w:cs="方正仿宋_GBK"/>
                <w:i w:val="0"/>
                <w:caps w:val="0"/>
                <w:color w:val="333333"/>
                <w:spacing w:val="0"/>
                <w:sz w:val="24"/>
                <w:szCs w:val="24"/>
              </w:rPr>
              <w:t>号</w:t>
            </w:r>
            <w:r>
              <w:rPr>
                <w:rFonts w:hint="default" w:ascii="Times New Roman" w:hAnsi="Times New Roman" w:eastAsia="sans-serif" w:cs="Times New Roman"/>
                <w:i w:val="0"/>
                <w:caps w:val="0"/>
                <w:color w:val="333333"/>
                <w:spacing w:val="0"/>
                <w:sz w:val="24"/>
                <w:szCs w:val="24"/>
              </w:rPr>
              <w:t>) </w:t>
            </w:r>
            <w:r>
              <w:rPr>
                <w:rFonts w:hint="eastAsia" w:ascii="方正仿宋_GBK" w:hAnsi="方正仿宋_GBK" w:eastAsia="方正仿宋_GBK" w:cs="方正仿宋_GBK"/>
                <w:i w:val="0"/>
                <w:caps w:val="0"/>
                <w:color w:val="333333"/>
                <w:spacing w:val="0"/>
                <w:sz w:val="24"/>
                <w:szCs w:val="24"/>
              </w:rPr>
              <w:t>第十七条</w:t>
            </w:r>
          </w:p>
        </w:tc>
        <w:tc>
          <w:tcPr>
            <w:tcW w:w="1112"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rPr>
              <w:t>区民政局</w:t>
            </w:r>
          </w:p>
        </w:tc>
        <w:tc>
          <w:tcPr>
            <w:tcW w:w="1083"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rPr>
              <w:t>取消</w:t>
            </w:r>
          </w:p>
        </w:tc>
        <w:tc>
          <w:tcPr>
            <w:tcW w:w="2759"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420"/>
              <w:textAlignment w:val="auto"/>
            </w:pPr>
            <w:r>
              <w:rPr>
                <w:rFonts w:hint="eastAsia" w:ascii="方正仿宋_GBK" w:hAnsi="方正仿宋_GBK" w:eastAsia="方正仿宋_GBK" w:cs="方正仿宋_GBK"/>
                <w:i w:val="0"/>
                <w:caps w:val="0"/>
                <w:color w:val="333333"/>
                <w:spacing w:val="0"/>
                <w:sz w:val="24"/>
                <w:szCs w:val="24"/>
              </w:rPr>
              <w:t>取消审批后，根据重庆市民政局《关于贯彻落实新修改的〈中华人民共和国老年人权益保障法〉和〈重庆市养老机构管理办法〉的通知》（渝民发〔</w:t>
            </w:r>
            <w:r>
              <w:rPr>
                <w:rFonts w:hint="default" w:ascii="Times New Roman" w:hAnsi="Times New Roman" w:eastAsia="sans-serif" w:cs="Times New Roman"/>
                <w:i w:val="0"/>
                <w:caps w:val="0"/>
                <w:color w:val="333333"/>
                <w:spacing w:val="0"/>
                <w:sz w:val="24"/>
                <w:szCs w:val="24"/>
              </w:rPr>
              <w:t>2019</w:t>
            </w:r>
            <w:r>
              <w:rPr>
                <w:rFonts w:hint="eastAsia" w:ascii="方正仿宋_GBK" w:hAnsi="方正仿宋_GBK" w:eastAsia="方正仿宋_GBK" w:cs="方正仿宋_GBK"/>
                <w:i w:val="0"/>
                <w:caps w:val="0"/>
                <w:color w:val="333333"/>
                <w:spacing w:val="0"/>
                <w:sz w:val="24"/>
                <w:szCs w:val="24"/>
              </w:rPr>
              <w:t>〕</w:t>
            </w:r>
            <w:r>
              <w:rPr>
                <w:rFonts w:hint="default" w:ascii="Times New Roman" w:hAnsi="Times New Roman" w:eastAsia="sans-serif" w:cs="Times New Roman"/>
                <w:i w:val="0"/>
                <w:caps w:val="0"/>
                <w:color w:val="333333"/>
                <w:spacing w:val="0"/>
                <w:sz w:val="24"/>
                <w:szCs w:val="24"/>
              </w:rPr>
              <w:t>7</w:t>
            </w:r>
            <w:r>
              <w:rPr>
                <w:rFonts w:hint="eastAsia" w:ascii="方正仿宋_GBK" w:hAnsi="方正仿宋_GBK" w:eastAsia="方正仿宋_GBK" w:cs="方正仿宋_GBK"/>
                <w:i w:val="0"/>
                <w:caps w:val="0"/>
                <w:color w:val="333333"/>
                <w:spacing w:val="0"/>
                <w:sz w:val="24"/>
                <w:szCs w:val="24"/>
              </w:rPr>
              <w:t>号）精神：设立公益性养老机构，符合事业单位登记规定的，向事业单位管理机关办理登记手续；符合社会组织登记条件的，向民政局社会组织登记部门办理登记手续；设立经营性养老机构，应当在市场监督管理部门办理登记。养老机构登记后即可开展服务活动，并向所在区县（自治县，以下简称区县）民政部门备案。原设立许可的养老机构在有效期内的仍然有效，无须登记备案，设立许可证有效期届满后，不再换发许可证，执行登记备案制度。社区养老服务中心（站）符合养老机构登记备案条件的，应予以登记备案，未达到条件的，应作为基本公共服务设施加强日常运营管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945" w:hRule="atLeast"/>
        </w:trPr>
        <w:tc>
          <w:tcPr>
            <w:tcW w:w="720" w:type="dxa"/>
            <w:tcBorders>
              <w:top w:val="single" w:color="auto" w:sz="6" w:space="0"/>
              <w:left w:val="single" w:color="808080"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仿宋_GBK" w:hAnsi="方正仿宋_GBK" w:eastAsia="方正仿宋_GBK" w:cs="方正仿宋_GBK"/>
                <w:i w:val="0"/>
                <w:caps w:val="0"/>
                <w:color w:val="333333"/>
                <w:spacing w:val="0"/>
                <w:sz w:val="24"/>
                <w:szCs w:val="24"/>
              </w:rPr>
              <w:t>5</w:t>
            </w:r>
          </w:p>
        </w:tc>
        <w:tc>
          <w:tcPr>
            <w:tcW w:w="1042"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rPr>
              <w:t>养老机构变更许可</w:t>
            </w:r>
          </w:p>
        </w:tc>
        <w:tc>
          <w:tcPr>
            <w:tcW w:w="1650"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rPr>
              <w:t>《养老机构设立许可办法》</w:t>
            </w:r>
            <w:r>
              <w:rPr>
                <w:rFonts w:hint="default" w:ascii="Times New Roman" w:hAnsi="Times New Roman" w:eastAsia="sans-serif" w:cs="Times New Roman"/>
                <w:i w:val="0"/>
                <w:caps w:val="0"/>
                <w:color w:val="333333"/>
                <w:spacing w:val="0"/>
                <w:sz w:val="24"/>
                <w:szCs w:val="24"/>
              </w:rPr>
              <w:t>(</w:t>
            </w:r>
            <w:r>
              <w:rPr>
                <w:rFonts w:hint="eastAsia" w:ascii="方正仿宋_GBK" w:hAnsi="方正仿宋_GBK" w:eastAsia="方正仿宋_GBK" w:cs="方正仿宋_GBK"/>
                <w:i w:val="0"/>
                <w:caps w:val="0"/>
                <w:color w:val="333333"/>
                <w:spacing w:val="0"/>
                <w:sz w:val="24"/>
                <w:szCs w:val="24"/>
              </w:rPr>
              <w:t>民政部令第</w:t>
            </w:r>
            <w:r>
              <w:rPr>
                <w:rFonts w:hint="default" w:ascii="Times New Roman" w:hAnsi="Times New Roman" w:eastAsia="sans-serif" w:cs="Times New Roman"/>
                <w:i w:val="0"/>
                <w:caps w:val="0"/>
                <w:color w:val="333333"/>
                <w:spacing w:val="0"/>
                <w:sz w:val="24"/>
                <w:szCs w:val="24"/>
              </w:rPr>
              <w:t>48</w:t>
            </w:r>
            <w:r>
              <w:rPr>
                <w:rFonts w:hint="eastAsia" w:ascii="方正仿宋_GBK" w:hAnsi="方正仿宋_GBK" w:eastAsia="方正仿宋_GBK" w:cs="方正仿宋_GBK"/>
                <w:i w:val="0"/>
                <w:caps w:val="0"/>
                <w:color w:val="333333"/>
                <w:spacing w:val="0"/>
                <w:sz w:val="24"/>
                <w:szCs w:val="24"/>
              </w:rPr>
              <w:t>号</w:t>
            </w:r>
            <w:r>
              <w:rPr>
                <w:rFonts w:hint="default" w:ascii="Times New Roman" w:hAnsi="Times New Roman" w:eastAsia="sans-serif" w:cs="Times New Roman"/>
                <w:i w:val="0"/>
                <w:caps w:val="0"/>
                <w:color w:val="333333"/>
                <w:spacing w:val="0"/>
                <w:sz w:val="24"/>
                <w:szCs w:val="24"/>
              </w:rPr>
              <w:t>) </w:t>
            </w:r>
            <w:r>
              <w:rPr>
                <w:rFonts w:hint="eastAsia" w:ascii="方正仿宋_GBK" w:hAnsi="方正仿宋_GBK" w:eastAsia="方正仿宋_GBK" w:cs="方正仿宋_GBK"/>
                <w:i w:val="0"/>
                <w:caps w:val="0"/>
                <w:color w:val="333333"/>
                <w:spacing w:val="0"/>
                <w:sz w:val="24"/>
                <w:szCs w:val="24"/>
              </w:rPr>
              <w:t>第十八条</w:t>
            </w:r>
          </w:p>
        </w:tc>
        <w:tc>
          <w:tcPr>
            <w:tcW w:w="1112"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rPr>
              <w:t>区民政局</w:t>
            </w:r>
          </w:p>
        </w:tc>
        <w:tc>
          <w:tcPr>
            <w:tcW w:w="1083"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rPr>
              <w:t>取消</w:t>
            </w:r>
          </w:p>
        </w:tc>
        <w:tc>
          <w:tcPr>
            <w:tcW w:w="2759"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420"/>
              <w:textAlignment w:val="auto"/>
            </w:pPr>
            <w:r>
              <w:rPr>
                <w:rFonts w:hint="eastAsia" w:ascii="方正仿宋_GBK" w:hAnsi="方正仿宋_GBK" w:eastAsia="方正仿宋_GBK" w:cs="方正仿宋_GBK"/>
                <w:i w:val="0"/>
                <w:caps w:val="0"/>
                <w:color w:val="333333"/>
                <w:spacing w:val="0"/>
                <w:sz w:val="24"/>
                <w:szCs w:val="24"/>
              </w:rPr>
              <w:t>取消审批后，根据重庆市民政局《关于贯彻落实新修改的〈中华人民共和国老年人权益保障法〉和〈重庆市养老机构管理办法〉的通知》（渝民发〔</w:t>
            </w:r>
            <w:r>
              <w:rPr>
                <w:rFonts w:hint="default" w:ascii="Times New Roman" w:hAnsi="Times New Roman" w:eastAsia="sans-serif" w:cs="Times New Roman"/>
                <w:i w:val="0"/>
                <w:caps w:val="0"/>
                <w:color w:val="333333"/>
                <w:spacing w:val="0"/>
                <w:sz w:val="24"/>
                <w:szCs w:val="24"/>
              </w:rPr>
              <w:t>2019</w:t>
            </w:r>
            <w:r>
              <w:rPr>
                <w:rFonts w:hint="eastAsia" w:ascii="方正仿宋_GBK" w:hAnsi="方正仿宋_GBK" w:eastAsia="方正仿宋_GBK" w:cs="方正仿宋_GBK"/>
                <w:i w:val="0"/>
                <w:caps w:val="0"/>
                <w:color w:val="333333"/>
                <w:spacing w:val="0"/>
                <w:sz w:val="24"/>
                <w:szCs w:val="24"/>
              </w:rPr>
              <w:t>〕</w:t>
            </w:r>
            <w:r>
              <w:rPr>
                <w:rFonts w:hint="default" w:ascii="Times New Roman" w:hAnsi="Times New Roman" w:eastAsia="sans-serif" w:cs="Times New Roman"/>
                <w:i w:val="0"/>
                <w:caps w:val="0"/>
                <w:color w:val="333333"/>
                <w:spacing w:val="0"/>
                <w:sz w:val="24"/>
                <w:szCs w:val="24"/>
              </w:rPr>
              <w:t>7</w:t>
            </w:r>
            <w:r>
              <w:rPr>
                <w:rFonts w:hint="eastAsia" w:ascii="方正仿宋_GBK" w:hAnsi="方正仿宋_GBK" w:eastAsia="方正仿宋_GBK" w:cs="方正仿宋_GBK"/>
                <w:i w:val="0"/>
                <w:caps w:val="0"/>
                <w:color w:val="333333"/>
                <w:spacing w:val="0"/>
                <w:sz w:val="24"/>
                <w:szCs w:val="24"/>
              </w:rPr>
              <w:t>号）精神：设立公益性养老机构，符合事业单位登记规定的，向事业单位管理机关办理登记手续；符合社会组织登记条件的，向民政局社会组织登记部门办理登记手续；设立经营性养老机构，应当在市场监督管理部门办理登记。养老机构登记后即可开展服务活动，并向所在区县（自治县，以下简称区县）民政部门备案。原设立许可的养老机构在有效期内的仍然有效，无须登记备案，设立许可证有效期届满后，不再换发许可证，执行登记备案制度。社区养老服务中心（站）符合养老机构登记备案条件的，应予以登记备案，未达到条件的，应作为基本公共服务设施加强日常运营管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2955" w:hRule="atLeast"/>
        </w:trPr>
        <w:tc>
          <w:tcPr>
            <w:tcW w:w="720" w:type="dxa"/>
            <w:tcBorders>
              <w:top w:val="single" w:color="auto" w:sz="6" w:space="0"/>
              <w:left w:val="single" w:color="808080"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仿宋_GBK" w:hAnsi="方正仿宋_GBK" w:eastAsia="方正仿宋_GBK" w:cs="方正仿宋_GBK"/>
                <w:i w:val="0"/>
                <w:caps w:val="0"/>
                <w:color w:val="333333"/>
                <w:spacing w:val="0"/>
                <w:sz w:val="24"/>
                <w:szCs w:val="24"/>
              </w:rPr>
              <w:t>6</w:t>
            </w:r>
          </w:p>
        </w:tc>
        <w:tc>
          <w:tcPr>
            <w:tcW w:w="1042"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rPr>
              <w:t>养老机构注销许可</w:t>
            </w:r>
          </w:p>
        </w:tc>
        <w:tc>
          <w:tcPr>
            <w:tcW w:w="1650"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rPr>
              <w:t>《养老机构设立许可法》</w:t>
            </w:r>
            <w:r>
              <w:rPr>
                <w:rFonts w:hint="default" w:ascii="Times New Roman" w:hAnsi="Times New Roman" w:eastAsia="sans-serif" w:cs="Times New Roman"/>
                <w:i w:val="0"/>
                <w:caps w:val="0"/>
                <w:color w:val="333333"/>
                <w:spacing w:val="0"/>
                <w:sz w:val="24"/>
                <w:szCs w:val="24"/>
              </w:rPr>
              <w:t>(</w:t>
            </w:r>
            <w:r>
              <w:rPr>
                <w:rFonts w:hint="eastAsia" w:ascii="方正仿宋_GBK" w:hAnsi="方正仿宋_GBK" w:eastAsia="方正仿宋_GBK" w:cs="方正仿宋_GBK"/>
                <w:i w:val="0"/>
                <w:caps w:val="0"/>
                <w:color w:val="333333"/>
                <w:spacing w:val="0"/>
                <w:sz w:val="24"/>
                <w:szCs w:val="24"/>
              </w:rPr>
              <w:t>民政部令第</w:t>
            </w:r>
            <w:r>
              <w:rPr>
                <w:rFonts w:hint="default" w:ascii="Times New Roman" w:hAnsi="Times New Roman" w:eastAsia="sans-serif" w:cs="Times New Roman"/>
                <w:i w:val="0"/>
                <w:caps w:val="0"/>
                <w:color w:val="333333"/>
                <w:spacing w:val="0"/>
                <w:sz w:val="24"/>
                <w:szCs w:val="24"/>
              </w:rPr>
              <w:t>48</w:t>
            </w:r>
            <w:r>
              <w:rPr>
                <w:rFonts w:hint="eastAsia" w:ascii="方正仿宋_GBK" w:hAnsi="方正仿宋_GBK" w:eastAsia="方正仿宋_GBK" w:cs="方正仿宋_GBK"/>
                <w:i w:val="0"/>
                <w:caps w:val="0"/>
                <w:color w:val="333333"/>
                <w:spacing w:val="0"/>
                <w:sz w:val="24"/>
                <w:szCs w:val="24"/>
              </w:rPr>
              <w:t>号</w:t>
            </w:r>
            <w:r>
              <w:rPr>
                <w:rFonts w:hint="default" w:ascii="Times New Roman" w:hAnsi="Times New Roman" w:eastAsia="sans-serif" w:cs="Times New Roman"/>
                <w:i w:val="0"/>
                <w:caps w:val="0"/>
                <w:color w:val="333333"/>
                <w:spacing w:val="0"/>
                <w:sz w:val="24"/>
                <w:szCs w:val="24"/>
              </w:rPr>
              <w:t>) </w:t>
            </w:r>
            <w:r>
              <w:rPr>
                <w:rFonts w:hint="eastAsia" w:ascii="方正仿宋_GBK" w:hAnsi="方正仿宋_GBK" w:eastAsia="方正仿宋_GBK" w:cs="方正仿宋_GBK"/>
                <w:i w:val="0"/>
                <w:caps w:val="0"/>
                <w:color w:val="333333"/>
                <w:spacing w:val="0"/>
                <w:sz w:val="24"/>
                <w:szCs w:val="24"/>
              </w:rPr>
              <w:t>第十九条</w:t>
            </w:r>
          </w:p>
        </w:tc>
        <w:tc>
          <w:tcPr>
            <w:tcW w:w="1112"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rPr>
              <w:t>区民政局</w:t>
            </w:r>
          </w:p>
        </w:tc>
        <w:tc>
          <w:tcPr>
            <w:tcW w:w="1083"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rPr>
              <w:t>取消</w:t>
            </w:r>
          </w:p>
        </w:tc>
        <w:tc>
          <w:tcPr>
            <w:tcW w:w="2759"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420"/>
              <w:textAlignment w:val="auto"/>
            </w:pPr>
            <w:r>
              <w:rPr>
                <w:rFonts w:hint="eastAsia" w:ascii="方正仿宋_GBK" w:hAnsi="方正仿宋_GBK" w:eastAsia="方正仿宋_GBK" w:cs="方正仿宋_GBK"/>
                <w:i w:val="0"/>
                <w:caps w:val="0"/>
                <w:color w:val="333333"/>
                <w:spacing w:val="0"/>
                <w:sz w:val="24"/>
                <w:szCs w:val="24"/>
              </w:rPr>
              <w:t>取消审批后，根据重庆市民政局《关于贯彻落实新修改的〈中华人民共和国老年人权益保障法〉和〈重庆市养老机构管理办法〉的通知》（渝民发〔</w:t>
            </w:r>
            <w:r>
              <w:rPr>
                <w:rFonts w:hint="default" w:ascii="Times New Roman" w:hAnsi="Times New Roman" w:eastAsia="sans-serif" w:cs="Times New Roman"/>
                <w:i w:val="0"/>
                <w:caps w:val="0"/>
                <w:color w:val="333333"/>
                <w:spacing w:val="0"/>
                <w:sz w:val="24"/>
                <w:szCs w:val="24"/>
              </w:rPr>
              <w:t>2019</w:t>
            </w:r>
            <w:r>
              <w:rPr>
                <w:rFonts w:hint="eastAsia" w:ascii="方正仿宋_GBK" w:hAnsi="方正仿宋_GBK" w:eastAsia="方正仿宋_GBK" w:cs="方正仿宋_GBK"/>
                <w:i w:val="0"/>
                <w:caps w:val="0"/>
                <w:color w:val="333333"/>
                <w:spacing w:val="0"/>
                <w:sz w:val="24"/>
                <w:szCs w:val="24"/>
              </w:rPr>
              <w:t>〕</w:t>
            </w:r>
            <w:r>
              <w:rPr>
                <w:rFonts w:hint="default" w:ascii="Times New Roman" w:hAnsi="Times New Roman" w:eastAsia="sans-serif" w:cs="Times New Roman"/>
                <w:i w:val="0"/>
                <w:caps w:val="0"/>
                <w:color w:val="333333"/>
                <w:spacing w:val="0"/>
                <w:sz w:val="24"/>
                <w:szCs w:val="24"/>
              </w:rPr>
              <w:t>7</w:t>
            </w:r>
            <w:r>
              <w:rPr>
                <w:rFonts w:hint="eastAsia" w:ascii="方正仿宋_GBK" w:hAnsi="方正仿宋_GBK" w:eastAsia="方正仿宋_GBK" w:cs="方正仿宋_GBK"/>
                <w:i w:val="0"/>
                <w:caps w:val="0"/>
                <w:color w:val="333333"/>
                <w:spacing w:val="0"/>
                <w:sz w:val="24"/>
                <w:szCs w:val="24"/>
              </w:rPr>
              <w:t>号）精神：设立公益性养老机构，符合事业单位登记规定的，向事业单位管理机关办理登记手续；符合社会组织登记条件的，向民政局社会组织登记部门办理登记手续；设立经营性养老机构，应当在市场监督管理部门办理登记。养老机构登记后即可开展服务活动，并向所在区县（自治县，以下简称区县）民政部门备案。原设立许可的养老机构在有效期内的仍然有效，无须登记备案，设立许可证有效期届满后，不再换发许可证，执行登记备案制度。社区养老服务中心（站）符合养老机构登记备案条件的，应予以登记备案，未达到条件的，应作为基本公共服务设施加强日常运营管理。</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720" w:right="0" w:firstLine="420"/>
        <w:jc w:val="left"/>
        <w:textAlignment w:val="auto"/>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333333"/>
          <w:spacing w:val="0"/>
          <w:sz w:val="32"/>
          <w:szCs w:val="32"/>
        </w:rPr>
        <w:t>三、 </w:t>
      </w:r>
      <w:r>
        <w:rPr>
          <w:rFonts w:hint="eastAsia" w:ascii="方正黑体_GBK" w:hAnsi="方正黑体_GBK" w:eastAsia="方正黑体_GBK" w:cs="方正黑体_GBK"/>
          <w:i w:val="0"/>
          <w:caps w:val="0"/>
          <w:color w:val="333333"/>
          <w:spacing w:val="0"/>
          <w:sz w:val="32"/>
          <w:szCs w:val="32"/>
        </w:rPr>
        <w:t>行政审批中介和证明材料事项（6项）</w:t>
      </w:r>
    </w:p>
    <w:tbl>
      <w:tblPr>
        <w:tblStyle w:val="3"/>
        <w:tblW w:w="836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
      <w:tblGrid>
        <w:gridCol w:w="648"/>
        <w:gridCol w:w="1041"/>
        <w:gridCol w:w="1647"/>
        <w:gridCol w:w="1098"/>
        <w:gridCol w:w="1069"/>
        <w:gridCol w:w="286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450" w:hRule="atLeast"/>
        </w:trPr>
        <w:tc>
          <w:tcPr>
            <w:tcW w:w="648" w:type="dxa"/>
            <w:tcBorders>
              <w:top w:val="single" w:color="808080" w:sz="6" w:space="0"/>
              <w:left w:val="single" w:color="808080"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rPr>
              <w:t>序号</w:t>
            </w:r>
          </w:p>
        </w:tc>
        <w:tc>
          <w:tcPr>
            <w:tcW w:w="1041" w:type="dxa"/>
            <w:tcBorders>
              <w:top w:val="single" w:color="808080"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rPr>
              <w:t>项目名称</w:t>
            </w:r>
          </w:p>
        </w:tc>
        <w:tc>
          <w:tcPr>
            <w:tcW w:w="1647" w:type="dxa"/>
            <w:tcBorders>
              <w:top w:val="single" w:color="808080"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rPr>
              <w:t>设定依据</w:t>
            </w:r>
          </w:p>
        </w:tc>
        <w:tc>
          <w:tcPr>
            <w:tcW w:w="1098" w:type="dxa"/>
            <w:tcBorders>
              <w:top w:val="single" w:color="808080"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rPr>
              <w:t>审批部门</w:t>
            </w:r>
          </w:p>
        </w:tc>
        <w:tc>
          <w:tcPr>
            <w:tcW w:w="1069" w:type="dxa"/>
            <w:tcBorders>
              <w:top w:val="single" w:color="808080"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rPr>
              <w:t>处理意见</w:t>
            </w:r>
          </w:p>
        </w:tc>
        <w:tc>
          <w:tcPr>
            <w:tcW w:w="2863" w:type="dxa"/>
            <w:tcBorders>
              <w:top w:val="single" w:color="808080"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rPr>
              <w:t>备</w:t>
            </w:r>
            <w:r>
              <w:rPr>
                <w:rFonts w:hint="eastAsia" w:ascii="微软雅黑" w:hAnsi="微软雅黑" w:eastAsia="微软雅黑" w:cs="微软雅黑"/>
                <w:i w:val="0"/>
                <w:caps w:val="0"/>
                <w:color w:val="333333"/>
                <w:spacing w:val="0"/>
                <w:sz w:val="24"/>
                <w:szCs w:val="24"/>
              </w:rPr>
              <w:t>  </w:t>
            </w:r>
            <w:r>
              <w:rPr>
                <w:rFonts w:hint="eastAsia" w:ascii="方正黑体_GBK" w:hAnsi="方正黑体_GBK" w:eastAsia="方正黑体_GBK" w:cs="方正黑体_GBK"/>
                <w:i w:val="0"/>
                <w:caps w:val="0"/>
                <w:color w:val="333333"/>
                <w:spacing w:val="0"/>
                <w:sz w:val="24"/>
                <w:szCs w:val="24"/>
              </w:rPr>
              <w:t>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2625" w:hRule="atLeast"/>
        </w:trPr>
        <w:tc>
          <w:tcPr>
            <w:tcW w:w="648" w:type="dxa"/>
            <w:tcBorders>
              <w:top w:val="single" w:color="auto" w:sz="6" w:space="0"/>
              <w:left w:val="single" w:color="808080"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微软雅黑" w:hAnsi="微软雅黑" w:eastAsia="微软雅黑" w:cs="微软雅黑"/>
                <w:i w:val="0"/>
                <w:caps w:val="0"/>
                <w:color w:val="333333"/>
                <w:spacing w:val="0"/>
                <w:sz w:val="24"/>
                <w:szCs w:val="24"/>
              </w:rPr>
              <w:t>1</w:t>
            </w:r>
          </w:p>
        </w:tc>
        <w:tc>
          <w:tcPr>
            <w:tcW w:w="1041"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船员注册及服务簿签发</w:t>
            </w:r>
          </w:p>
        </w:tc>
        <w:tc>
          <w:tcPr>
            <w:tcW w:w="1647"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《中华人民共和国船员条例》</w:t>
            </w:r>
          </w:p>
        </w:tc>
        <w:tc>
          <w:tcPr>
            <w:tcW w:w="1098"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区港航局</w:t>
            </w:r>
          </w:p>
        </w:tc>
        <w:tc>
          <w:tcPr>
            <w:tcW w:w="1069"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取消</w:t>
            </w:r>
          </w:p>
        </w:tc>
        <w:tc>
          <w:tcPr>
            <w:tcW w:w="2863"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取消审批后，对通过船员适任证书核发审查的船员直接发放《船员服务簿》。通过以下措施加强事中事后监管：</w:t>
            </w:r>
            <w:r>
              <w:rPr>
                <w:rFonts w:hint="default" w:ascii="Times New Roman" w:hAnsi="Times New Roman" w:eastAsia="sans-serif" w:cs="Times New Roman"/>
                <w:i w:val="0"/>
                <w:caps w:val="0"/>
                <w:color w:val="333333"/>
                <w:spacing w:val="0"/>
                <w:sz w:val="24"/>
                <w:szCs w:val="24"/>
              </w:rPr>
              <w:t>1</w:t>
            </w:r>
            <w:r>
              <w:rPr>
                <w:rFonts w:hint="eastAsia" w:ascii="方正仿宋_GBK" w:hAnsi="方正仿宋_GBK" w:eastAsia="方正仿宋_GBK" w:cs="方正仿宋_GBK"/>
                <w:i w:val="0"/>
                <w:caps w:val="0"/>
                <w:color w:val="333333"/>
                <w:spacing w:val="0"/>
                <w:sz w:val="24"/>
                <w:szCs w:val="24"/>
              </w:rPr>
              <w:t>．加强船员适任证书管理，厨师、服务员等不参加航行值班的船员纳入船员适任证书核发申请人员范围。</w:t>
            </w:r>
            <w:r>
              <w:rPr>
                <w:rFonts w:hint="default" w:ascii="Times New Roman" w:hAnsi="Times New Roman" w:eastAsia="sans-serif" w:cs="Times New Roman"/>
                <w:i w:val="0"/>
                <w:caps w:val="0"/>
                <w:color w:val="333333"/>
                <w:spacing w:val="0"/>
                <w:sz w:val="24"/>
                <w:szCs w:val="24"/>
              </w:rPr>
              <w:t>2</w:t>
            </w:r>
            <w:r>
              <w:rPr>
                <w:rFonts w:hint="eastAsia" w:ascii="方正仿宋_GBK" w:hAnsi="方正仿宋_GBK" w:eastAsia="方正仿宋_GBK" w:cs="方正仿宋_GBK"/>
                <w:i w:val="0"/>
                <w:caps w:val="0"/>
                <w:color w:val="333333"/>
                <w:spacing w:val="0"/>
                <w:sz w:val="24"/>
                <w:szCs w:val="24"/>
              </w:rPr>
              <w:t>．对年满</w:t>
            </w:r>
            <w:r>
              <w:rPr>
                <w:rFonts w:hint="default" w:ascii="Times New Roman" w:hAnsi="Times New Roman" w:eastAsia="sans-serif" w:cs="Times New Roman"/>
                <w:i w:val="0"/>
                <w:caps w:val="0"/>
                <w:color w:val="333333"/>
                <w:spacing w:val="0"/>
                <w:sz w:val="24"/>
                <w:szCs w:val="24"/>
              </w:rPr>
              <w:t>18</w:t>
            </w:r>
            <w:r>
              <w:rPr>
                <w:rFonts w:hint="eastAsia" w:ascii="方正仿宋_GBK" w:hAnsi="方正仿宋_GBK" w:eastAsia="方正仿宋_GBK" w:cs="方正仿宋_GBK"/>
                <w:i w:val="0"/>
                <w:caps w:val="0"/>
                <w:color w:val="333333"/>
                <w:spacing w:val="0"/>
                <w:sz w:val="24"/>
                <w:szCs w:val="24"/>
              </w:rPr>
              <w:t>周岁（在船实习、见习人员年满</w:t>
            </w:r>
            <w:r>
              <w:rPr>
                <w:rFonts w:hint="default" w:ascii="Times New Roman" w:hAnsi="Times New Roman" w:eastAsia="sans-serif" w:cs="Times New Roman"/>
                <w:i w:val="0"/>
                <w:caps w:val="0"/>
                <w:color w:val="333333"/>
                <w:spacing w:val="0"/>
                <w:sz w:val="24"/>
                <w:szCs w:val="24"/>
              </w:rPr>
              <w:t>16</w:t>
            </w:r>
            <w:r>
              <w:rPr>
                <w:rFonts w:hint="eastAsia" w:ascii="方正仿宋_GBK" w:hAnsi="方正仿宋_GBK" w:eastAsia="方正仿宋_GBK" w:cs="方正仿宋_GBK"/>
                <w:i w:val="0"/>
                <w:caps w:val="0"/>
                <w:color w:val="333333"/>
                <w:spacing w:val="0"/>
                <w:sz w:val="24"/>
                <w:szCs w:val="24"/>
              </w:rPr>
              <w:t>周岁）、符合船员健康要求、经船员基本安全培训并通过海事管理机构考试者，在签发相应船员适任证书时，直接发放《船员服务簿》。</w:t>
            </w:r>
            <w:r>
              <w:rPr>
                <w:rFonts w:hint="default" w:ascii="Times New Roman" w:hAnsi="Times New Roman" w:eastAsia="sans-serif" w:cs="Times New Roman"/>
                <w:i w:val="0"/>
                <w:caps w:val="0"/>
                <w:color w:val="333333"/>
                <w:spacing w:val="0"/>
                <w:sz w:val="24"/>
                <w:szCs w:val="24"/>
              </w:rPr>
              <w:t>3</w:t>
            </w:r>
            <w:r>
              <w:rPr>
                <w:rFonts w:hint="eastAsia" w:ascii="方正仿宋_GBK" w:hAnsi="方正仿宋_GBK" w:eastAsia="方正仿宋_GBK" w:cs="方正仿宋_GBK"/>
                <w:i w:val="0"/>
                <w:caps w:val="0"/>
                <w:color w:val="333333"/>
                <w:spacing w:val="0"/>
                <w:sz w:val="24"/>
                <w:szCs w:val="24"/>
              </w:rPr>
              <w:t>．新的《船员服务簿》作为船员个人持有的法定文书，主要承载船员档案功能，记录船员履职情况。加强船员持有《船员服务簿》和记录船员履职情况的监督检查。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3825" w:hRule="atLeast"/>
        </w:trPr>
        <w:tc>
          <w:tcPr>
            <w:tcW w:w="648" w:type="dxa"/>
            <w:tcBorders>
              <w:top w:val="single" w:color="auto" w:sz="6" w:space="0"/>
              <w:left w:val="single" w:color="808080"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2</w:t>
            </w:r>
          </w:p>
        </w:tc>
        <w:tc>
          <w:tcPr>
            <w:tcW w:w="1041"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道路货物运输站（场）经营许可</w:t>
            </w:r>
          </w:p>
        </w:tc>
        <w:tc>
          <w:tcPr>
            <w:tcW w:w="1647"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《中华人民共和国道路运输条例》</w:t>
            </w:r>
          </w:p>
        </w:tc>
        <w:tc>
          <w:tcPr>
            <w:tcW w:w="1098"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区运管处</w:t>
            </w:r>
          </w:p>
        </w:tc>
        <w:tc>
          <w:tcPr>
            <w:tcW w:w="1069"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取消</w:t>
            </w:r>
          </w:p>
        </w:tc>
        <w:tc>
          <w:tcPr>
            <w:tcW w:w="2863"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取消审批后，通过以下措施加强事中事后监管：</w:t>
            </w:r>
            <w:r>
              <w:rPr>
                <w:rFonts w:hint="default" w:ascii="Times New Roman" w:hAnsi="Times New Roman" w:eastAsia="sans-serif" w:cs="Times New Roman"/>
                <w:i w:val="0"/>
                <w:caps w:val="0"/>
                <w:color w:val="333333"/>
                <w:spacing w:val="0"/>
                <w:sz w:val="24"/>
                <w:szCs w:val="24"/>
              </w:rPr>
              <w:t>1</w:t>
            </w:r>
            <w:r>
              <w:rPr>
                <w:rFonts w:hint="eastAsia" w:ascii="方正仿宋_GBK" w:hAnsi="方正仿宋_GBK" w:eastAsia="方正仿宋_GBK" w:cs="方正仿宋_GBK"/>
                <w:i w:val="0"/>
                <w:caps w:val="0"/>
                <w:color w:val="333333"/>
                <w:spacing w:val="0"/>
                <w:sz w:val="24"/>
                <w:szCs w:val="24"/>
              </w:rPr>
              <w:t>．通过“双随机、一公开”监管等方式，加强对道路货物运输站（场）生产经营的监督管理，依法查处违反道路货物运输经营管理规定的行为。</w:t>
            </w:r>
            <w:r>
              <w:rPr>
                <w:rFonts w:hint="default" w:ascii="Times New Roman" w:hAnsi="Times New Roman" w:eastAsia="sans-serif" w:cs="Times New Roman"/>
                <w:i w:val="0"/>
                <w:caps w:val="0"/>
                <w:color w:val="333333"/>
                <w:spacing w:val="0"/>
                <w:sz w:val="24"/>
                <w:szCs w:val="24"/>
              </w:rPr>
              <w:t>2</w:t>
            </w:r>
            <w:r>
              <w:rPr>
                <w:rFonts w:hint="eastAsia" w:ascii="方正仿宋_GBK" w:hAnsi="方正仿宋_GBK" w:eastAsia="方正仿宋_GBK" w:cs="方正仿宋_GBK"/>
                <w:i w:val="0"/>
                <w:caps w:val="0"/>
                <w:color w:val="333333"/>
                <w:spacing w:val="0"/>
                <w:sz w:val="24"/>
                <w:szCs w:val="24"/>
              </w:rPr>
              <w:t>．实施道路货物运输站（场）相关标准，推动站（场）建设运营标准化。</w:t>
            </w:r>
            <w:r>
              <w:rPr>
                <w:rFonts w:hint="default" w:ascii="Times New Roman" w:hAnsi="Times New Roman" w:eastAsia="sans-serif" w:cs="Times New Roman"/>
                <w:i w:val="0"/>
                <w:caps w:val="0"/>
                <w:color w:val="333333"/>
                <w:spacing w:val="0"/>
                <w:sz w:val="24"/>
                <w:szCs w:val="24"/>
              </w:rPr>
              <w:t>3</w:t>
            </w:r>
            <w:r>
              <w:rPr>
                <w:rFonts w:hint="eastAsia" w:ascii="方正仿宋_GBK" w:hAnsi="方正仿宋_GBK" w:eastAsia="方正仿宋_GBK" w:cs="方正仿宋_GBK"/>
                <w:i w:val="0"/>
                <w:caps w:val="0"/>
                <w:color w:val="333333"/>
                <w:spacing w:val="0"/>
                <w:sz w:val="24"/>
                <w:szCs w:val="24"/>
              </w:rPr>
              <w:t>．加强与市场监管、住房城乡建设、应急管理、公安等部门关于道路货物运输站（场）相关信息共享。</w:t>
            </w:r>
            <w:r>
              <w:rPr>
                <w:rFonts w:hint="default" w:ascii="Times New Roman" w:hAnsi="Times New Roman" w:eastAsia="sans-serif" w:cs="Times New Roman"/>
                <w:i w:val="0"/>
                <w:caps w:val="0"/>
                <w:color w:val="333333"/>
                <w:spacing w:val="0"/>
                <w:sz w:val="24"/>
                <w:szCs w:val="24"/>
              </w:rPr>
              <w:t>4</w:t>
            </w:r>
            <w:r>
              <w:rPr>
                <w:rFonts w:hint="eastAsia" w:ascii="方正仿宋_GBK" w:hAnsi="方正仿宋_GBK" w:eastAsia="方正仿宋_GBK" w:cs="方正仿宋_GBK"/>
                <w:i w:val="0"/>
                <w:caps w:val="0"/>
                <w:color w:val="333333"/>
                <w:spacing w:val="0"/>
                <w:sz w:val="24"/>
                <w:szCs w:val="24"/>
              </w:rPr>
              <w:t>．加强对道路货物运输站（场）经营业户的信用监管，向社会公开失信企业名单，并实施联合惩戒。</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5535" w:hRule="atLeast"/>
        </w:trPr>
        <w:tc>
          <w:tcPr>
            <w:tcW w:w="648" w:type="dxa"/>
            <w:tcBorders>
              <w:top w:val="single" w:color="auto" w:sz="6" w:space="0"/>
              <w:left w:val="single" w:color="808080"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3</w:t>
            </w:r>
          </w:p>
        </w:tc>
        <w:tc>
          <w:tcPr>
            <w:tcW w:w="1041"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名称预先核准</w:t>
            </w:r>
          </w:p>
        </w:tc>
        <w:tc>
          <w:tcPr>
            <w:tcW w:w="1647"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《中华人民共和国公司登记管理条例》《中华人民共和国企业法人登记管理条例》《企业名称登记管理规定》《个体工商户条例》《农民专业合作社登记管理条例》</w:t>
            </w:r>
          </w:p>
        </w:tc>
        <w:tc>
          <w:tcPr>
            <w:tcW w:w="1098"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区市场监管局</w:t>
            </w:r>
          </w:p>
        </w:tc>
        <w:tc>
          <w:tcPr>
            <w:tcW w:w="1069"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取消</w:t>
            </w:r>
          </w:p>
        </w:tc>
        <w:tc>
          <w:tcPr>
            <w:tcW w:w="2863"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取消审批后，改为企业（包括个体工商户、农民专业合作社，下同）自主申报名称，市场监管部门在企业注册登记时核准名称。市场监管部门通过以下措施优化服务、加强事中事后监管：</w:t>
            </w:r>
            <w:r>
              <w:rPr>
                <w:rFonts w:hint="default" w:ascii="Times New Roman" w:hAnsi="Times New Roman" w:eastAsia="sans-serif" w:cs="Times New Roman"/>
                <w:i w:val="0"/>
                <w:caps w:val="0"/>
                <w:color w:val="333333"/>
                <w:spacing w:val="0"/>
                <w:sz w:val="24"/>
                <w:szCs w:val="24"/>
              </w:rPr>
              <w:t>1</w:t>
            </w:r>
            <w:r>
              <w:rPr>
                <w:rFonts w:hint="eastAsia" w:ascii="方正仿宋_GBK" w:hAnsi="方正仿宋_GBK" w:eastAsia="方正仿宋_GBK" w:cs="方正仿宋_GBK"/>
                <w:i w:val="0"/>
                <w:caps w:val="0"/>
                <w:color w:val="333333"/>
                <w:spacing w:val="0"/>
                <w:sz w:val="24"/>
                <w:szCs w:val="24"/>
              </w:rPr>
              <w:t>．向社会公开企业名称库，引导企业自行拟定符合规则要求的名称。</w:t>
            </w:r>
            <w:r>
              <w:rPr>
                <w:rFonts w:hint="default" w:ascii="Times New Roman" w:hAnsi="Times New Roman" w:eastAsia="sans-serif" w:cs="Times New Roman"/>
                <w:i w:val="0"/>
                <w:caps w:val="0"/>
                <w:color w:val="333333"/>
                <w:spacing w:val="0"/>
                <w:sz w:val="24"/>
                <w:szCs w:val="24"/>
              </w:rPr>
              <w:t>2</w:t>
            </w:r>
            <w:r>
              <w:rPr>
                <w:rFonts w:hint="eastAsia" w:ascii="方正仿宋_GBK" w:hAnsi="方正仿宋_GBK" w:eastAsia="方正仿宋_GBK" w:cs="方正仿宋_GBK"/>
                <w:i w:val="0"/>
                <w:caps w:val="0"/>
                <w:color w:val="333333"/>
                <w:spacing w:val="0"/>
                <w:sz w:val="24"/>
                <w:szCs w:val="24"/>
              </w:rPr>
              <w:t>．建立企业名称自主申报制度，明确企业名称禁限用规则，完善企业名称争议处理机制，加强对企业名称使用的监督管理。</w:t>
            </w:r>
            <w:r>
              <w:rPr>
                <w:rFonts w:hint="default" w:ascii="Times New Roman" w:hAnsi="Times New Roman" w:eastAsia="sans-serif" w:cs="Times New Roman"/>
                <w:i w:val="0"/>
                <w:caps w:val="0"/>
                <w:color w:val="333333"/>
                <w:spacing w:val="0"/>
                <w:sz w:val="24"/>
                <w:szCs w:val="24"/>
              </w:rPr>
              <w:t>3</w:t>
            </w:r>
            <w:r>
              <w:rPr>
                <w:rFonts w:hint="eastAsia" w:ascii="方正仿宋_GBK" w:hAnsi="方正仿宋_GBK" w:eastAsia="方正仿宋_GBK" w:cs="方正仿宋_GBK"/>
                <w:i w:val="0"/>
                <w:caps w:val="0"/>
                <w:color w:val="333333"/>
                <w:spacing w:val="0"/>
                <w:sz w:val="24"/>
                <w:szCs w:val="24"/>
              </w:rPr>
              <w:t>．简化优化工商登记程序，实行“一次性告知”，提高企业登记办理效率，保障企业自主选择名称。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6225" w:hRule="atLeast"/>
        </w:trPr>
        <w:tc>
          <w:tcPr>
            <w:tcW w:w="648" w:type="dxa"/>
            <w:tcBorders>
              <w:top w:val="single" w:color="auto" w:sz="6" w:space="0"/>
              <w:left w:val="single" w:color="808080"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4</w:t>
            </w:r>
          </w:p>
        </w:tc>
        <w:tc>
          <w:tcPr>
            <w:tcW w:w="1041"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养老机构设立许可（含分支机构，涉外投资、市级财政投资兴办除外）</w:t>
            </w:r>
          </w:p>
        </w:tc>
        <w:tc>
          <w:tcPr>
            <w:tcW w:w="1647"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《中华人民共和国老年人权益保障法》第四十四条；《养老机构设立许可办法》</w:t>
            </w:r>
            <w:r>
              <w:rPr>
                <w:rFonts w:hint="default" w:ascii="Times New Roman" w:hAnsi="Times New Roman" w:eastAsia="sans-serif" w:cs="Times New Roman"/>
                <w:i w:val="0"/>
                <w:caps w:val="0"/>
                <w:color w:val="333333"/>
                <w:spacing w:val="0"/>
                <w:sz w:val="24"/>
                <w:szCs w:val="24"/>
              </w:rPr>
              <w:t>(</w:t>
            </w:r>
            <w:r>
              <w:rPr>
                <w:rFonts w:hint="eastAsia" w:ascii="方正仿宋_GBK" w:hAnsi="方正仿宋_GBK" w:eastAsia="方正仿宋_GBK" w:cs="方正仿宋_GBK"/>
                <w:i w:val="0"/>
                <w:caps w:val="0"/>
                <w:color w:val="333333"/>
                <w:spacing w:val="0"/>
                <w:sz w:val="24"/>
                <w:szCs w:val="24"/>
              </w:rPr>
              <w:t>民政部令第</w:t>
            </w:r>
            <w:r>
              <w:rPr>
                <w:rFonts w:hint="default" w:ascii="Times New Roman" w:hAnsi="Times New Roman" w:eastAsia="sans-serif" w:cs="Times New Roman"/>
                <w:i w:val="0"/>
                <w:caps w:val="0"/>
                <w:color w:val="333333"/>
                <w:spacing w:val="0"/>
                <w:sz w:val="24"/>
                <w:szCs w:val="24"/>
              </w:rPr>
              <w:t>48</w:t>
            </w:r>
            <w:r>
              <w:rPr>
                <w:rFonts w:hint="eastAsia" w:ascii="方正仿宋_GBK" w:hAnsi="方正仿宋_GBK" w:eastAsia="方正仿宋_GBK" w:cs="方正仿宋_GBK"/>
                <w:i w:val="0"/>
                <w:caps w:val="0"/>
                <w:color w:val="333333"/>
                <w:spacing w:val="0"/>
                <w:sz w:val="24"/>
                <w:szCs w:val="24"/>
              </w:rPr>
              <w:t>号</w:t>
            </w:r>
            <w:r>
              <w:rPr>
                <w:rFonts w:hint="default" w:ascii="Times New Roman" w:hAnsi="Times New Roman" w:eastAsia="sans-serif" w:cs="Times New Roman"/>
                <w:i w:val="0"/>
                <w:caps w:val="0"/>
                <w:color w:val="333333"/>
                <w:spacing w:val="0"/>
                <w:sz w:val="24"/>
                <w:szCs w:val="24"/>
              </w:rPr>
              <w:t>)</w:t>
            </w:r>
            <w:r>
              <w:rPr>
                <w:rFonts w:hint="eastAsia" w:ascii="方正仿宋_GBK" w:hAnsi="方正仿宋_GBK" w:eastAsia="方正仿宋_GBK" w:cs="方正仿宋_GBK"/>
                <w:i w:val="0"/>
                <w:caps w:val="0"/>
                <w:color w:val="333333"/>
                <w:spacing w:val="0"/>
                <w:sz w:val="24"/>
                <w:szCs w:val="24"/>
              </w:rPr>
              <w:t>第七条；《重庆市养老机构设立许可实施办法》第四条第二款；《养老机构设立许可办法》</w:t>
            </w:r>
            <w:r>
              <w:rPr>
                <w:rFonts w:hint="default" w:ascii="Times New Roman" w:hAnsi="Times New Roman" w:eastAsia="sans-serif" w:cs="Times New Roman"/>
                <w:i w:val="0"/>
                <w:caps w:val="0"/>
                <w:color w:val="333333"/>
                <w:spacing w:val="0"/>
                <w:sz w:val="24"/>
                <w:szCs w:val="24"/>
              </w:rPr>
              <w:t>(</w:t>
            </w:r>
            <w:r>
              <w:rPr>
                <w:rFonts w:hint="eastAsia" w:ascii="方正仿宋_GBK" w:hAnsi="方正仿宋_GBK" w:eastAsia="方正仿宋_GBK" w:cs="方正仿宋_GBK"/>
                <w:i w:val="0"/>
                <w:caps w:val="0"/>
                <w:color w:val="333333"/>
                <w:spacing w:val="0"/>
                <w:sz w:val="24"/>
                <w:szCs w:val="24"/>
              </w:rPr>
              <w:t>民政部令第</w:t>
            </w:r>
            <w:r>
              <w:rPr>
                <w:rFonts w:hint="default" w:ascii="Times New Roman" w:hAnsi="Times New Roman" w:eastAsia="sans-serif" w:cs="Times New Roman"/>
                <w:i w:val="0"/>
                <w:caps w:val="0"/>
                <w:color w:val="333333"/>
                <w:spacing w:val="0"/>
                <w:sz w:val="24"/>
                <w:szCs w:val="24"/>
              </w:rPr>
              <w:t>48</w:t>
            </w:r>
            <w:r>
              <w:rPr>
                <w:rFonts w:hint="eastAsia" w:ascii="方正仿宋_GBK" w:hAnsi="方正仿宋_GBK" w:eastAsia="方正仿宋_GBK" w:cs="方正仿宋_GBK"/>
                <w:i w:val="0"/>
                <w:caps w:val="0"/>
                <w:color w:val="333333"/>
                <w:spacing w:val="0"/>
                <w:sz w:val="24"/>
                <w:szCs w:val="24"/>
              </w:rPr>
              <w:t>号</w:t>
            </w:r>
            <w:r>
              <w:rPr>
                <w:rFonts w:hint="default" w:ascii="Times New Roman" w:hAnsi="Times New Roman" w:eastAsia="sans-serif" w:cs="Times New Roman"/>
                <w:i w:val="0"/>
                <w:caps w:val="0"/>
                <w:color w:val="333333"/>
                <w:spacing w:val="0"/>
                <w:sz w:val="24"/>
                <w:szCs w:val="24"/>
              </w:rPr>
              <w:t>) </w:t>
            </w:r>
            <w:r>
              <w:rPr>
                <w:rFonts w:hint="eastAsia" w:ascii="方正仿宋_GBK" w:hAnsi="方正仿宋_GBK" w:eastAsia="方正仿宋_GBK" w:cs="方正仿宋_GBK"/>
                <w:i w:val="0"/>
                <w:caps w:val="0"/>
                <w:color w:val="333333"/>
                <w:spacing w:val="0"/>
                <w:sz w:val="24"/>
                <w:szCs w:val="24"/>
              </w:rPr>
              <w:t>第十七条</w:t>
            </w:r>
          </w:p>
        </w:tc>
        <w:tc>
          <w:tcPr>
            <w:tcW w:w="1098"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区民政局</w:t>
            </w:r>
          </w:p>
        </w:tc>
        <w:tc>
          <w:tcPr>
            <w:tcW w:w="1069"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取消</w:t>
            </w:r>
          </w:p>
        </w:tc>
        <w:tc>
          <w:tcPr>
            <w:tcW w:w="2863"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取消审批后，根据重庆市民政局《关于贯彻落实新修改的〈中华人民共和国老年人权益保障法〉和〈重庆市养老机构管理办法〉的通知》（渝民发〔</w:t>
            </w:r>
            <w:r>
              <w:rPr>
                <w:rFonts w:hint="default" w:ascii="Times New Roman" w:hAnsi="Times New Roman" w:eastAsia="sans-serif" w:cs="Times New Roman"/>
                <w:i w:val="0"/>
                <w:caps w:val="0"/>
                <w:color w:val="333333"/>
                <w:spacing w:val="0"/>
                <w:sz w:val="24"/>
                <w:szCs w:val="24"/>
              </w:rPr>
              <w:t>2019</w:t>
            </w:r>
            <w:r>
              <w:rPr>
                <w:rFonts w:hint="eastAsia" w:ascii="方正仿宋_GBK" w:hAnsi="方正仿宋_GBK" w:eastAsia="方正仿宋_GBK" w:cs="方正仿宋_GBK"/>
                <w:i w:val="0"/>
                <w:caps w:val="0"/>
                <w:color w:val="333333"/>
                <w:spacing w:val="0"/>
                <w:sz w:val="24"/>
                <w:szCs w:val="24"/>
              </w:rPr>
              <w:t>〕</w:t>
            </w:r>
            <w:r>
              <w:rPr>
                <w:rFonts w:hint="default" w:ascii="Times New Roman" w:hAnsi="Times New Roman" w:eastAsia="sans-serif" w:cs="Times New Roman"/>
                <w:i w:val="0"/>
                <w:caps w:val="0"/>
                <w:color w:val="333333"/>
                <w:spacing w:val="0"/>
                <w:sz w:val="24"/>
                <w:szCs w:val="24"/>
              </w:rPr>
              <w:t>7</w:t>
            </w:r>
            <w:r>
              <w:rPr>
                <w:rFonts w:hint="eastAsia" w:ascii="方正仿宋_GBK" w:hAnsi="方正仿宋_GBK" w:eastAsia="方正仿宋_GBK" w:cs="方正仿宋_GBK"/>
                <w:i w:val="0"/>
                <w:caps w:val="0"/>
                <w:color w:val="333333"/>
                <w:spacing w:val="0"/>
                <w:sz w:val="24"/>
                <w:szCs w:val="24"/>
              </w:rPr>
              <w:t>号）精神：设立公益性养老机构，符合事业单位登记规定的，向事业单位管理机关办理登记手续；符合社会组织登记条件的，向民政局社会组织登记部门办理登记手续；设立经营性养老机构，应当在市场监督管理部门办理登记。养老机构登记后即可开展服务活动，并向所在区县（自治县，以下简称区县）民政部门备案。原设立许可的养老机构在有效期内的仍然有效，无须登记备案，设立许可证有效期届满后，不再换发许可证，执行登记备案制度。社区养老服务中心（站）符合养老机构登记备案条件的，应予以登记备案，未达到条件的，应作为基本公共服务设施加强日常运营管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945" w:hRule="atLeast"/>
        </w:trPr>
        <w:tc>
          <w:tcPr>
            <w:tcW w:w="648" w:type="dxa"/>
            <w:tcBorders>
              <w:top w:val="single" w:color="auto" w:sz="6" w:space="0"/>
              <w:left w:val="single" w:color="808080"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5</w:t>
            </w:r>
          </w:p>
        </w:tc>
        <w:tc>
          <w:tcPr>
            <w:tcW w:w="1041"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养老机构变更许可</w:t>
            </w:r>
          </w:p>
        </w:tc>
        <w:tc>
          <w:tcPr>
            <w:tcW w:w="1647"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《养老机构设立许可办法》</w:t>
            </w:r>
            <w:r>
              <w:rPr>
                <w:rFonts w:hint="default" w:ascii="Times New Roman" w:hAnsi="Times New Roman" w:eastAsia="sans-serif" w:cs="Times New Roman"/>
                <w:i w:val="0"/>
                <w:caps w:val="0"/>
                <w:color w:val="333333"/>
                <w:spacing w:val="0"/>
                <w:sz w:val="24"/>
                <w:szCs w:val="24"/>
              </w:rPr>
              <w:t>(</w:t>
            </w:r>
            <w:r>
              <w:rPr>
                <w:rFonts w:hint="eastAsia" w:ascii="方正仿宋_GBK" w:hAnsi="方正仿宋_GBK" w:eastAsia="方正仿宋_GBK" w:cs="方正仿宋_GBK"/>
                <w:i w:val="0"/>
                <w:caps w:val="0"/>
                <w:color w:val="333333"/>
                <w:spacing w:val="0"/>
                <w:sz w:val="24"/>
                <w:szCs w:val="24"/>
              </w:rPr>
              <w:t>民政部令第</w:t>
            </w:r>
            <w:r>
              <w:rPr>
                <w:rFonts w:hint="default" w:ascii="Times New Roman" w:hAnsi="Times New Roman" w:eastAsia="sans-serif" w:cs="Times New Roman"/>
                <w:i w:val="0"/>
                <w:caps w:val="0"/>
                <w:color w:val="333333"/>
                <w:spacing w:val="0"/>
                <w:sz w:val="24"/>
                <w:szCs w:val="24"/>
              </w:rPr>
              <w:t>48</w:t>
            </w:r>
            <w:r>
              <w:rPr>
                <w:rFonts w:hint="eastAsia" w:ascii="方正仿宋_GBK" w:hAnsi="方正仿宋_GBK" w:eastAsia="方正仿宋_GBK" w:cs="方正仿宋_GBK"/>
                <w:i w:val="0"/>
                <w:caps w:val="0"/>
                <w:color w:val="333333"/>
                <w:spacing w:val="0"/>
                <w:sz w:val="24"/>
                <w:szCs w:val="24"/>
              </w:rPr>
              <w:t>号</w:t>
            </w:r>
            <w:r>
              <w:rPr>
                <w:rFonts w:hint="default" w:ascii="Times New Roman" w:hAnsi="Times New Roman" w:eastAsia="sans-serif" w:cs="Times New Roman"/>
                <w:i w:val="0"/>
                <w:caps w:val="0"/>
                <w:color w:val="333333"/>
                <w:spacing w:val="0"/>
                <w:sz w:val="24"/>
                <w:szCs w:val="24"/>
              </w:rPr>
              <w:t>) </w:t>
            </w:r>
            <w:r>
              <w:rPr>
                <w:rFonts w:hint="eastAsia" w:ascii="方正仿宋_GBK" w:hAnsi="方正仿宋_GBK" w:eastAsia="方正仿宋_GBK" w:cs="方正仿宋_GBK"/>
                <w:i w:val="0"/>
                <w:caps w:val="0"/>
                <w:color w:val="333333"/>
                <w:spacing w:val="0"/>
                <w:sz w:val="24"/>
                <w:szCs w:val="24"/>
              </w:rPr>
              <w:t>第十八条</w:t>
            </w:r>
          </w:p>
        </w:tc>
        <w:tc>
          <w:tcPr>
            <w:tcW w:w="1098"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区民政局</w:t>
            </w:r>
          </w:p>
        </w:tc>
        <w:tc>
          <w:tcPr>
            <w:tcW w:w="1069"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取消</w:t>
            </w:r>
          </w:p>
        </w:tc>
        <w:tc>
          <w:tcPr>
            <w:tcW w:w="2863"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取消审批后，根据重庆市民政局《关于贯彻落实新修改的〈中华人民共和国老年人权益保障法〉和〈重庆市养老机构管理办法〉的通知》（渝民发〔</w:t>
            </w:r>
            <w:r>
              <w:rPr>
                <w:rFonts w:hint="default" w:ascii="Times New Roman" w:hAnsi="Times New Roman" w:eastAsia="sans-serif" w:cs="Times New Roman"/>
                <w:i w:val="0"/>
                <w:caps w:val="0"/>
                <w:color w:val="333333"/>
                <w:spacing w:val="0"/>
                <w:sz w:val="24"/>
                <w:szCs w:val="24"/>
              </w:rPr>
              <w:t>2019</w:t>
            </w:r>
            <w:r>
              <w:rPr>
                <w:rFonts w:hint="eastAsia" w:ascii="方正仿宋_GBK" w:hAnsi="方正仿宋_GBK" w:eastAsia="方正仿宋_GBK" w:cs="方正仿宋_GBK"/>
                <w:i w:val="0"/>
                <w:caps w:val="0"/>
                <w:color w:val="333333"/>
                <w:spacing w:val="0"/>
                <w:sz w:val="24"/>
                <w:szCs w:val="24"/>
              </w:rPr>
              <w:t>〕</w:t>
            </w:r>
            <w:r>
              <w:rPr>
                <w:rFonts w:hint="default" w:ascii="Times New Roman" w:hAnsi="Times New Roman" w:eastAsia="sans-serif" w:cs="Times New Roman"/>
                <w:i w:val="0"/>
                <w:caps w:val="0"/>
                <w:color w:val="333333"/>
                <w:spacing w:val="0"/>
                <w:sz w:val="24"/>
                <w:szCs w:val="24"/>
              </w:rPr>
              <w:t>7</w:t>
            </w:r>
            <w:r>
              <w:rPr>
                <w:rFonts w:hint="eastAsia" w:ascii="方正仿宋_GBK" w:hAnsi="方正仿宋_GBK" w:eastAsia="方正仿宋_GBK" w:cs="方正仿宋_GBK"/>
                <w:i w:val="0"/>
                <w:caps w:val="0"/>
                <w:color w:val="333333"/>
                <w:spacing w:val="0"/>
                <w:sz w:val="24"/>
                <w:szCs w:val="24"/>
              </w:rPr>
              <w:t>号）精神：设立公益性养老机构，符合事业单位登记规定的，向事业单位管理机关办理登记手续；符合社会组织登记条件的，向民政局社会组织登记部门办理登记手续；设立经营性养老机构，应当在市场监督管理部门办理登记。养老机构登记后即可开展服务活动，并向所在区县（自治县，以下简称区县）民政部门备案。原设立许可的养老机构在有效期内的仍然有效，无须登记备案，设立许可证有效期届满后，不再换发许可证，执行登记备案制度。社区养老服务中心（站）符合养老机构登记备案条件的，应予以登记备案，未达到条件的，应作为基本公共服务设施加强日常运营管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2955" w:hRule="atLeast"/>
        </w:trPr>
        <w:tc>
          <w:tcPr>
            <w:tcW w:w="648" w:type="dxa"/>
            <w:tcBorders>
              <w:top w:val="single" w:color="auto" w:sz="6" w:space="0"/>
              <w:left w:val="single" w:color="808080"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6</w:t>
            </w:r>
          </w:p>
        </w:tc>
        <w:tc>
          <w:tcPr>
            <w:tcW w:w="1041"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养老机构注销许可</w:t>
            </w:r>
          </w:p>
        </w:tc>
        <w:tc>
          <w:tcPr>
            <w:tcW w:w="1647"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《养老机构设立许可办法》</w:t>
            </w:r>
            <w:r>
              <w:rPr>
                <w:rFonts w:hint="default" w:ascii="Times New Roman" w:hAnsi="Times New Roman" w:eastAsia="sans-serif" w:cs="Times New Roman"/>
                <w:i w:val="0"/>
                <w:caps w:val="0"/>
                <w:color w:val="333333"/>
                <w:spacing w:val="0"/>
                <w:sz w:val="24"/>
                <w:szCs w:val="24"/>
              </w:rPr>
              <w:t>(</w:t>
            </w:r>
            <w:r>
              <w:rPr>
                <w:rFonts w:hint="eastAsia" w:ascii="方正仿宋_GBK" w:hAnsi="方正仿宋_GBK" w:eastAsia="方正仿宋_GBK" w:cs="方正仿宋_GBK"/>
                <w:i w:val="0"/>
                <w:caps w:val="0"/>
                <w:color w:val="333333"/>
                <w:spacing w:val="0"/>
                <w:sz w:val="24"/>
                <w:szCs w:val="24"/>
              </w:rPr>
              <w:t>民政部令第</w:t>
            </w:r>
            <w:r>
              <w:rPr>
                <w:rFonts w:hint="default" w:ascii="Times New Roman" w:hAnsi="Times New Roman" w:eastAsia="sans-serif" w:cs="Times New Roman"/>
                <w:i w:val="0"/>
                <w:caps w:val="0"/>
                <w:color w:val="333333"/>
                <w:spacing w:val="0"/>
                <w:sz w:val="24"/>
                <w:szCs w:val="24"/>
              </w:rPr>
              <w:t>48</w:t>
            </w:r>
            <w:r>
              <w:rPr>
                <w:rFonts w:hint="eastAsia" w:ascii="方正仿宋_GBK" w:hAnsi="方正仿宋_GBK" w:eastAsia="方正仿宋_GBK" w:cs="方正仿宋_GBK"/>
                <w:i w:val="0"/>
                <w:caps w:val="0"/>
                <w:color w:val="333333"/>
                <w:spacing w:val="0"/>
                <w:sz w:val="24"/>
                <w:szCs w:val="24"/>
              </w:rPr>
              <w:t>号</w:t>
            </w:r>
            <w:r>
              <w:rPr>
                <w:rFonts w:hint="default" w:ascii="Times New Roman" w:hAnsi="Times New Roman" w:eastAsia="sans-serif" w:cs="Times New Roman"/>
                <w:i w:val="0"/>
                <w:caps w:val="0"/>
                <w:color w:val="333333"/>
                <w:spacing w:val="0"/>
                <w:sz w:val="24"/>
                <w:szCs w:val="24"/>
              </w:rPr>
              <w:t>) </w:t>
            </w:r>
            <w:r>
              <w:rPr>
                <w:rFonts w:hint="eastAsia" w:ascii="方正仿宋_GBK" w:hAnsi="方正仿宋_GBK" w:eastAsia="方正仿宋_GBK" w:cs="方正仿宋_GBK"/>
                <w:i w:val="0"/>
                <w:caps w:val="0"/>
                <w:color w:val="333333"/>
                <w:spacing w:val="0"/>
                <w:sz w:val="24"/>
                <w:szCs w:val="24"/>
              </w:rPr>
              <w:t>第十九条</w:t>
            </w:r>
          </w:p>
        </w:tc>
        <w:tc>
          <w:tcPr>
            <w:tcW w:w="1098"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区民政局</w:t>
            </w:r>
          </w:p>
        </w:tc>
        <w:tc>
          <w:tcPr>
            <w:tcW w:w="1069"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取消</w:t>
            </w:r>
          </w:p>
        </w:tc>
        <w:tc>
          <w:tcPr>
            <w:tcW w:w="2863" w:type="dxa"/>
            <w:tcBorders>
              <w:top w:val="single" w:color="auto" w:sz="6" w:space="0"/>
              <w:left w:val="single" w:color="auto" w:sz="6" w:space="0"/>
              <w:bottom w:val="single" w:color="808080" w:sz="6" w:space="0"/>
              <w:right w:val="single" w:color="808080" w:sz="6" w:space="0"/>
            </w:tcBorders>
            <w:shd w:val="clear" w:color="auto" w:fill="auto"/>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rPr>
              <w:t>取消审批后，根据重庆市民政局《关于贯彻落实新修改的〈中华人民共和国老年人权益保障法〉和〈重庆市养老机构管理办法〉的通知》（渝民发〔</w:t>
            </w:r>
            <w:r>
              <w:rPr>
                <w:rFonts w:hint="default" w:ascii="Times New Roman" w:hAnsi="Times New Roman" w:eastAsia="sans-serif" w:cs="Times New Roman"/>
                <w:i w:val="0"/>
                <w:caps w:val="0"/>
                <w:color w:val="333333"/>
                <w:spacing w:val="0"/>
                <w:sz w:val="24"/>
                <w:szCs w:val="24"/>
              </w:rPr>
              <w:t>2019</w:t>
            </w:r>
            <w:r>
              <w:rPr>
                <w:rFonts w:hint="eastAsia" w:ascii="方正仿宋_GBK" w:hAnsi="方正仿宋_GBK" w:eastAsia="方正仿宋_GBK" w:cs="方正仿宋_GBK"/>
                <w:i w:val="0"/>
                <w:caps w:val="0"/>
                <w:color w:val="333333"/>
                <w:spacing w:val="0"/>
                <w:sz w:val="24"/>
                <w:szCs w:val="24"/>
              </w:rPr>
              <w:t>〕</w:t>
            </w:r>
            <w:r>
              <w:rPr>
                <w:rFonts w:hint="default" w:ascii="Times New Roman" w:hAnsi="Times New Roman" w:eastAsia="sans-serif" w:cs="Times New Roman"/>
                <w:i w:val="0"/>
                <w:caps w:val="0"/>
                <w:color w:val="333333"/>
                <w:spacing w:val="0"/>
                <w:sz w:val="24"/>
                <w:szCs w:val="24"/>
              </w:rPr>
              <w:t>7</w:t>
            </w:r>
            <w:r>
              <w:rPr>
                <w:rFonts w:hint="eastAsia" w:ascii="方正仿宋_GBK" w:hAnsi="方正仿宋_GBK" w:eastAsia="方正仿宋_GBK" w:cs="方正仿宋_GBK"/>
                <w:i w:val="0"/>
                <w:caps w:val="0"/>
                <w:color w:val="333333"/>
                <w:spacing w:val="0"/>
                <w:sz w:val="24"/>
                <w:szCs w:val="24"/>
              </w:rPr>
              <w:t>号）精神：设立公益性养老机构，符合事业单位登记规定的，向事业单位管理机关办理登记手续；符合社会组织登记条件的，向民政局社会组织登记部门办理登记手续；设立经营性养老机构，应当在市场监督管理部门办理登记。养老机构登记后即可开展服务活动，并向所在区县（自治县，以下简称区县）民政部门备案。原设立许可的养老机构在有效期内的仍然有效，无须登记备案，设立许可证有效期届满后，不再换发许可证，执行登记备案制度。社区养老服务中心（站）符合养老机构登记备案条件的，应予以登记备案，未达到条件的，应作为基本公共服务设施加强日常运营管理。</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720" w:right="0" w:firstLine="420"/>
        <w:jc w:val="left"/>
        <w:textAlignment w:val="auto"/>
        <w:rPr>
          <w:rFonts w:hint="default" w:ascii="sans-serif" w:hAnsi="sans-serif" w:eastAsia="sans-serif" w:cs="sans-serif"/>
          <w:i w:val="0"/>
          <w:caps w:val="0"/>
          <w:color w:val="000000"/>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0" w:right="0" w:firstLine="420"/>
        <w:jc w:val="left"/>
        <w:textAlignment w:val="auto"/>
        <w:rPr>
          <w:rFonts w:hint="default" w:ascii="sans-serif" w:hAnsi="sans-serif" w:eastAsia="sans-serif" w:cs="sans-serif"/>
          <w:i w:val="0"/>
          <w:caps w:val="0"/>
          <w:color w:val="000000"/>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0" w:right="0" w:firstLine="420"/>
        <w:jc w:val="left"/>
        <w:textAlignment w:val="auto"/>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333333"/>
          <w:spacing w:val="0"/>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91F69"/>
    <w:rsid w:val="48991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区政务服务管理办公室</Company>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2022-07-07T08:29:00Z</dcterms:created>
  <dc:creator>Administrator</dc:creator>
  <cp:lastModifiedBy>Administrator</cp:lastModifiedBy>
  <dcterms:modified xsi:type="dcterms:W3CDTF">2022-07-07T08:30:50Z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