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right="0"/>
        <w:jc w:val="left"/>
        <w:textAlignment w:val="auto"/>
        <w:rPr>
          <w:rFonts w:hint="default" w:ascii="sans-serif" w:hAnsi="sans-serif" w:eastAsia="sans-serif" w:cs="sans-serif"/>
          <w:i w:val="0"/>
          <w:caps w:val="0"/>
          <w:color w:val="000000"/>
          <w:spacing w:val="0"/>
          <w:sz w:val="24"/>
          <w:szCs w:val="24"/>
        </w:rPr>
      </w:pPr>
      <w:r>
        <w:rPr>
          <w:rFonts w:hint="eastAsia" w:ascii="方正黑体_GBK" w:hAnsi="方正黑体_GBK" w:eastAsia="方正黑体_GBK" w:cs="方正黑体_GBK"/>
          <w:i w:val="0"/>
          <w:caps w:val="0"/>
          <w:color w:val="333333"/>
          <w:spacing w:val="0"/>
          <w:sz w:val="32"/>
          <w:szCs w:val="32"/>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center"/>
        <w:textAlignment w:val="auto"/>
        <w:rPr>
          <w:rFonts w:hint="default" w:ascii="sans-serif" w:hAnsi="sans-serif" w:eastAsia="sans-serif" w:cs="sans-serif"/>
          <w:i w:val="0"/>
          <w:caps w:val="0"/>
          <w:color w:val="000000"/>
          <w:spacing w:val="0"/>
          <w:sz w:val="24"/>
          <w:szCs w:val="24"/>
        </w:rPr>
      </w:pPr>
      <w:bookmarkStart w:id="0" w:name="_GoBack"/>
      <w:r>
        <w:rPr>
          <w:rFonts w:hint="eastAsia" w:ascii="方正小标宋_GBK" w:hAnsi="方正小标宋_GBK" w:eastAsia="方正小标宋_GBK" w:cs="方正小标宋_GBK"/>
          <w:i w:val="0"/>
          <w:caps w:val="0"/>
          <w:color w:val="333333"/>
          <w:spacing w:val="0"/>
          <w:sz w:val="44"/>
          <w:szCs w:val="44"/>
        </w:rPr>
        <w:t>万州区承接市级下放和对应市级取消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center"/>
        <w:textAlignment w:val="auto"/>
        <w:rPr>
          <w:rFonts w:hint="default" w:ascii="sans-serif" w:hAnsi="sans-serif" w:eastAsia="sans-serif" w:cs="sans-serif"/>
          <w:i w:val="0"/>
          <w:caps w:val="0"/>
          <w:color w:val="000000"/>
          <w:spacing w:val="0"/>
          <w:sz w:val="24"/>
          <w:szCs w:val="24"/>
        </w:rPr>
      </w:pPr>
      <w:r>
        <w:rPr>
          <w:rFonts w:hint="eastAsia" w:ascii="方正小标宋_GBK" w:hAnsi="方正小标宋_GBK" w:eastAsia="方正小标宋_GBK" w:cs="方正小标宋_GBK"/>
          <w:i w:val="0"/>
          <w:caps w:val="0"/>
          <w:color w:val="333333"/>
          <w:spacing w:val="0"/>
          <w:sz w:val="44"/>
          <w:szCs w:val="44"/>
        </w:rPr>
        <w:t>行政许可事项目录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center"/>
        <w:textAlignment w:val="auto"/>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333333"/>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720" w:right="0" w:firstLine="420"/>
        <w:jc w:val="left"/>
        <w:textAlignment w:val="auto"/>
        <w:rPr>
          <w:rFonts w:hint="default" w:ascii="sans-serif" w:hAnsi="sans-serif" w:eastAsia="sans-serif" w:cs="sans-serif"/>
          <w:i w:val="0"/>
          <w:caps w:val="0"/>
          <w:color w:val="000000"/>
          <w:spacing w:val="0"/>
          <w:sz w:val="24"/>
          <w:szCs w:val="24"/>
        </w:rPr>
      </w:pPr>
      <w:r>
        <w:rPr>
          <w:rFonts w:ascii="微软雅黑" w:hAnsi="微软雅黑" w:eastAsia="微软雅黑" w:cs="微软雅黑"/>
          <w:i w:val="0"/>
          <w:caps w:val="0"/>
          <w:color w:val="333333"/>
          <w:spacing w:val="0"/>
          <w:sz w:val="32"/>
          <w:szCs w:val="32"/>
        </w:rPr>
        <w:t>一、 </w:t>
      </w:r>
      <w:r>
        <w:rPr>
          <w:rFonts w:hint="eastAsia" w:ascii="方正黑体_GBK" w:hAnsi="方正黑体_GBK" w:eastAsia="方正黑体_GBK" w:cs="方正黑体_GBK"/>
          <w:i w:val="0"/>
          <w:caps w:val="0"/>
          <w:color w:val="333333"/>
          <w:spacing w:val="0"/>
          <w:sz w:val="32"/>
          <w:szCs w:val="32"/>
        </w:rPr>
        <w:t>承接的行政许可事项目录（2项）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333333"/>
          <w:spacing w:val="0"/>
          <w:sz w:val="24"/>
          <w:szCs w:val="24"/>
        </w:rPr>
        <w:t> </w:t>
      </w:r>
    </w:p>
    <w:tbl>
      <w:tblPr>
        <w:tblStyle w:val="3"/>
        <w:tblW w:w="851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706"/>
        <w:gridCol w:w="2026"/>
        <w:gridCol w:w="2152"/>
        <w:gridCol w:w="1500"/>
        <w:gridCol w:w="1231"/>
        <w:gridCol w:w="9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60" w:hRule="atLeast"/>
        </w:trPr>
        <w:tc>
          <w:tcPr>
            <w:tcW w:w="7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序号</w:t>
            </w:r>
          </w:p>
        </w:tc>
        <w:tc>
          <w:tcPr>
            <w:tcW w:w="202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项目名称</w:t>
            </w:r>
          </w:p>
        </w:tc>
        <w:tc>
          <w:tcPr>
            <w:tcW w:w="215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设定依据</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市级实施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部门</w:t>
            </w:r>
          </w:p>
        </w:tc>
        <w:tc>
          <w:tcPr>
            <w:tcW w:w="123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我区承接部门</w:t>
            </w:r>
          </w:p>
        </w:tc>
        <w:tc>
          <w:tcPr>
            <w:tcW w:w="9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245" w:hRule="atLeast"/>
        </w:trPr>
        <w:tc>
          <w:tcPr>
            <w:tcW w:w="7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1</w:t>
            </w:r>
          </w:p>
        </w:tc>
        <w:tc>
          <w:tcPr>
            <w:tcW w:w="202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主城区以外毗邻区县行政区域间道路旅客运输经营许可</w:t>
            </w:r>
          </w:p>
        </w:tc>
        <w:tc>
          <w:tcPr>
            <w:tcW w:w="215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《中华人民共和国道路运输条例》</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市道路运输管理局</w:t>
            </w:r>
          </w:p>
        </w:tc>
        <w:tc>
          <w:tcPr>
            <w:tcW w:w="123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区运管处</w:t>
            </w:r>
          </w:p>
        </w:tc>
        <w:tc>
          <w:tcPr>
            <w:tcW w:w="9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587" w:lineRule="exact"/>
              <w:ind w:left="0" w:firstLine="0"/>
              <w:jc w:val="left"/>
              <w:textAlignment w:val="auto"/>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765" w:hRule="atLeast"/>
        </w:trPr>
        <w:tc>
          <w:tcPr>
            <w:tcW w:w="7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2</w:t>
            </w:r>
          </w:p>
        </w:tc>
        <w:tc>
          <w:tcPr>
            <w:tcW w:w="202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护士执业注册</w:t>
            </w:r>
          </w:p>
        </w:tc>
        <w:tc>
          <w:tcPr>
            <w:tcW w:w="215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《护士条例》</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市卫生健康委</w:t>
            </w:r>
          </w:p>
        </w:tc>
        <w:tc>
          <w:tcPr>
            <w:tcW w:w="123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区卫生健康委</w:t>
            </w:r>
          </w:p>
        </w:tc>
        <w:tc>
          <w:tcPr>
            <w:tcW w:w="9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587" w:lineRule="exact"/>
              <w:ind w:left="0" w:firstLine="0"/>
              <w:jc w:val="left"/>
              <w:textAlignment w:val="auto"/>
              <w:rPr>
                <w:rFonts w:hint="default" w:ascii="sans-serif" w:hAnsi="sans-serif" w:eastAsia="sans-serif" w:cs="sans-serif"/>
                <w:i w:val="0"/>
                <w:caps w:val="0"/>
                <w:color w:val="000000"/>
                <w:spacing w:val="0"/>
                <w:sz w:val="27"/>
                <w:szCs w:val="27"/>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left"/>
        <w:textAlignment w:val="auto"/>
        <w:rPr>
          <w:rFonts w:hint="default" w:ascii="sans-serif" w:hAnsi="sans-serif" w:eastAsia="sans-serif" w:cs="sans-serif"/>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720" w:right="0" w:firstLine="420"/>
        <w:jc w:val="left"/>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333333"/>
          <w:spacing w:val="0"/>
          <w:sz w:val="32"/>
          <w:szCs w:val="32"/>
        </w:rPr>
        <w:t>二、 </w:t>
      </w:r>
      <w:r>
        <w:rPr>
          <w:rFonts w:hint="eastAsia" w:ascii="方正黑体_GBK" w:hAnsi="方正黑体_GBK" w:eastAsia="方正黑体_GBK" w:cs="方正黑体_GBK"/>
          <w:i w:val="0"/>
          <w:caps w:val="0"/>
          <w:color w:val="333333"/>
          <w:spacing w:val="0"/>
          <w:sz w:val="32"/>
          <w:szCs w:val="32"/>
        </w:rPr>
        <w:t>取消的行政许可事项目录（6项）</w:t>
      </w:r>
    </w:p>
    <w:tbl>
      <w:tblPr>
        <w:tblStyle w:val="3"/>
        <w:tblW w:w="836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720"/>
        <w:gridCol w:w="1042"/>
        <w:gridCol w:w="1650"/>
        <w:gridCol w:w="1112"/>
        <w:gridCol w:w="1083"/>
        <w:gridCol w:w="27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trPr>
        <w:tc>
          <w:tcPr>
            <w:tcW w:w="720" w:type="dxa"/>
            <w:tcBorders>
              <w:top w:val="single" w:color="808080"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序号</w:t>
            </w:r>
          </w:p>
        </w:tc>
        <w:tc>
          <w:tcPr>
            <w:tcW w:w="1042"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名称</w:t>
            </w:r>
          </w:p>
        </w:tc>
        <w:tc>
          <w:tcPr>
            <w:tcW w:w="1650"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设定依据</w:t>
            </w:r>
          </w:p>
        </w:tc>
        <w:tc>
          <w:tcPr>
            <w:tcW w:w="1112"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部门</w:t>
            </w:r>
          </w:p>
        </w:tc>
        <w:tc>
          <w:tcPr>
            <w:tcW w:w="1083"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意见</w:t>
            </w:r>
          </w:p>
        </w:tc>
        <w:tc>
          <w:tcPr>
            <w:tcW w:w="2759"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rPr>
              <w:t>备</w:t>
            </w:r>
            <w:r>
              <w:rPr>
                <w:rFonts w:hint="eastAsia" w:ascii="微软雅黑" w:hAnsi="微软雅黑" w:eastAsia="微软雅黑" w:cs="微软雅黑"/>
                <w:i w:val="0"/>
                <w:caps w:val="0"/>
                <w:color w:val="333333"/>
                <w:spacing w:val="0"/>
                <w:sz w:val="24"/>
                <w:szCs w:val="24"/>
              </w:rPr>
              <w:t>  </w:t>
            </w:r>
            <w:r>
              <w:rPr>
                <w:rFonts w:hint="eastAsia" w:ascii="方正黑体_GBK" w:hAnsi="方正黑体_GBK" w:eastAsia="方正黑体_GBK" w:cs="方正黑体_GBK"/>
                <w:i w:val="0"/>
                <w:caps w:val="0"/>
                <w:color w:val="333333"/>
                <w:spacing w:val="0"/>
                <w:sz w:val="24"/>
                <w:szCs w:val="24"/>
              </w:rPr>
              <w:t>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625" w:hRule="atLeast"/>
        </w:trPr>
        <w:tc>
          <w:tcPr>
            <w:tcW w:w="720"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微软雅黑" w:hAnsi="微软雅黑" w:eastAsia="微软雅黑" w:cs="微软雅黑"/>
                <w:i w:val="0"/>
                <w:caps w:val="0"/>
                <w:color w:val="333333"/>
                <w:spacing w:val="0"/>
                <w:sz w:val="24"/>
                <w:szCs w:val="24"/>
              </w:rPr>
              <w:t>1</w:t>
            </w:r>
          </w:p>
        </w:tc>
        <w:tc>
          <w:tcPr>
            <w:tcW w:w="104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船员注册及服务簿签发</w:t>
            </w:r>
          </w:p>
        </w:tc>
        <w:tc>
          <w:tcPr>
            <w:tcW w:w="1650"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《中华人民共和国船员条例》</w:t>
            </w:r>
          </w:p>
        </w:tc>
        <w:tc>
          <w:tcPr>
            <w:tcW w:w="111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区港航局</w:t>
            </w:r>
          </w:p>
        </w:tc>
        <w:tc>
          <w:tcPr>
            <w:tcW w:w="108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75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rPr>
              <w:t>取消审批后，对通过船员适任证书核发审查的船员直接发放《船员服务簿》。通过以下措施加强事中事后监管：</w:t>
            </w:r>
            <w:r>
              <w:rPr>
                <w:rFonts w:hint="default" w:ascii="Times New Roman" w:hAnsi="Times New Roman" w:eastAsia="sans-serif" w:cs="Times New Roman"/>
                <w:i w:val="0"/>
                <w:caps w:val="0"/>
                <w:color w:val="333333"/>
                <w:spacing w:val="0"/>
                <w:sz w:val="24"/>
                <w:szCs w:val="24"/>
              </w:rPr>
              <w:t>1</w:t>
            </w:r>
            <w:r>
              <w:rPr>
                <w:rFonts w:hint="eastAsia" w:ascii="方正仿宋_GBK" w:hAnsi="方正仿宋_GBK" w:eastAsia="方正仿宋_GBK" w:cs="方正仿宋_GBK"/>
                <w:i w:val="0"/>
                <w:caps w:val="0"/>
                <w:color w:val="333333"/>
                <w:spacing w:val="0"/>
                <w:sz w:val="24"/>
                <w:szCs w:val="24"/>
              </w:rPr>
              <w:t>．加强船员适任证书管理，厨师、服务员等不参加航行值班的船员纳入船员适任证书核发申请人员范围。</w:t>
            </w:r>
            <w:r>
              <w:rPr>
                <w:rFonts w:hint="default" w:ascii="Times New Roman" w:hAnsi="Times New Roman" w:eastAsia="sans-serif" w:cs="Times New Roman"/>
                <w:i w:val="0"/>
                <w:caps w:val="0"/>
                <w:color w:val="333333"/>
                <w:spacing w:val="0"/>
                <w:sz w:val="24"/>
                <w:szCs w:val="24"/>
              </w:rPr>
              <w:t>2</w:t>
            </w:r>
            <w:r>
              <w:rPr>
                <w:rFonts w:hint="eastAsia" w:ascii="方正仿宋_GBK" w:hAnsi="方正仿宋_GBK" w:eastAsia="方正仿宋_GBK" w:cs="方正仿宋_GBK"/>
                <w:i w:val="0"/>
                <w:caps w:val="0"/>
                <w:color w:val="333333"/>
                <w:spacing w:val="0"/>
                <w:sz w:val="24"/>
                <w:szCs w:val="24"/>
              </w:rPr>
              <w:t>．对年满</w:t>
            </w:r>
            <w:r>
              <w:rPr>
                <w:rFonts w:hint="default" w:ascii="Times New Roman" w:hAnsi="Times New Roman" w:eastAsia="sans-serif" w:cs="Times New Roman"/>
                <w:i w:val="0"/>
                <w:caps w:val="0"/>
                <w:color w:val="333333"/>
                <w:spacing w:val="0"/>
                <w:sz w:val="24"/>
                <w:szCs w:val="24"/>
              </w:rPr>
              <w:t>18</w:t>
            </w:r>
            <w:r>
              <w:rPr>
                <w:rFonts w:hint="eastAsia" w:ascii="方正仿宋_GBK" w:hAnsi="方正仿宋_GBK" w:eastAsia="方正仿宋_GBK" w:cs="方正仿宋_GBK"/>
                <w:i w:val="0"/>
                <w:caps w:val="0"/>
                <w:color w:val="333333"/>
                <w:spacing w:val="0"/>
                <w:sz w:val="24"/>
                <w:szCs w:val="24"/>
              </w:rPr>
              <w:t>周岁（在船实习、见习人员年满</w:t>
            </w:r>
            <w:r>
              <w:rPr>
                <w:rFonts w:hint="default" w:ascii="Times New Roman" w:hAnsi="Times New Roman" w:eastAsia="sans-serif" w:cs="Times New Roman"/>
                <w:i w:val="0"/>
                <w:caps w:val="0"/>
                <w:color w:val="333333"/>
                <w:spacing w:val="0"/>
                <w:sz w:val="24"/>
                <w:szCs w:val="24"/>
              </w:rPr>
              <w:t>16</w:t>
            </w:r>
            <w:r>
              <w:rPr>
                <w:rFonts w:hint="eastAsia" w:ascii="方正仿宋_GBK" w:hAnsi="方正仿宋_GBK" w:eastAsia="方正仿宋_GBK" w:cs="方正仿宋_GBK"/>
                <w:i w:val="0"/>
                <w:caps w:val="0"/>
                <w:color w:val="333333"/>
                <w:spacing w:val="0"/>
                <w:sz w:val="24"/>
                <w:szCs w:val="24"/>
              </w:rPr>
              <w:t>周岁）、符合船员健康要求、经船员基本安全培训并通过海事管理机构考试者，在签发相应船员适任证书时，直接发放《船员服务簿》。</w:t>
            </w:r>
            <w:r>
              <w:rPr>
                <w:rFonts w:hint="default" w:ascii="Times New Roman" w:hAnsi="Times New Roman" w:eastAsia="sans-serif" w:cs="Times New Roman"/>
                <w:i w:val="0"/>
                <w:caps w:val="0"/>
                <w:color w:val="333333"/>
                <w:spacing w:val="0"/>
                <w:sz w:val="24"/>
                <w:szCs w:val="24"/>
              </w:rPr>
              <w:t>3</w:t>
            </w:r>
            <w:r>
              <w:rPr>
                <w:rFonts w:hint="eastAsia" w:ascii="方正仿宋_GBK" w:hAnsi="方正仿宋_GBK" w:eastAsia="方正仿宋_GBK" w:cs="方正仿宋_GBK"/>
                <w:i w:val="0"/>
                <w:caps w:val="0"/>
                <w:color w:val="333333"/>
                <w:spacing w:val="0"/>
                <w:sz w:val="24"/>
                <w:szCs w:val="24"/>
              </w:rPr>
              <w:t>．新的《船员服务簿》作为船员个人持有的法定文书，主要承载船员档案功能，记录船员履职情况。加强船员持有《船员服务簿》和记录船员履职情况的监督检查。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25" w:hRule="atLeast"/>
        </w:trPr>
        <w:tc>
          <w:tcPr>
            <w:tcW w:w="720"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rPr>
              <w:t>2</w:t>
            </w:r>
          </w:p>
        </w:tc>
        <w:tc>
          <w:tcPr>
            <w:tcW w:w="104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道路货物运输站（场）经营许可</w:t>
            </w:r>
          </w:p>
        </w:tc>
        <w:tc>
          <w:tcPr>
            <w:tcW w:w="1650"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《中华人民共和国道路运输条例》</w:t>
            </w:r>
          </w:p>
        </w:tc>
        <w:tc>
          <w:tcPr>
            <w:tcW w:w="111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区运管处</w:t>
            </w:r>
          </w:p>
        </w:tc>
        <w:tc>
          <w:tcPr>
            <w:tcW w:w="108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75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rPr>
              <w:t>取消审批后，通过以下措施加强事中事后监管：</w:t>
            </w:r>
            <w:r>
              <w:rPr>
                <w:rFonts w:hint="default" w:ascii="Times New Roman" w:hAnsi="Times New Roman" w:eastAsia="sans-serif" w:cs="Times New Roman"/>
                <w:i w:val="0"/>
                <w:caps w:val="0"/>
                <w:color w:val="333333"/>
                <w:spacing w:val="0"/>
                <w:sz w:val="24"/>
                <w:szCs w:val="24"/>
              </w:rPr>
              <w:t>1</w:t>
            </w:r>
            <w:r>
              <w:rPr>
                <w:rFonts w:hint="eastAsia" w:ascii="方正仿宋_GBK" w:hAnsi="方正仿宋_GBK" w:eastAsia="方正仿宋_GBK" w:cs="方正仿宋_GBK"/>
                <w:i w:val="0"/>
                <w:caps w:val="0"/>
                <w:color w:val="333333"/>
                <w:spacing w:val="0"/>
                <w:sz w:val="24"/>
                <w:szCs w:val="24"/>
              </w:rPr>
              <w:t>．通过“双随机、一公开”监管等方式，加强对道路货物运输站（场）生产经营的监督管理，依法查处违反道路货物运输经营管理规定的行为。</w:t>
            </w:r>
            <w:r>
              <w:rPr>
                <w:rFonts w:hint="default" w:ascii="Times New Roman" w:hAnsi="Times New Roman" w:eastAsia="sans-serif" w:cs="Times New Roman"/>
                <w:i w:val="0"/>
                <w:caps w:val="0"/>
                <w:color w:val="333333"/>
                <w:spacing w:val="0"/>
                <w:sz w:val="24"/>
                <w:szCs w:val="24"/>
              </w:rPr>
              <w:t>2</w:t>
            </w:r>
            <w:r>
              <w:rPr>
                <w:rFonts w:hint="eastAsia" w:ascii="方正仿宋_GBK" w:hAnsi="方正仿宋_GBK" w:eastAsia="方正仿宋_GBK" w:cs="方正仿宋_GBK"/>
                <w:i w:val="0"/>
                <w:caps w:val="0"/>
                <w:color w:val="333333"/>
                <w:spacing w:val="0"/>
                <w:sz w:val="24"/>
                <w:szCs w:val="24"/>
              </w:rPr>
              <w:t>．实施道路货物运输站（场）相关标准，推动站（场）建设运营标准化。</w:t>
            </w:r>
            <w:r>
              <w:rPr>
                <w:rFonts w:hint="default" w:ascii="Times New Roman" w:hAnsi="Times New Roman" w:eastAsia="sans-serif" w:cs="Times New Roman"/>
                <w:i w:val="0"/>
                <w:caps w:val="0"/>
                <w:color w:val="333333"/>
                <w:spacing w:val="0"/>
                <w:sz w:val="24"/>
                <w:szCs w:val="24"/>
              </w:rPr>
              <w:t>3</w:t>
            </w:r>
            <w:r>
              <w:rPr>
                <w:rFonts w:hint="eastAsia" w:ascii="方正仿宋_GBK" w:hAnsi="方正仿宋_GBK" w:eastAsia="方正仿宋_GBK" w:cs="方正仿宋_GBK"/>
                <w:i w:val="0"/>
                <w:caps w:val="0"/>
                <w:color w:val="333333"/>
                <w:spacing w:val="0"/>
                <w:sz w:val="24"/>
                <w:szCs w:val="24"/>
              </w:rPr>
              <w:t>．加强与市场监管、住房城乡建设、应急管理、公安等部门关于道路货物运输站（场）相关信息共享。</w:t>
            </w:r>
            <w:r>
              <w:rPr>
                <w:rFonts w:hint="default" w:ascii="Times New Roman" w:hAnsi="Times New Roman" w:eastAsia="sans-serif" w:cs="Times New Roman"/>
                <w:i w:val="0"/>
                <w:caps w:val="0"/>
                <w:color w:val="333333"/>
                <w:spacing w:val="0"/>
                <w:sz w:val="24"/>
                <w:szCs w:val="24"/>
              </w:rPr>
              <w:t>4</w:t>
            </w:r>
            <w:r>
              <w:rPr>
                <w:rFonts w:hint="eastAsia" w:ascii="方正仿宋_GBK" w:hAnsi="方正仿宋_GBK" w:eastAsia="方正仿宋_GBK" w:cs="方正仿宋_GBK"/>
                <w:i w:val="0"/>
                <w:caps w:val="0"/>
                <w:color w:val="333333"/>
                <w:spacing w:val="0"/>
                <w:sz w:val="24"/>
                <w:szCs w:val="24"/>
              </w:rPr>
              <w:t>．加强对道路货物运输站（场）经营业户的信用监管，向社会公开失信企业名单，并实施联合惩戒。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535" w:hRule="atLeast"/>
        </w:trPr>
        <w:tc>
          <w:tcPr>
            <w:tcW w:w="720"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rPr>
              <w:t>3</w:t>
            </w:r>
          </w:p>
        </w:tc>
        <w:tc>
          <w:tcPr>
            <w:tcW w:w="104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名称预先核准</w:t>
            </w:r>
          </w:p>
        </w:tc>
        <w:tc>
          <w:tcPr>
            <w:tcW w:w="1650"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《中华人民共和国公司登记管理条例》《中华人民共和国企业法人登记管理条例》《企业名称登记管理规定》《个体工商户条例》《农民专业合作社登记管理条例》</w:t>
            </w:r>
          </w:p>
        </w:tc>
        <w:tc>
          <w:tcPr>
            <w:tcW w:w="111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区市场监管局</w:t>
            </w:r>
          </w:p>
        </w:tc>
        <w:tc>
          <w:tcPr>
            <w:tcW w:w="108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75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rPr>
              <w:t>取消审批后，改为企业（包括个体工商户、农民专业合作社，下同）自主申报名称，市场监管部门在企业注册登记时核准名称。市场监管部门通过以下措施优化服务、加强事中事后监管：</w:t>
            </w:r>
            <w:r>
              <w:rPr>
                <w:rFonts w:hint="default" w:ascii="Times New Roman" w:hAnsi="Times New Roman" w:eastAsia="sans-serif" w:cs="Times New Roman"/>
                <w:i w:val="0"/>
                <w:caps w:val="0"/>
                <w:color w:val="333333"/>
                <w:spacing w:val="0"/>
                <w:sz w:val="24"/>
                <w:szCs w:val="24"/>
              </w:rPr>
              <w:t>1</w:t>
            </w:r>
            <w:r>
              <w:rPr>
                <w:rFonts w:hint="eastAsia" w:ascii="方正仿宋_GBK" w:hAnsi="方正仿宋_GBK" w:eastAsia="方正仿宋_GBK" w:cs="方正仿宋_GBK"/>
                <w:i w:val="0"/>
                <w:caps w:val="0"/>
                <w:color w:val="333333"/>
                <w:spacing w:val="0"/>
                <w:sz w:val="24"/>
                <w:szCs w:val="24"/>
              </w:rPr>
              <w:t>．向社会公开企业名称库，引导企业自行拟定符合规则要求的名称。</w:t>
            </w:r>
            <w:r>
              <w:rPr>
                <w:rFonts w:hint="default" w:ascii="Times New Roman" w:hAnsi="Times New Roman" w:eastAsia="sans-serif" w:cs="Times New Roman"/>
                <w:i w:val="0"/>
                <w:caps w:val="0"/>
                <w:color w:val="333333"/>
                <w:spacing w:val="0"/>
                <w:sz w:val="24"/>
                <w:szCs w:val="24"/>
              </w:rPr>
              <w:t>2</w:t>
            </w:r>
            <w:r>
              <w:rPr>
                <w:rFonts w:hint="eastAsia" w:ascii="方正仿宋_GBK" w:hAnsi="方正仿宋_GBK" w:eastAsia="方正仿宋_GBK" w:cs="方正仿宋_GBK"/>
                <w:i w:val="0"/>
                <w:caps w:val="0"/>
                <w:color w:val="333333"/>
                <w:spacing w:val="0"/>
                <w:sz w:val="24"/>
                <w:szCs w:val="24"/>
              </w:rPr>
              <w:t>．建立企业名称自主申报制度，明确企业名称禁限用规则，完善企业名称争议处理机制，加强对企业名称使用的监督管理。</w:t>
            </w:r>
            <w:r>
              <w:rPr>
                <w:rFonts w:hint="default" w:ascii="Times New Roman" w:hAnsi="Times New Roman" w:eastAsia="sans-serif" w:cs="Times New Roman"/>
                <w:i w:val="0"/>
                <w:caps w:val="0"/>
                <w:color w:val="333333"/>
                <w:spacing w:val="0"/>
                <w:sz w:val="24"/>
                <w:szCs w:val="24"/>
              </w:rPr>
              <w:t>3</w:t>
            </w:r>
            <w:r>
              <w:rPr>
                <w:rFonts w:hint="eastAsia" w:ascii="方正仿宋_GBK" w:hAnsi="方正仿宋_GBK" w:eastAsia="方正仿宋_GBK" w:cs="方正仿宋_GBK"/>
                <w:i w:val="0"/>
                <w:caps w:val="0"/>
                <w:color w:val="333333"/>
                <w:spacing w:val="0"/>
                <w:sz w:val="24"/>
                <w:szCs w:val="24"/>
              </w:rPr>
              <w:t>．简化优化工商登记程序，实行“一次性告知”，提高企业登记办理效率，保障企业自主选择名称。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225" w:hRule="atLeast"/>
        </w:trPr>
        <w:tc>
          <w:tcPr>
            <w:tcW w:w="720"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rPr>
              <w:t>4</w:t>
            </w:r>
          </w:p>
        </w:tc>
        <w:tc>
          <w:tcPr>
            <w:tcW w:w="104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养老机构设立许可（含分支机构，涉外投资、市级财政投资兴办除外）</w:t>
            </w:r>
          </w:p>
        </w:tc>
        <w:tc>
          <w:tcPr>
            <w:tcW w:w="1650"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《中华人民共和国老年人权益保障法》第四十四条；《养老机构设立许可办法》</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民政部令第</w:t>
            </w:r>
            <w:r>
              <w:rPr>
                <w:rFonts w:hint="default" w:ascii="Times New Roman" w:hAnsi="Times New Roman" w:eastAsia="sans-serif" w:cs="Times New Roman"/>
                <w:i w:val="0"/>
                <w:caps w:val="0"/>
                <w:color w:val="333333"/>
                <w:spacing w:val="0"/>
                <w:sz w:val="24"/>
                <w:szCs w:val="24"/>
              </w:rPr>
              <w:t>48</w:t>
            </w:r>
            <w:r>
              <w:rPr>
                <w:rFonts w:hint="eastAsia" w:ascii="方正仿宋_GBK" w:hAnsi="方正仿宋_GBK" w:eastAsia="方正仿宋_GBK" w:cs="方正仿宋_GBK"/>
                <w:i w:val="0"/>
                <w:caps w:val="0"/>
                <w:color w:val="333333"/>
                <w:spacing w:val="0"/>
                <w:sz w:val="24"/>
                <w:szCs w:val="24"/>
              </w:rPr>
              <w:t>号</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第七条；《重庆市养老机构设立许可实施办法》第四条第二款；《养老机构设立许可办法》</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民政部令第</w:t>
            </w:r>
            <w:r>
              <w:rPr>
                <w:rFonts w:hint="default" w:ascii="Times New Roman" w:hAnsi="Times New Roman" w:eastAsia="sans-serif" w:cs="Times New Roman"/>
                <w:i w:val="0"/>
                <w:caps w:val="0"/>
                <w:color w:val="333333"/>
                <w:spacing w:val="0"/>
                <w:sz w:val="24"/>
                <w:szCs w:val="24"/>
              </w:rPr>
              <w:t>48</w:t>
            </w:r>
            <w:r>
              <w:rPr>
                <w:rFonts w:hint="eastAsia" w:ascii="方正仿宋_GBK" w:hAnsi="方正仿宋_GBK" w:eastAsia="方正仿宋_GBK" w:cs="方正仿宋_GBK"/>
                <w:i w:val="0"/>
                <w:caps w:val="0"/>
                <w:color w:val="333333"/>
                <w:spacing w:val="0"/>
                <w:sz w:val="24"/>
                <w:szCs w:val="24"/>
              </w:rPr>
              <w:t>号</w:t>
            </w:r>
            <w:r>
              <w:rPr>
                <w:rFonts w:hint="default" w:ascii="Times New Roman" w:hAnsi="Times New Roman" w:eastAsia="sans-serif" w:cs="Times New Roman"/>
                <w:i w:val="0"/>
                <w:caps w:val="0"/>
                <w:color w:val="333333"/>
                <w:spacing w:val="0"/>
                <w:sz w:val="24"/>
                <w:szCs w:val="24"/>
              </w:rPr>
              <w:t>) </w:t>
            </w:r>
            <w:r>
              <w:rPr>
                <w:rFonts w:hint="eastAsia" w:ascii="方正仿宋_GBK" w:hAnsi="方正仿宋_GBK" w:eastAsia="方正仿宋_GBK" w:cs="方正仿宋_GBK"/>
                <w:i w:val="0"/>
                <w:caps w:val="0"/>
                <w:color w:val="333333"/>
                <w:spacing w:val="0"/>
                <w:sz w:val="24"/>
                <w:szCs w:val="24"/>
              </w:rPr>
              <w:t>第十七条</w:t>
            </w:r>
          </w:p>
        </w:tc>
        <w:tc>
          <w:tcPr>
            <w:tcW w:w="111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区民政局</w:t>
            </w:r>
          </w:p>
        </w:tc>
        <w:tc>
          <w:tcPr>
            <w:tcW w:w="108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75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rPr>
              <w:t>2019</w:t>
            </w:r>
            <w:r>
              <w:rPr>
                <w:rFonts w:hint="eastAsia" w:ascii="方正仿宋_GBK" w:hAnsi="方正仿宋_GBK" w:eastAsia="方正仿宋_GBK" w:cs="方正仿宋_GBK"/>
                <w:i w:val="0"/>
                <w:caps w:val="0"/>
                <w:color w:val="333333"/>
                <w:spacing w:val="0"/>
                <w:sz w:val="24"/>
                <w:szCs w:val="24"/>
              </w:rPr>
              <w:t>〕</w:t>
            </w:r>
            <w:r>
              <w:rPr>
                <w:rFonts w:hint="default" w:ascii="Times New Roman" w:hAnsi="Times New Roman" w:eastAsia="sans-serif" w:cs="Times New Roman"/>
                <w:i w:val="0"/>
                <w:caps w:val="0"/>
                <w:color w:val="333333"/>
                <w:spacing w:val="0"/>
                <w:sz w:val="24"/>
                <w:szCs w:val="24"/>
              </w:rPr>
              <w:t>7</w:t>
            </w:r>
            <w:r>
              <w:rPr>
                <w:rFonts w:hint="eastAsia" w:ascii="方正仿宋_GBK" w:hAnsi="方正仿宋_GBK" w:eastAsia="方正仿宋_GBK" w:cs="方正仿宋_GBK"/>
                <w:i w:val="0"/>
                <w:caps w:val="0"/>
                <w:color w:val="333333"/>
                <w:spacing w:val="0"/>
                <w:sz w:val="24"/>
                <w:szCs w:val="24"/>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945" w:hRule="atLeast"/>
        </w:trPr>
        <w:tc>
          <w:tcPr>
            <w:tcW w:w="720"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rPr>
              <w:t>5</w:t>
            </w:r>
          </w:p>
        </w:tc>
        <w:tc>
          <w:tcPr>
            <w:tcW w:w="104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养老机构变更许可</w:t>
            </w:r>
          </w:p>
        </w:tc>
        <w:tc>
          <w:tcPr>
            <w:tcW w:w="1650"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《养老机构设立许可办法》</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民政部令第</w:t>
            </w:r>
            <w:r>
              <w:rPr>
                <w:rFonts w:hint="default" w:ascii="Times New Roman" w:hAnsi="Times New Roman" w:eastAsia="sans-serif" w:cs="Times New Roman"/>
                <w:i w:val="0"/>
                <w:caps w:val="0"/>
                <w:color w:val="333333"/>
                <w:spacing w:val="0"/>
                <w:sz w:val="24"/>
                <w:szCs w:val="24"/>
              </w:rPr>
              <w:t>48</w:t>
            </w:r>
            <w:r>
              <w:rPr>
                <w:rFonts w:hint="eastAsia" w:ascii="方正仿宋_GBK" w:hAnsi="方正仿宋_GBK" w:eastAsia="方正仿宋_GBK" w:cs="方正仿宋_GBK"/>
                <w:i w:val="0"/>
                <w:caps w:val="0"/>
                <w:color w:val="333333"/>
                <w:spacing w:val="0"/>
                <w:sz w:val="24"/>
                <w:szCs w:val="24"/>
              </w:rPr>
              <w:t>号</w:t>
            </w:r>
            <w:r>
              <w:rPr>
                <w:rFonts w:hint="default" w:ascii="Times New Roman" w:hAnsi="Times New Roman" w:eastAsia="sans-serif" w:cs="Times New Roman"/>
                <w:i w:val="0"/>
                <w:caps w:val="0"/>
                <w:color w:val="333333"/>
                <w:spacing w:val="0"/>
                <w:sz w:val="24"/>
                <w:szCs w:val="24"/>
              </w:rPr>
              <w:t>) </w:t>
            </w:r>
            <w:r>
              <w:rPr>
                <w:rFonts w:hint="eastAsia" w:ascii="方正仿宋_GBK" w:hAnsi="方正仿宋_GBK" w:eastAsia="方正仿宋_GBK" w:cs="方正仿宋_GBK"/>
                <w:i w:val="0"/>
                <w:caps w:val="0"/>
                <w:color w:val="333333"/>
                <w:spacing w:val="0"/>
                <w:sz w:val="24"/>
                <w:szCs w:val="24"/>
              </w:rPr>
              <w:t>第十八条</w:t>
            </w:r>
          </w:p>
        </w:tc>
        <w:tc>
          <w:tcPr>
            <w:tcW w:w="111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区民政局</w:t>
            </w:r>
          </w:p>
        </w:tc>
        <w:tc>
          <w:tcPr>
            <w:tcW w:w="108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75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rPr>
              <w:t>2019</w:t>
            </w:r>
            <w:r>
              <w:rPr>
                <w:rFonts w:hint="eastAsia" w:ascii="方正仿宋_GBK" w:hAnsi="方正仿宋_GBK" w:eastAsia="方正仿宋_GBK" w:cs="方正仿宋_GBK"/>
                <w:i w:val="0"/>
                <w:caps w:val="0"/>
                <w:color w:val="333333"/>
                <w:spacing w:val="0"/>
                <w:sz w:val="24"/>
                <w:szCs w:val="24"/>
              </w:rPr>
              <w:t>〕</w:t>
            </w:r>
            <w:r>
              <w:rPr>
                <w:rFonts w:hint="default" w:ascii="Times New Roman" w:hAnsi="Times New Roman" w:eastAsia="sans-serif" w:cs="Times New Roman"/>
                <w:i w:val="0"/>
                <w:caps w:val="0"/>
                <w:color w:val="333333"/>
                <w:spacing w:val="0"/>
                <w:sz w:val="24"/>
                <w:szCs w:val="24"/>
              </w:rPr>
              <w:t>7</w:t>
            </w:r>
            <w:r>
              <w:rPr>
                <w:rFonts w:hint="eastAsia" w:ascii="方正仿宋_GBK" w:hAnsi="方正仿宋_GBK" w:eastAsia="方正仿宋_GBK" w:cs="方正仿宋_GBK"/>
                <w:i w:val="0"/>
                <w:caps w:val="0"/>
                <w:color w:val="333333"/>
                <w:spacing w:val="0"/>
                <w:sz w:val="24"/>
                <w:szCs w:val="24"/>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955" w:hRule="atLeast"/>
        </w:trPr>
        <w:tc>
          <w:tcPr>
            <w:tcW w:w="720"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rPr>
              <w:t>6</w:t>
            </w:r>
          </w:p>
        </w:tc>
        <w:tc>
          <w:tcPr>
            <w:tcW w:w="104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养老机构注销许可</w:t>
            </w:r>
          </w:p>
        </w:tc>
        <w:tc>
          <w:tcPr>
            <w:tcW w:w="1650"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rPr>
              <w:t>《养老机构设立许可法》</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民政部令第</w:t>
            </w:r>
            <w:r>
              <w:rPr>
                <w:rFonts w:hint="default" w:ascii="Times New Roman" w:hAnsi="Times New Roman" w:eastAsia="sans-serif" w:cs="Times New Roman"/>
                <w:i w:val="0"/>
                <w:caps w:val="0"/>
                <w:color w:val="333333"/>
                <w:spacing w:val="0"/>
                <w:sz w:val="24"/>
                <w:szCs w:val="24"/>
              </w:rPr>
              <w:t>48</w:t>
            </w:r>
            <w:r>
              <w:rPr>
                <w:rFonts w:hint="eastAsia" w:ascii="方正仿宋_GBK" w:hAnsi="方正仿宋_GBK" w:eastAsia="方正仿宋_GBK" w:cs="方正仿宋_GBK"/>
                <w:i w:val="0"/>
                <w:caps w:val="0"/>
                <w:color w:val="333333"/>
                <w:spacing w:val="0"/>
                <w:sz w:val="24"/>
                <w:szCs w:val="24"/>
              </w:rPr>
              <w:t>号</w:t>
            </w:r>
            <w:r>
              <w:rPr>
                <w:rFonts w:hint="default" w:ascii="Times New Roman" w:hAnsi="Times New Roman" w:eastAsia="sans-serif" w:cs="Times New Roman"/>
                <w:i w:val="0"/>
                <w:caps w:val="0"/>
                <w:color w:val="333333"/>
                <w:spacing w:val="0"/>
                <w:sz w:val="24"/>
                <w:szCs w:val="24"/>
              </w:rPr>
              <w:t>) </w:t>
            </w:r>
            <w:r>
              <w:rPr>
                <w:rFonts w:hint="eastAsia" w:ascii="方正仿宋_GBK" w:hAnsi="方正仿宋_GBK" w:eastAsia="方正仿宋_GBK" w:cs="方正仿宋_GBK"/>
                <w:i w:val="0"/>
                <w:caps w:val="0"/>
                <w:color w:val="333333"/>
                <w:spacing w:val="0"/>
                <w:sz w:val="24"/>
                <w:szCs w:val="24"/>
              </w:rPr>
              <w:t>第十九条</w:t>
            </w:r>
          </w:p>
        </w:tc>
        <w:tc>
          <w:tcPr>
            <w:tcW w:w="1112"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区民政局</w:t>
            </w:r>
          </w:p>
        </w:tc>
        <w:tc>
          <w:tcPr>
            <w:tcW w:w="108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75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rPr>
              <w:t>2019</w:t>
            </w:r>
            <w:r>
              <w:rPr>
                <w:rFonts w:hint="eastAsia" w:ascii="方正仿宋_GBK" w:hAnsi="方正仿宋_GBK" w:eastAsia="方正仿宋_GBK" w:cs="方正仿宋_GBK"/>
                <w:i w:val="0"/>
                <w:caps w:val="0"/>
                <w:color w:val="333333"/>
                <w:spacing w:val="0"/>
                <w:sz w:val="24"/>
                <w:szCs w:val="24"/>
              </w:rPr>
              <w:t>〕</w:t>
            </w:r>
            <w:r>
              <w:rPr>
                <w:rFonts w:hint="default" w:ascii="Times New Roman" w:hAnsi="Times New Roman" w:eastAsia="sans-serif" w:cs="Times New Roman"/>
                <w:i w:val="0"/>
                <w:caps w:val="0"/>
                <w:color w:val="333333"/>
                <w:spacing w:val="0"/>
                <w:sz w:val="24"/>
                <w:szCs w:val="24"/>
              </w:rPr>
              <w:t>7</w:t>
            </w:r>
            <w:r>
              <w:rPr>
                <w:rFonts w:hint="eastAsia" w:ascii="方正仿宋_GBK" w:hAnsi="方正仿宋_GBK" w:eastAsia="方正仿宋_GBK" w:cs="方正仿宋_GBK"/>
                <w:i w:val="0"/>
                <w:caps w:val="0"/>
                <w:color w:val="333333"/>
                <w:spacing w:val="0"/>
                <w:sz w:val="24"/>
                <w:szCs w:val="24"/>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720" w:right="0" w:firstLine="420"/>
        <w:jc w:val="left"/>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333333"/>
          <w:spacing w:val="0"/>
          <w:sz w:val="32"/>
          <w:szCs w:val="32"/>
        </w:rPr>
        <w:t>三、 </w:t>
      </w:r>
      <w:r>
        <w:rPr>
          <w:rFonts w:hint="eastAsia" w:ascii="方正黑体_GBK" w:hAnsi="方正黑体_GBK" w:eastAsia="方正黑体_GBK" w:cs="方正黑体_GBK"/>
          <w:i w:val="0"/>
          <w:caps w:val="0"/>
          <w:color w:val="333333"/>
          <w:spacing w:val="0"/>
          <w:sz w:val="32"/>
          <w:szCs w:val="32"/>
        </w:rPr>
        <w:t>行政审批中介和证明材料事项（6项）</w:t>
      </w:r>
    </w:p>
    <w:tbl>
      <w:tblPr>
        <w:tblStyle w:val="3"/>
        <w:tblW w:w="836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648"/>
        <w:gridCol w:w="1041"/>
        <w:gridCol w:w="1647"/>
        <w:gridCol w:w="1098"/>
        <w:gridCol w:w="1069"/>
        <w:gridCol w:w="28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trPr>
        <w:tc>
          <w:tcPr>
            <w:tcW w:w="648" w:type="dxa"/>
            <w:tcBorders>
              <w:top w:val="single" w:color="808080"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序号</w:t>
            </w:r>
          </w:p>
        </w:tc>
        <w:tc>
          <w:tcPr>
            <w:tcW w:w="1041"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项目名称</w:t>
            </w:r>
          </w:p>
        </w:tc>
        <w:tc>
          <w:tcPr>
            <w:tcW w:w="1647"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设定依据</w:t>
            </w:r>
          </w:p>
        </w:tc>
        <w:tc>
          <w:tcPr>
            <w:tcW w:w="1098"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审批部门</w:t>
            </w:r>
          </w:p>
        </w:tc>
        <w:tc>
          <w:tcPr>
            <w:tcW w:w="1069"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处理意见</w:t>
            </w:r>
          </w:p>
        </w:tc>
        <w:tc>
          <w:tcPr>
            <w:tcW w:w="2863" w:type="dxa"/>
            <w:tcBorders>
              <w:top w:val="single" w:color="808080"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rPr>
              <w:t>备</w:t>
            </w:r>
            <w:r>
              <w:rPr>
                <w:rFonts w:hint="eastAsia" w:ascii="微软雅黑" w:hAnsi="微软雅黑" w:eastAsia="微软雅黑" w:cs="微软雅黑"/>
                <w:i w:val="0"/>
                <w:caps w:val="0"/>
                <w:color w:val="333333"/>
                <w:spacing w:val="0"/>
                <w:sz w:val="24"/>
                <w:szCs w:val="24"/>
              </w:rPr>
              <w:t>  </w:t>
            </w:r>
            <w:r>
              <w:rPr>
                <w:rFonts w:hint="eastAsia" w:ascii="方正黑体_GBK" w:hAnsi="方正黑体_GBK" w:eastAsia="方正黑体_GBK" w:cs="方正黑体_GBK"/>
                <w:i w:val="0"/>
                <w:caps w:val="0"/>
                <w:color w:val="333333"/>
                <w:spacing w:val="0"/>
                <w:sz w:val="24"/>
                <w:szCs w:val="24"/>
              </w:rPr>
              <w:t>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625" w:hRule="atLeast"/>
        </w:trPr>
        <w:tc>
          <w:tcPr>
            <w:tcW w:w="648"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微软雅黑" w:hAnsi="微软雅黑" w:eastAsia="微软雅黑" w:cs="微软雅黑"/>
                <w:i w:val="0"/>
                <w:caps w:val="0"/>
                <w:color w:val="333333"/>
                <w:spacing w:val="0"/>
                <w:sz w:val="24"/>
                <w:szCs w:val="24"/>
              </w:rPr>
              <w:t>1</w:t>
            </w:r>
          </w:p>
        </w:tc>
        <w:tc>
          <w:tcPr>
            <w:tcW w:w="1041"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船员注册及服务簿签发</w:t>
            </w:r>
          </w:p>
        </w:tc>
        <w:tc>
          <w:tcPr>
            <w:tcW w:w="1647"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《中华人民共和国船员条例》</w:t>
            </w:r>
          </w:p>
        </w:tc>
        <w:tc>
          <w:tcPr>
            <w:tcW w:w="1098"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区港航局</w:t>
            </w:r>
          </w:p>
        </w:tc>
        <w:tc>
          <w:tcPr>
            <w:tcW w:w="106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86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取消审批后，对通过船员适任证书核发审查的船员直接发放《船员服务簿》。通过以下措施加强事中事后监管：</w:t>
            </w:r>
            <w:r>
              <w:rPr>
                <w:rFonts w:hint="default" w:ascii="Times New Roman" w:hAnsi="Times New Roman" w:eastAsia="sans-serif" w:cs="Times New Roman"/>
                <w:i w:val="0"/>
                <w:caps w:val="0"/>
                <w:color w:val="333333"/>
                <w:spacing w:val="0"/>
                <w:sz w:val="24"/>
                <w:szCs w:val="24"/>
              </w:rPr>
              <w:t>1</w:t>
            </w:r>
            <w:r>
              <w:rPr>
                <w:rFonts w:hint="eastAsia" w:ascii="方正仿宋_GBK" w:hAnsi="方正仿宋_GBK" w:eastAsia="方正仿宋_GBK" w:cs="方正仿宋_GBK"/>
                <w:i w:val="0"/>
                <w:caps w:val="0"/>
                <w:color w:val="333333"/>
                <w:spacing w:val="0"/>
                <w:sz w:val="24"/>
                <w:szCs w:val="24"/>
              </w:rPr>
              <w:t>．加强船员适任证书管理，厨师、服务员等不参加航行值班的船员纳入船员适任证书核发申请人员范围。</w:t>
            </w:r>
            <w:r>
              <w:rPr>
                <w:rFonts w:hint="default" w:ascii="Times New Roman" w:hAnsi="Times New Roman" w:eastAsia="sans-serif" w:cs="Times New Roman"/>
                <w:i w:val="0"/>
                <w:caps w:val="0"/>
                <w:color w:val="333333"/>
                <w:spacing w:val="0"/>
                <w:sz w:val="24"/>
                <w:szCs w:val="24"/>
              </w:rPr>
              <w:t>2</w:t>
            </w:r>
            <w:r>
              <w:rPr>
                <w:rFonts w:hint="eastAsia" w:ascii="方正仿宋_GBK" w:hAnsi="方正仿宋_GBK" w:eastAsia="方正仿宋_GBK" w:cs="方正仿宋_GBK"/>
                <w:i w:val="0"/>
                <w:caps w:val="0"/>
                <w:color w:val="333333"/>
                <w:spacing w:val="0"/>
                <w:sz w:val="24"/>
                <w:szCs w:val="24"/>
              </w:rPr>
              <w:t>．对年满</w:t>
            </w:r>
            <w:r>
              <w:rPr>
                <w:rFonts w:hint="default" w:ascii="Times New Roman" w:hAnsi="Times New Roman" w:eastAsia="sans-serif" w:cs="Times New Roman"/>
                <w:i w:val="0"/>
                <w:caps w:val="0"/>
                <w:color w:val="333333"/>
                <w:spacing w:val="0"/>
                <w:sz w:val="24"/>
                <w:szCs w:val="24"/>
              </w:rPr>
              <w:t>18</w:t>
            </w:r>
            <w:r>
              <w:rPr>
                <w:rFonts w:hint="eastAsia" w:ascii="方正仿宋_GBK" w:hAnsi="方正仿宋_GBK" w:eastAsia="方正仿宋_GBK" w:cs="方正仿宋_GBK"/>
                <w:i w:val="0"/>
                <w:caps w:val="0"/>
                <w:color w:val="333333"/>
                <w:spacing w:val="0"/>
                <w:sz w:val="24"/>
                <w:szCs w:val="24"/>
              </w:rPr>
              <w:t>周岁（在船实习、见习人员年满</w:t>
            </w:r>
            <w:r>
              <w:rPr>
                <w:rFonts w:hint="default" w:ascii="Times New Roman" w:hAnsi="Times New Roman" w:eastAsia="sans-serif" w:cs="Times New Roman"/>
                <w:i w:val="0"/>
                <w:caps w:val="0"/>
                <w:color w:val="333333"/>
                <w:spacing w:val="0"/>
                <w:sz w:val="24"/>
                <w:szCs w:val="24"/>
              </w:rPr>
              <w:t>16</w:t>
            </w:r>
            <w:r>
              <w:rPr>
                <w:rFonts w:hint="eastAsia" w:ascii="方正仿宋_GBK" w:hAnsi="方正仿宋_GBK" w:eastAsia="方正仿宋_GBK" w:cs="方正仿宋_GBK"/>
                <w:i w:val="0"/>
                <w:caps w:val="0"/>
                <w:color w:val="333333"/>
                <w:spacing w:val="0"/>
                <w:sz w:val="24"/>
                <w:szCs w:val="24"/>
              </w:rPr>
              <w:t>周岁）、符合船员健康要求、经船员基本安全培训并通过海事管理机构考试者，在签发相应船员适任证书时，直接发放《船员服务簿》。</w:t>
            </w:r>
            <w:r>
              <w:rPr>
                <w:rFonts w:hint="default" w:ascii="Times New Roman" w:hAnsi="Times New Roman" w:eastAsia="sans-serif" w:cs="Times New Roman"/>
                <w:i w:val="0"/>
                <w:caps w:val="0"/>
                <w:color w:val="333333"/>
                <w:spacing w:val="0"/>
                <w:sz w:val="24"/>
                <w:szCs w:val="24"/>
              </w:rPr>
              <w:t>3</w:t>
            </w:r>
            <w:r>
              <w:rPr>
                <w:rFonts w:hint="eastAsia" w:ascii="方正仿宋_GBK" w:hAnsi="方正仿宋_GBK" w:eastAsia="方正仿宋_GBK" w:cs="方正仿宋_GBK"/>
                <w:i w:val="0"/>
                <w:caps w:val="0"/>
                <w:color w:val="333333"/>
                <w:spacing w:val="0"/>
                <w:sz w:val="24"/>
                <w:szCs w:val="24"/>
              </w:rPr>
              <w:t>．新的《船员服务簿》作为船员个人持有的法定文书，主要承载船员档案功能，记录船员履职情况。加强船员持有《船员服务簿》和记录船员履职情况的监督检查。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25" w:hRule="atLeast"/>
        </w:trPr>
        <w:tc>
          <w:tcPr>
            <w:tcW w:w="648"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2</w:t>
            </w:r>
          </w:p>
        </w:tc>
        <w:tc>
          <w:tcPr>
            <w:tcW w:w="1041"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道路货物运输站（场）经营许可</w:t>
            </w:r>
          </w:p>
        </w:tc>
        <w:tc>
          <w:tcPr>
            <w:tcW w:w="1647"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《中华人民共和国道路运输条例》</w:t>
            </w:r>
          </w:p>
        </w:tc>
        <w:tc>
          <w:tcPr>
            <w:tcW w:w="1098"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区运管处</w:t>
            </w:r>
          </w:p>
        </w:tc>
        <w:tc>
          <w:tcPr>
            <w:tcW w:w="106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86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取消审批后，通过以下措施加强事中事后监管：</w:t>
            </w:r>
            <w:r>
              <w:rPr>
                <w:rFonts w:hint="default" w:ascii="Times New Roman" w:hAnsi="Times New Roman" w:eastAsia="sans-serif" w:cs="Times New Roman"/>
                <w:i w:val="0"/>
                <w:caps w:val="0"/>
                <w:color w:val="333333"/>
                <w:spacing w:val="0"/>
                <w:sz w:val="24"/>
                <w:szCs w:val="24"/>
              </w:rPr>
              <w:t>1</w:t>
            </w:r>
            <w:r>
              <w:rPr>
                <w:rFonts w:hint="eastAsia" w:ascii="方正仿宋_GBK" w:hAnsi="方正仿宋_GBK" w:eastAsia="方正仿宋_GBK" w:cs="方正仿宋_GBK"/>
                <w:i w:val="0"/>
                <w:caps w:val="0"/>
                <w:color w:val="333333"/>
                <w:spacing w:val="0"/>
                <w:sz w:val="24"/>
                <w:szCs w:val="24"/>
              </w:rPr>
              <w:t>．通过“双随机、一公开”监管等方式，加强对道路货物运输站（场）生产经营的监督管理，依法查处违反道路货物运输经营管理规定的行为。</w:t>
            </w:r>
            <w:r>
              <w:rPr>
                <w:rFonts w:hint="default" w:ascii="Times New Roman" w:hAnsi="Times New Roman" w:eastAsia="sans-serif" w:cs="Times New Roman"/>
                <w:i w:val="0"/>
                <w:caps w:val="0"/>
                <w:color w:val="333333"/>
                <w:spacing w:val="0"/>
                <w:sz w:val="24"/>
                <w:szCs w:val="24"/>
              </w:rPr>
              <w:t>2</w:t>
            </w:r>
            <w:r>
              <w:rPr>
                <w:rFonts w:hint="eastAsia" w:ascii="方正仿宋_GBK" w:hAnsi="方正仿宋_GBK" w:eastAsia="方正仿宋_GBK" w:cs="方正仿宋_GBK"/>
                <w:i w:val="0"/>
                <w:caps w:val="0"/>
                <w:color w:val="333333"/>
                <w:spacing w:val="0"/>
                <w:sz w:val="24"/>
                <w:szCs w:val="24"/>
              </w:rPr>
              <w:t>．实施道路货物运输站（场）相关标准，推动站（场）建设运营标准化。</w:t>
            </w:r>
            <w:r>
              <w:rPr>
                <w:rFonts w:hint="default" w:ascii="Times New Roman" w:hAnsi="Times New Roman" w:eastAsia="sans-serif" w:cs="Times New Roman"/>
                <w:i w:val="0"/>
                <w:caps w:val="0"/>
                <w:color w:val="333333"/>
                <w:spacing w:val="0"/>
                <w:sz w:val="24"/>
                <w:szCs w:val="24"/>
              </w:rPr>
              <w:t>3</w:t>
            </w:r>
            <w:r>
              <w:rPr>
                <w:rFonts w:hint="eastAsia" w:ascii="方正仿宋_GBK" w:hAnsi="方正仿宋_GBK" w:eastAsia="方正仿宋_GBK" w:cs="方正仿宋_GBK"/>
                <w:i w:val="0"/>
                <w:caps w:val="0"/>
                <w:color w:val="333333"/>
                <w:spacing w:val="0"/>
                <w:sz w:val="24"/>
                <w:szCs w:val="24"/>
              </w:rPr>
              <w:t>．加强与市场监管、住房城乡建设、应急管理、公安等部门关于道路货物运输站（场）相关信息共享。</w:t>
            </w:r>
            <w:r>
              <w:rPr>
                <w:rFonts w:hint="default" w:ascii="Times New Roman" w:hAnsi="Times New Roman" w:eastAsia="sans-serif" w:cs="Times New Roman"/>
                <w:i w:val="0"/>
                <w:caps w:val="0"/>
                <w:color w:val="333333"/>
                <w:spacing w:val="0"/>
                <w:sz w:val="24"/>
                <w:szCs w:val="24"/>
              </w:rPr>
              <w:t>4</w:t>
            </w:r>
            <w:r>
              <w:rPr>
                <w:rFonts w:hint="eastAsia" w:ascii="方正仿宋_GBK" w:hAnsi="方正仿宋_GBK" w:eastAsia="方正仿宋_GBK" w:cs="方正仿宋_GBK"/>
                <w:i w:val="0"/>
                <w:caps w:val="0"/>
                <w:color w:val="333333"/>
                <w:spacing w:val="0"/>
                <w:sz w:val="24"/>
                <w:szCs w:val="24"/>
              </w:rPr>
              <w:t>．加强对道路货物运输站（场）经营业户的信用监管，向社会公开失信企业名单，并实施联合惩戒。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535" w:hRule="atLeast"/>
        </w:trPr>
        <w:tc>
          <w:tcPr>
            <w:tcW w:w="648"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3</w:t>
            </w:r>
          </w:p>
        </w:tc>
        <w:tc>
          <w:tcPr>
            <w:tcW w:w="1041"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名称预先核准</w:t>
            </w:r>
          </w:p>
        </w:tc>
        <w:tc>
          <w:tcPr>
            <w:tcW w:w="1647"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《中华人民共和国公司登记管理条例》《中华人民共和国企业法人登记管理条例》《企业名称登记管理规定》《个体工商户条例》《农民专业合作社登记管理条例》</w:t>
            </w:r>
          </w:p>
        </w:tc>
        <w:tc>
          <w:tcPr>
            <w:tcW w:w="1098"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区市场监管局</w:t>
            </w:r>
          </w:p>
        </w:tc>
        <w:tc>
          <w:tcPr>
            <w:tcW w:w="106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86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取消审批后，改为企业（包括个体工商户、农民专业合作社，下同）自主申报名称，市场监管部门在企业注册登记时核准名称。市场监管部门通过以下措施优化服务、加强事中事后监管：</w:t>
            </w:r>
            <w:r>
              <w:rPr>
                <w:rFonts w:hint="default" w:ascii="Times New Roman" w:hAnsi="Times New Roman" w:eastAsia="sans-serif" w:cs="Times New Roman"/>
                <w:i w:val="0"/>
                <w:caps w:val="0"/>
                <w:color w:val="333333"/>
                <w:spacing w:val="0"/>
                <w:sz w:val="24"/>
                <w:szCs w:val="24"/>
              </w:rPr>
              <w:t>1</w:t>
            </w:r>
            <w:r>
              <w:rPr>
                <w:rFonts w:hint="eastAsia" w:ascii="方正仿宋_GBK" w:hAnsi="方正仿宋_GBK" w:eastAsia="方正仿宋_GBK" w:cs="方正仿宋_GBK"/>
                <w:i w:val="0"/>
                <w:caps w:val="0"/>
                <w:color w:val="333333"/>
                <w:spacing w:val="0"/>
                <w:sz w:val="24"/>
                <w:szCs w:val="24"/>
              </w:rPr>
              <w:t>．向社会公开企业名称库，引导企业自行拟定符合规则要求的名称。</w:t>
            </w:r>
            <w:r>
              <w:rPr>
                <w:rFonts w:hint="default" w:ascii="Times New Roman" w:hAnsi="Times New Roman" w:eastAsia="sans-serif" w:cs="Times New Roman"/>
                <w:i w:val="0"/>
                <w:caps w:val="0"/>
                <w:color w:val="333333"/>
                <w:spacing w:val="0"/>
                <w:sz w:val="24"/>
                <w:szCs w:val="24"/>
              </w:rPr>
              <w:t>2</w:t>
            </w:r>
            <w:r>
              <w:rPr>
                <w:rFonts w:hint="eastAsia" w:ascii="方正仿宋_GBK" w:hAnsi="方正仿宋_GBK" w:eastAsia="方正仿宋_GBK" w:cs="方正仿宋_GBK"/>
                <w:i w:val="0"/>
                <w:caps w:val="0"/>
                <w:color w:val="333333"/>
                <w:spacing w:val="0"/>
                <w:sz w:val="24"/>
                <w:szCs w:val="24"/>
              </w:rPr>
              <w:t>．建立企业名称自主申报制度，明确企业名称禁限用规则，完善企业名称争议处理机制，加强对企业名称使用的监督管理。</w:t>
            </w:r>
            <w:r>
              <w:rPr>
                <w:rFonts w:hint="default" w:ascii="Times New Roman" w:hAnsi="Times New Roman" w:eastAsia="sans-serif" w:cs="Times New Roman"/>
                <w:i w:val="0"/>
                <w:caps w:val="0"/>
                <w:color w:val="333333"/>
                <w:spacing w:val="0"/>
                <w:sz w:val="24"/>
                <w:szCs w:val="24"/>
              </w:rPr>
              <w:t>3</w:t>
            </w:r>
            <w:r>
              <w:rPr>
                <w:rFonts w:hint="eastAsia" w:ascii="方正仿宋_GBK" w:hAnsi="方正仿宋_GBK" w:eastAsia="方正仿宋_GBK" w:cs="方正仿宋_GBK"/>
                <w:i w:val="0"/>
                <w:caps w:val="0"/>
                <w:color w:val="333333"/>
                <w:spacing w:val="0"/>
                <w:sz w:val="24"/>
                <w:szCs w:val="24"/>
              </w:rPr>
              <w:t>．简化优化工商登记程序，实行“一次性告知”，提高企业登记办理效率，保障企业自主选择名称。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225" w:hRule="atLeast"/>
        </w:trPr>
        <w:tc>
          <w:tcPr>
            <w:tcW w:w="648"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4</w:t>
            </w:r>
          </w:p>
        </w:tc>
        <w:tc>
          <w:tcPr>
            <w:tcW w:w="1041"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养老机构设立许可（含分支机构，涉外投资、市级财政投资兴办除外）</w:t>
            </w:r>
          </w:p>
        </w:tc>
        <w:tc>
          <w:tcPr>
            <w:tcW w:w="1647"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《中华人民共和国老年人权益保障法》第四十四条；《养老机构设立许可办法》</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民政部令第</w:t>
            </w:r>
            <w:r>
              <w:rPr>
                <w:rFonts w:hint="default" w:ascii="Times New Roman" w:hAnsi="Times New Roman" w:eastAsia="sans-serif" w:cs="Times New Roman"/>
                <w:i w:val="0"/>
                <w:caps w:val="0"/>
                <w:color w:val="333333"/>
                <w:spacing w:val="0"/>
                <w:sz w:val="24"/>
                <w:szCs w:val="24"/>
              </w:rPr>
              <w:t>48</w:t>
            </w:r>
            <w:r>
              <w:rPr>
                <w:rFonts w:hint="eastAsia" w:ascii="方正仿宋_GBK" w:hAnsi="方正仿宋_GBK" w:eastAsia="方正仿宋_GBK" w:cs="方正仿宋_GBK"/>
                <w:i w:val="0"/>
                <w:caps w:val="0"/>
                <w:color w:val="333333"/>
                <w:spacing w:val="0"/>
                <w:sz w:val="24"/>
                <w:szCs w:val="24"/>
              </w:rPr>
              <w:t>号</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第七条；《重庆市养老机构设立许可实施办法》第四条第二款；《养老机构设立许可办法》</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民政部令第</w:t>
            </w:r>
            <w:r>
              <w:rPr>
                <w:rFonts w:hint="default" w:ascii="Times New Roman" w:hAnsi="Times New Roman" w:eastAsia="sans-serif" w:cs="Times New Roman"/>
                <w:i w:val="0"/>
                <w:caps w:val="0"/>
                <w:color w:val="333333"/>
                <w:spacing w:val="0"/>
                <w:sz w:val="24"/>
                <w:szCs w:val="24"/>
              </w:rPr>
              <w:t>48</w:t>
            </w:r>
            <w:r>
              <w:rPr>
                <w:rFonts w:hint="eastAsia" w:ascii="方正仿宋_GBK" w:hAnsi="方正仿宋_GBK" w:eastAsia="方正仿宋_GBK" w:cs="方正仿宋_GBK"/>
                <w:i w:val="0"/>
                <w:caps w:val="0"/>
                <w:color w:val="333333"/>
                <w:spacing w:val="0"/>
                <w:sz w:val="24"/>
                <w:szCs w:val="24"/>
              </w:rPr>
              <w:t>号</w:t>
            </w:r>
            <w:r>
              <w:rPr>
                <w:rFonts w:hint="default" w:ascii="Times New Roman" w:hAnsi="Times New Roman" w:eastAsia="sans-serif" w:cs="Times New Roman"/>
                <w:i w:val="0"/>
                <w:caps w:val="0"/>
                <w:color w:val="333333"/>
                <w:spacing w:val="0"/>
                <w:sz w:val="24"/>
                <w:szCs w:val="24"/>
              </w:rPr>
              <w:t>) </w:t>
            </w:r>
            <w:r>
              <w:rPr>
                <w:rFonts w:hint="eastAsia" w:ascii="方正仿宋_GBK" w:hAnsi="方正仿宋_GBK" w:eastAsia="方正仿宋_GBK" w:cs="方正仿宋_GBK"/>
                <w:i w:val="0"/>
                <w:caps w:val="0"/>
                <w:color w:val="333333"/>
                <w:spacing w:val="0"/>
                <w:sz w:val="24"/>
                <w:szCs w:val="24"/>
              </w:rPr>
              <w:t>第十七条</w:t>
            </w:r>
          </w:p>
        </w:tc>
        <w:tc>
          <w:tcPr>
            <w:tcW w:w="1098"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区民政局</w:t>
            </w:r>
          </w:p>
        </w:tc>
        <w:tc>
          <w:tcPr>
            <w:tcW w:w="106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86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rPr>
              <w:t>2019</w:t>
            </w:r>
            <w:r>
              <w:rPr>
                <w:rFonts w:hint="eastAsia" w:ascii="方正仿宋_GBK" w:hAnsi="方正仿宋_GBK" w:eastAsia="方正仿宋_GBK" w:cs="方正仿宋_GBK"/>
                <w:i w:val="0"/>
                <w:caps w:val="0"/>
                <w:color w:val="333333"/>
                <w:spacing w:val="0"/>
                <w:sz w:val="24"/>
                <w:szCs w:val="24"/>
              </w:rPr>
              <w:t>〕</w:t>
            </w:r>
            <w:r>
              <w:rPr>
                <w:rFonts w:hint="default" w:ascii="Times New Roman" w:hAnsi="Times New Roman" w:eastAsia="sans-serif" w:cs="Times New Roman"/>
                <w:i w:val="0"/>
                <w:caps w:val="0"/>
                <w:color w:val="333333"/>
                <w:spacing w:val="0"/>
                <w:sz w:val="24"/>
                <w:szCs w:val="24"/>
              </w:rPr>
              <w:t>7</w:t>
            </w:r>
            <w:r>
              <w:rPr>
                <w:rFonts w:hint="eastAsia" w:ascii="方正仿宋_GBK" w:hAnsi="方正仿宋_GBK" w:eastAsia="方正仿宋_GBK" w:cs="方正仿宋_GBK"/>
                <w:i w:val="0"/>
                <w:caps w:val="0"/>
                <w:color w:val="333333"/>
                <w:spacing w:val="0"/>
                <w:sz w:val="24"/>
                <w:szCs w:val="24"/>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945" w:hRule="atLeast"/>
        </w:trPr>
        <w:tc>
          <w:tcPr>
            <w:tcW w:w="648"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5</w:t>
            </w:r>
          </w:p>
        </w:tc>
        <w:tc>
          <w:tcPr>
            <w:tcW w:w="1041"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养老机构变更许可</w:t>
            </w:r>
          </w:p>
        </w:tc>
        <w:tc>
          <w:tcPr>
            <w:tcW w:w="1647"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《养老机构设立许可办法》</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民政部令第</w:t>
            </w:r>
            <w:r>
              <w:rPr>
                <w:rFonts w:hint="default" w:ascii="Times New Roman" w:hAnsi="Times New Roman" w:eastAsia="sans-serif" w:cs="Times New Roman"/>
                <w:i w:val="0"/>
                <w:caps w:val="0"/>
                <w:color w:val="333333"/>
                <w:spacing w:val="0"/>
                <w:sz w:val="24"/>
                <w:szCs w:val="24"/>
              </w:rPr>
              <w:t>48</w:t>
            </w:r>
            <w:r>
              <w:rPr>
                <w:rFonts w:hint="eastAsia" w:ascii="方正仿宋_GBK" w:hAnsi="方正仿宋_GBK" w:eastAsia="方正仿宋_GBK" w:cs="方正仿宋_GBK"/>
                <w:i w:val="0"/>
                <w:caps w:val="0"/>
                <w:color w:val="333333"/>
                <w:spacing w:val="0"/>
                <w:sz w:val="24"/>
                <w:szCs w:val="24"/>
              </w:rPr>
              <w:t>号</w:t>
            </w:r>
            <w:r>
              <w:rPr>
                <w:rFonts w:hint="default" w:ascii="Times New Roman" w:hAnsi="Times New Roman" w:eastAsia="sans-serif" w:cs="Times New Roman"/>
                <w:i w:val="0"/>
                <w:caps w:val="0"/>
                <w:color w:val="333333"/>
                <w:spacing w:val="0"/>
                <w:sz w:val="24"/>
                <w:szCs w:val="24"/>
              </w:rPr>
              <w:t>) </w:t>
            </w:r>
            <w:r>
              <w:rPr>
                <w:rFonts w:hint="eastAsia" w:ascii="方正仿宋_GBK" w:hAnsi="方正仿宋_GBK" w:eastAsia="方正仿宋_GBK" w:cs="方正仿宋_GBK"/>
                <w:i w:val="0"/>
                <w:caps w:val="0"/>
                <w:color w:val="333333"/>
                <w:spacing w:val="0"/>
                <w:sz w:val="24"/>
                <w:szCs w:val="24"/>
              </w:rPr>
              <w:t>第十八条</w:t>
            </w:r>
          </w:p>
        </w:tc>
        <w:tc>
          <w:tcPr>
            <w:tcW w:w="1098"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区民政局</w:t>
            </w:r>
          </w:p>
        </w:tc>
        <w:tc>
          <w:tcPr>
            <w:tcW w:w="106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86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rPr>
              <w:t>2019</w:t>
            </w:r>
            <w:r>
              <w:rPr>
                <w:rFonts w:hint="eastAsia" w:ascii="方正仿宋_GBK" w:hAnsi="方正仿宋_GBK" w:eastAsia="方正仿宋_GBK" w:cs="方正仿宋_GBK"/>
                <w:i w:val="0"/>
                <w:caps w:val="0"/>
                <w:color w:val="333333"/>
                <w:spacing w:val="0"/>
                <w:sz w:val="24"/>
                <w:szCs w:val="24"/>
              </w:rPr>
              <w:t>〕</w:t>
            </w:r>
            <w:r>
              <w:rPr>
                <w:rFonts w:hint="default" w:ascii="Times New Roman" w:hAnsi="Times New Roman" w:eastAsia="sans-serif" w:cs="Times New Roman"/>
                <w:i w:val="0"/>
                <w:caps w:val="0"/>
                <w:color w:val="333333"/>
                <w:spacing w:val="0"/>
                <w:sz w:val="24"/>
                <w:szCs w:val="24"/>
              </w:rPr>
              <w:t>7</w:t>
            </w:r>
            <w:r>
              <w:rPr>
                <w:rFonts w:hint="eastAsia" w:ascii="方正仿宋_GBK" w:hAnsi="方正仿宋_GBK" w:eastAsia="方正仿宋_GBK" w:cs="方正仿宋_GBK"/>
                <w:i w:val="0"/>
                <w:caps w:val="0"/>
                <w:color w:val="333333"/>
                <w:spacing w:val="0"/>
                <w:sz w:val="24"/>
                <w:szCs w:val="24"/>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955" w:hRule="atLeast"/>
        </w:trPr>
        <w:tc>
          <w:tcPr>
            <w:tcW w:w="648" w:type="dxa"/>
            <w:tcBorders>
              <w:top w:val="single" w:color="auto" w:sz="6" w:space="0"/>
              <w:left w:val="single" w:color="808080"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6</w:t>
            </w:r>
          </w:p>
        </w:tc>
        <w:tc>
          <w:tcPr>
            <w:tcW w:w="1041"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养老机构注销许可</w:t>
            </w:r>
          </w:p>
        </w:tc>
        <w:tc>
          <w:tcPr>
            <w:tcW w:w="1647"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《养老机构设立许可办法》</w:t>
            </w:r>
            <w:r>
              <w:rPr>
                <w:rFonts w:hint="default" w:ascii="Times New Roman" w:hAnsi="Times New Roman" w:eastAsia="sans-serif" w:cs="Times New Roman"/>
                <w:i w:val="0"/>
                <w:caps w:val="0"/>
                <w:color w:val="333333"/>
                <w:spacing w:val="0"/>
                <w:sz w:val="24"/>
                <w:szCs w:val="24"/>
              </w:rPr>
              <w:t>(</w:t>
            </w:r>
            <w:r>
              <w:rPr>
                <w:rFonts w:hint="eastAsia" w:ascii="方正仿宋_GBK" w:hAnsi="方正仿宋_GBK" w:eastAsia="方正仿宋_GBK" w:cs="方正仿宋_GBK"/>
                <w:i w:val="0"/>
                <w:caps w:val="0"/>
                <w:color w:val="333333"/>
                <w:spacing w:val="0"/>
                <w:sz w:val="24"/>
                <w:szCs w:val="24"/>
              </w:rPr>
              <w:t>民政部令第</w:t>
            </w:r>
            <w:r>
              <w:rPr>
                <w:rFonts w:hint="default" w:ascii="Times New Roman" w:hAnsi="Times New Roman" w:eastAsia="sans-serif" w:cs="Times New Roman"/>
                <w:i w:val="0"/>
                <w:caps w:val="0"/>
                <w:color w:val="333333"/>
                <w:spacing w:val="0"/>
                <w:sz w:val="24"/>
                <w:szCs w:val="24"/>
              </w:rPr>
              <w:t>48</w:t>
            </w:r>
            <w:r>
              <w:rPr>
                <w:rFonts w:hint="eastAsia" w:ascii="方正仿宋_GBK" w:hAnsi="方正仿宋_GBK" w:eastAsia="方正仿宋_GBK" w:cs="方正仿宋_GBK"/>
                <w:i w:val="0"/>
                <w:caps w:val="0"/>
                <w:color w:val="333333"/>
                <w:spacing w:val="0"/>
                <w:sz w:val="24"/>
                <w:szCs w:val="24"/>
              </w:rPr>
              <w:t>号</w:t>
            </w:r>
            <w:r>
              <w:rPr>
                <w:rFonts w:hint="default" w:ascii="Times New Roman" w:hAnsi="Times New Roman" w:eastAsia="sans-serif" w:cs="Times New Roman"/>
                <w:i w:val="0"/>
                <w:caps w:val="0"/>
                <w:color w:val="333333"/>
                <w:spacing w:val="0"/>
                <w:sz w:val="24"/>
                <w:szCs w:val="24"/>
              </w:rPr>
              <w:t>) </w:t>
            </w:r>
            <w:r>
              <w:rPr>
                <w:rFonts w:hint="eastAsia" w:ascii="方正仿宋_GBK" w:hAnsi="方正仿宋_GBK" w:eastAsia="方正仿宋_GBK" w:cs="方正仿宋_GBK"/>
                <w:i w:val="0"/>
                <w:caps w:val="0"/>
                <w:color w:val="333333"/>
                <w:spacing w:val="0"/>
                <w:sz w:val="24"/>
                <w:szCs w:val="24"/>
              </w:rPr>
              <w:t>第十九条</w:t>
            </w:r>
          </w:p>
        </w:tc>
        <w:tc>
          <w:tcPr>
            <w:tcW w:w="1098"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区民政局</w:t>
            </w:r>
          </w:p>
        </w:tc>
        <w:tc>
          <w:tcPr>
            <w:tcW w:w="1069"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w:t>
            </w:r>
          </w:p>
        </w:tc>
        <w:tc>
          <w:tcPr>
            <w:tcW w:w="2863" w:type="dxa"/>
            <w:tcBorders>
              <w:top w:val="single" w:color="auto" w:sz="6" w:space="0"/>
              <w:left w:val="single" w:color="auto" w:sz="6" w:space="0"/>
              <w:bottom w:val="single" w:color="808080" w:sz="6" w:space="0"/>
              <w:right w:val="single" w:color="808080" w:sz="6" w:space="0"/>
            </w:tcBorders>
            <w:shd w:val="clear" w:color="auto" w:fill="auto"/>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rPr>
              <w:t>2019</w:t>
            </w:r>
            <w:r>
              <w:rPr>
                <w:rFonts w:hint="eastAsia" w:ascii="方正仿宋_GBK" w:hAnsi="方正仿宋_GBK" w:eastAsia="方正仿宋_GBK" w:cs="方正仿宋_GBK"/>
                <w:i w:val="0"/>
                <w:caps w:val="0"/>
                <w:color w:val="333333"/>
                <w:spacing w:val="0"/>
                <w:sz w:val="24"/>
                <w:szCs w:val="24"/>
              </w:rPr>
              <w:t>〕</w:t>
            </w:r>
            <w:r>
              <w:rPr>
                <w:rFonts w:hint="default" w:ascii="Times New Roman" w:hAnsi="Times New Roman" w:eastAsia="sans-serif" w:cs="Times New Roman"/>
                <w:i w:val="0"/>
                <w:caps w:val="0"/>
                <w:color w:val="333333"/>
                <w:spacing w:val="0"/>
                <w:sz w:val="24"/>
                <w:szCs w:val="24"/>
              </w:rPr>
              <w:t>7</w:t>
            </w:r>
            <w:r>
              <w:rPr>
                <w:rFonts w:hint="eastAsia" w:ascii="方正仿宋_GBK" w:hAnsi="方正仿宋_GBK" w:eastAsia="方正仿宋_GBK" w:cs="方正仿宋_GBK"/>
                <w:i w:val="0"/>
                <w:caps w:val="0"/>
                <w:color w:val="333333"/>
                <w:spacing w:val="0"/>
                <w:sz w:val="24"/>
                <w:szCs w:val="24"/>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720" w:right="0" w:firstLine="420"/>
        <w:jc w:val="left"/>
        <w:textAlignment w:val="auto"/>
        <w:rPr>
          <w:rFonts w:hint="default" w:ascii="sans-serif" w:hAnsi="sans-serif" w:eastAsia="sans-serif" w:cs="sans-serif"/>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left"/>
        <w:textAlignment w:val="auto"/>
        <w:rPr>
          <w:rFonts w:hint="default" w:ascii="sans-serif" w:hAnsi="sans-serif" w:eastAsia="sans-serif" w:cs="sans-serif"/>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333333"/>
          <w:spacing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91F69"/>
    <w:rsid w:val="4899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区政务服务管理办公室</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2022-07-07T08:29:00Z</dcterms:created>
  <dc:creator>Administrator</dc:creator>
  <cp:lastModifiedBy>Administrator</cp:lastModifiedBy>
  <dcterms:modified xsi:type="dcterms:W3CDTF">2022-07-07T08:30:50Z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