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jc w:val="center"/>
        <w:rPr>
          <w:rFonts w:hint="eastAsia" w:ascii="方正小标宋_GBK" w:hAnsi="方正小标宋_GBK" w:eastAsia="方正小标宋_GBK" w:cs="方正小标宋_GBK"/>
        </w:rPr>
      </w:pPr>
      <w:r>
        <w:rPr>
          <w:rFonts w:hint="eastAsia" w:ascii="方正小标宋_GBK" w:hAnsi="方正小标宋_GBK" w:eastAsia="方正小标宋_GBK" w:cs="方正小标宋_GBK"/>
          <w:sz w:val="54"/>
          <w:szCs w:val="54"/>
        </w:rPr>
        <w:t>重庆市万州区招商投资促进局</w:t>
      </w:r>
    </w:p>
    <w:p>
      <w:pPr>
        <w:pStyle w:val="3"/>
        <w:keepNext w:val="0"/>
        <w:keepLines w:val="0"/>
        <w:widowControl/>
        <w:suppressLineNumbers w:val="0"/>
        <w:jc w:val="center"/>
        <w:rPr>
          <w:rFonts w:hint="eastAsia" w:ascii="方正小标宋_GBK" w:hAnsi="方正小标宋_GBK" w:eastAsia="方正小标宋_GBK" w:cs="方正小标宋_GBK"/>
        </w:rPr>
      </w:pPr>
      <w:r>
        <w:rPr>
          <w:rFonts w:hint="eastAsia" w:ascii="方正小标宋_GBK" w:hAnsi="方正小标宋_GBK" w:eastAsia="方正小标宋_GBK" w:cs="方正小标宋_GBK"/>
          <w:sz w:val="54"/>
          <w:szCs w:val="54"/>
        </w:rPr>
        <w:t>2019年度部门决算情况说明</w:t>
      </w:r>
    </w:p>
    <w:p>
      <w:pPr>
        <w:pStyle w:val="3"/>
        <w:keepNext w:val="0"/>
        <w:keepLines w:val="0"/>
        <w:widowControl/>
        <w:suppressLineNumbers w:val="0"/>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t> </w:t>
      </w:r>
    </w:p>
    <w:p>
      <w:pPr>
        <w:pStyle w:val="3"/>
        <w:keepNext w:val="0"/>
        <w:keepLines w:val="0"/>
        <w:widowControl/>
        <w:suppressLineNumbers w:val="0"/>
        <w:rPr>
          <w:rFonts w:hint="eastAsia" w:ascii="方正黑体_GBK" w:hAnsi="方正黑体_GBK" w:eastAsia="方正黑体_GBK" w:cs="方正黑体_GBK"/>
          <w:b w:val="0"/>
          <w:bCs/>
          <w:sz w:val="32"/>
          <w:szCs w:val="32"/>
        </w:rPr>
      </w:pPr>
      <w:r>
        <w:rPr>
          <w:rStyle w:val="6"/>
          <w:rFonts w:hint="eastAsia" w:ascii="方正黑体_GBK" w:hAnsi="方正黑体_GBK" w:eastAsia="方正黑体_GBK" w:cs="方正黑体_GBK"/>
          <w:b w:val="0"/>
          <w:bCs/>
          <w:sz w:val="32"/>
          <w:szCs w:val="32"/>
        </w:rPr>
        <w:t>  一、部门基本情况</w:t>
      </w:r>
    </w:p>
    <w:p>
      <w:pPr>
        <w:snapToGrid w:val="0"/>
        <w:spacing w:line="600" w:lineRule="exact"/>
        <w:ind w:firstLine="640" w:firstLineChars="200"/>
        <w:rPr>
          <w:rFonts w:hint="eastAsia" w:ascii="Calibri" w:hAnsi="Calibri" w:eastAsia="方正仿宋_GBK" w:cs="Times New Roman"/>
          <w:sz w:val="32"/>
          <w:szCs w:val="32"/>
          <w:lang w:eastAsia="zh-CN"/>
        </w:rPr>
      </w:pPr>
      <w:r>
        <w:rPr>
          <w:rFonts w:hint="eastAsia" w:ascii="方正仿宋_GBK" w:eastAsia="方正仿宋_GBK"/>
          <w:sz w:val="32"/>
          <w:szCs w:val="32"/>
        </w:rPr>
        <w:t>万州区招商投资促进局</w:t>
      </w:r>
      <w:r>
        <w:rPr>
          <w:rFonts w:hint="eastAsia" w:ascii="Calibri" w:hAnsi="Calibri" w:eastAsia="方正仿宋_GBK" w:cs="Times New Roman"/>
          <w:sz w:val="32"/>
          <w:szCs w:val="32"/>
        </w:rPr>
        <w:t>是</w:t>
      </w:r>
      <w:r>
        <w:rPr>
          <w:rFonts w:hint="eastAsia" w:eastAsia="方正仿宋_GBK"/>
          <w:sz w:val="32"/>
          <w:szCs w:val="32"/>
        </w:rPr>
        <w:t>2019年1月机构改革设立的</w:t>
      </w:r>
      <w:r>
        <w:rPr>
          <w:rFonts w:hint="eastAsia" w:ascii="Calibri" w:hAnsi="Calibri" w:eastAsia="方正仿宋_GBK" w:cs="Times New Roman"/>
          <w:sz w:val="32"/>
          <w:szCs w:val="32"/>
        </w:rPr>
        <w:t>区政府工作部门</w:t>
      </w:r>
      <w:r>
        <w:rPr>
          <w:rFonts w:hint="eastAsia" w:eastAsia="方正仿宋_GBK"/>
          <w:sz w:val="32"/>
          <w:szCs w:val="32"/>
          <w:lang w:eastAsia="zh-CN"/>
        </w:rPr>
        <w:t>。</w:t>
      </w:r>
    </w:p>
    <w:p>
      <w:pPr>
        <w:tabs>
          <w:tab w:val="left" w:pos="8115"/>
        </w:tabs>
        <w:adjustRightInd w:val="0"/>
        <w:snapToGrid w:val="0"/>
        <w:spacing w:line="600" w:lineRule="exact"/>
        <w:ind w:firstLine="320" w:firstLineChars="100"/>
        <w:rPr>
          <w:rStyle w:val="6"/>
          <w:rFonts w:hint="eastAsia" w:ascii="方正黑体_GBK" w:hAnsi="方正黑体_GBK" w:eastAsia="方正黑体_GBK" w:cs="方正黑体_GBK"/>
          <w:b w:val="0"/>
          <w:bCs/>
          <w:kern w:val="0"/>
          <w:sz w:val="32"/>
          <w:szCs w:val="32"/>
          <w:lang w:val="en-US" w:eastAsia="zh-CN" w:bidi="ar"/>
        </w:rPr>
      </w:pPr>
      <w:r>
        <w:rPr>
          <w:rStyle w:val="6"/>
          <w:rFonts w:hint="eastAsia" w:ascii="方正黑体_GBK" w:hAnsi="方正黑体_GBK" w:eastAsia="方正黑体_GBK" w:cs="方正黑体_GBK"/>
          <w:b w:val="0"/>
          <w:bCs/>
          <w:kern w:val="0"/>
          <w:sz w:val="32"/>
          <w:szCs w:val="32"/>
          <w:lang w:val="en-US" w:eastAsia="zh-CN" w:bidi="ar"/>
        </w:rPr>
        <w:t>（一）职能职责。</w:t>
      </w:r>
    </w:p>
    <w:p>
      <w:pPr>
        <w:tabs>
          <w:tab w:val="left" w:pos="8115"/>
        </w:tabs>
        <w:adjustRightInd w:val="0"/>
        <w:snapToGrid w:val="0"/>
        <w:spacing w:line="600" w:lineRule="exact"/>
        <w:ind w:firstLine="640" w:firstLineChars="200"/>
        <w:rPr>
          <w:rFonts w:ascii="Calibri" w:hAnsi="Calibri" w:eastAsia="方正仿宋_GBK" w:cs="Times New Roman"/>
          <w:sz w:val="32"/>
          <w:szCs w:val="32"/>
        </w:rPr>
      </w:pPr>
      <w:r>
        <w:rPr>
          <w:rFonts w:hint="eastAsia" w:ascii="Calibri" w:hAnsi="Calibri" w:eastAsia="方正仿宋_GBK" w:cs="Times New Roman"/>
          <w:sz w:val="32"/>
          <w:szCs w:val="32"/>
          <w:lang w:val="en-US" w:eastAsia="zh-CN"/>
        </w:rPr>
        <w:t>1、</w:t>
      </w:r>
      <w:r>
        <w:rPr>
          <w:rFonts w:hint="eastAsia" w:ascii="Calibri" w:hAnsi="Calibri" w:eastAsia="方正仿宋_GBK" w:cs="Times New Roman"/>
          <w:sz w:val="32"/>
          <w:szCs w:val="32"/>
        </w:rPr>
        <w:t>贯彻执行国家、重庆市有关利用内外资和投资促进的方针政策和法律、法规、规章。负责统筹、指导、协调和督促全区内外资招商投资促进工作。</w:t>
      </w:r>
    </w:p>
    <w:p>
      <w:pPr>
        <w:tabs>
          <w:tab w:val="left" w:pos="8115"/>
        </w:tabs>
        <w:adjustRightInd w:val="0"/>
        <w:snapToGrid w:val="0"/>
        <w:spacing w:line="600" w:lineRule="exact"/>
        <w:ind w:firstLine="640" w:firstLineChars="200"/>
        <w:rPr>
          <w:rFonts w:ascii="Calibri" w:hAnsi="Calibri" w:eastAsia="方正仿宋_GBK" w:cs="Times New Roman"/>
          <w:sz w:val="32"/>
          <w:szCs w:val="32"/>
        </w:rPr>
      </w:pPr>
      <w:r>
        <w:rPr>
          <w:rFonts w:hint="eastAsia" w:ascii="Calibri" w:hAnsi="Calibri" w:eastAsia="方正仿宋_GBK" w:cs="Times New Roman"/>
          <w:sz w:val="32"/>
          <w:szCs w:val="32"/>
          <w:lang w:val="en-US" w:eastAsia="zh-CN"/>
        </w:rPr>
        <w:t>2、</w:t>
      </w:r>
      <w:r>
        <w:rPr>
          <w:rFonts w:hint="eastAsia" w:ascii="Calibri" w:hAnsi="Calibri" w:eastAsia="方正仿宋_GBK" w:cs="Times New Roman"/>
          <w:sz w:val="32"/>
          <w:szCs w:val="32"/>
        </w:rPr>
        <w:t>负责组织拟订全区招商投资促进中长期规划和招商投资促进政策及措施并组织实施。负责制定全区招商投资促进年度工作计划并组织实施。建立全区招商项目库，统筹管理区级重大招商项目。</w:t>
      </w:r>
    </w:p>
    <w:p>
      <w:pPr>
        <w:tabs>
          <w:tab w:val="left" w:pos="8115"/>
        </w:tabs>
        <w:adjustRightInd w:val="0"/>
        <w:snapToGrid w:val="0"/>
        <w:spacing w:line="600" w:lineRule="exact"/>
        <w:ind w:firstLine="640" w:firstLineChars="200"/>
        <w:rPr>
          <w:rFonts w:ascii="Calibri" w:hAnsi="Calibri" w:eastAsia="方正仿宋_GBK" w:cs="Times New Roman"/>
          <w:sz w:val="32"/>
          <w:szCs w:val="32"/>
        </w:rPr>
      </w:pPr>
      <w:r>
        <w:rPr>
          <w:rFonts w:hint="eastAsia" w:ascii="Calibri" w:hAnsi="Calibri" w:eastAsia="方正仿宋_GBK" w:cs="Times New Roman"/>
          <w:sz w:val="32"/>
          <w:szCs w:val="32"/>
          <w:lang w:val="en-US" w:eastAsia="zh-CN"/>
        </w:rPr>
        <w:t>3、</w:t>
      </w:r>
      <w:r>
        <w:rPr>
          <w:rFonts w:hint="eastAsia" w:ascii="Calibri" w:hAnsi="Calibri" w:eastAsia="方正仿宋_GBK" w:cs="Times New Roman"/>
          <w:sz w:val="32"/>
          <w:szCs w:val="32"/>
        </w:rPr>
        <w:t>负责对外宣传全区投资环境，推介全区重点区域、重点产业、重大招商项目。</w:t>
      </w:r>
    </w:p>
    <w:p>
      <w:pPr>
        <w:tabs>
          <w:tab w:val="left" w:pos="8115"/>
        </w:tabs>
        <w:adjustRightInd w:val="0"/>
        <w:snapToGrid w:val="0"/>
        <w:spacing w:line="600" w:lineRule="exact"/>
        <w:ind w:firstLine="640" w:firstLineChars="200"/>
        <w:rPr>
          <w:rFonts w:ascii="Calibri" w:hAnsi="Calibri" w:eastAsia="方正仿宋_GBK" w:cs="Times New Roman"/>
          <w:sz w:val="32"/>
          <w:szCs w:val="32"/>
        </w:rPr>
      </w:pPr>
      <w:r>
        <w:rPr>
          <w:rFonts w:hint="eastAsia" w:ascii="Calibri" w:hAnsi="Calibri" w:eastAsia="方正仿宋_GBK" w:cs="Times New Roman"/>
          <w:sz w:val="32"/>
          <w:szCs w:val="32"/>
          <w:lang w:val="en-US" w:eastAsia="zh-CN"/>
        </w:rPr>
        <w:t>4、</w:t>
      </w:r>
      <w:r>
        <w:rPr>
          <w:rFonts w:hint="eastAsia" w:ascii="Calibri" w:hAnsi="Calibri" w:eastAsia="方正仿宋_GBK" w:cs="Times New Roman"/>
          <w:sz w:val="32"/>
          <w:szCs w:val="32"/>
        </w:rPr>
        <w:t>负责推动与国（境）内外有关地区、国家及国际组织的经济交流与合作。推进实施区域经济合作和利用内资工作，协调推进重大招商项目。</w:t>
      </w:r>
    </w:p>
    <w:p>
      <w:pPr>
        <w:tabs>
          <w:tab w:val="left" w:pos="8115"/>
        </w:tabs>
        <w:adjustRightInd w:val="0"/>
        <w:snapToGrid w:val="0"/>
        <w:spacing w:line="600" w:lineRule="exact"/>
        <w:ind w:firstLine="640" w:firstLineChars="200"/>
        <w:rPr>
          <w:rFonts w:ascii="Calibri" w:hAnsi="Calibri" w:eastAsia="方正仿宋_GBK" w:cs="Times New Roman"/>
          <w:sz w:val="32"/>
          <w:szCs w:val="32"/>
        </w:rPr>
      </w:pPr>
      <w:r>
        <w:rPr>
          <w:rFonts w:hint="eastAsia" w:ascii="Calibri" w:hAnsi="Calibri" w:eastAsia="方正仿宋_GBK" w:cs="Times New Roman"/>
          <w:sz w:val="32"/>
          <w:szCs w:val="32"/>
          <w:lang w:val="en-US" w:eastAsia="zh-CN"/>
        </w:rPr>
        <w:t>5、</w:t>
      </w:r>
      <w:r>
        <w:rPr>
          <w:rFonts w:hint="eastAsia" w:ascii="Calibri" w:hAnsi="Calibri" w:eastAsia="方正仿宋_GBK" w:cs="Times New Roman"/>
          <w:sz w:val="32"/>
          <w:szCs w:val="32"/>
        </w:rPr>
        <w:t>负责构建招商投资促进工作网络体系，建立全区招商投资促进工作信息报送和统计机制。</w:t>
      </w:r>
    </w:p>
    <w:p>
      <w:pPr>
        <w:snapToGrid w:val="0"/>
        <w:spacing w:line="600" w:lineRule="exact"/>
        <w:ind w:firstLine="640" w:firstLineChars="200"/>
        <w:rPr>
          <w:rFonts w:ascii="Calibri" w:hAnsi="Calibri" w:eastAsia="方正仿宋_GBK" w:cs="Times New Roman"/>
          <w:sz w:val="32"/>
          <w:szCs w:val="32"/>
        </w:rPr>
      </w:pPr>
      <w:r>
        <w:rPr>
          <w:rFonts w:hint="eastAsia" w:ascii="Calibri" w:hAnsi="Calibri" w:eastAsia="方正仿宋_GBK" w:cs="Times New Roman"/>
          <w:sz w:val="32"/>
          <w:szCs w:val="32"/>
          <w:lang w:val="en-US" w:eastAsia="zh-CN"/>
        </w:rPr>
        <w:t>6、</w:t>
      </w:r>
      <w:r>
        <w:rPr>
          <w:rFonts w:hint="eastAsia" w:ascii="Calibri" w:hAnsi="Calibri" w:eastAsia="方正仿宋_GBK" w:cs="Times New Roman"/>
          <w:sz w:val="32"/>
          <w:szCs w:val="32"/>
        </w:rPr>
        <w:t>负责起草制定全区招商投资促进工作综合评价体系和考核办法并组织实施。参与重大招商项目实施情况督查督办，协调解决招商重大问题。规范招商引资秩序。</w:t>
      </w:r>
    </w:p>
    <w:p>
      <w:pPr>
        <w:snapToGrid w:val="0"/>
        <w:spacing w:line="600" w:lineRule="exact"/>
        <w:ind w:firstLine="640" w:firstLineChars="200"/>
        <w:rPr>
          <w:rFonts w:ascii="Calibri" w:hAnsi="Calibri" w:eastAsia="方正仿宋_GBK" w:cs="Times New Roman"/>
          <w:sz w:val="32"/>
          <w:szCs w:val="32"/>
        </w:rPr>
      </w:pPr>
      <w:r>
        <w:rPr>
          <w:rFonts w:hint="eastAsia" w:ascii="Calibri" w:hAnsi="Calibri" w:eastAsia="方正仿宋_GBK" w:cs="Times New Roman"/>
          <w:sz w:val="32"/>
          <w:szCs w:val="32"/>
          <w:lang w:val="en-US" w:eastAsia="zh-CN"/>
        </w:rPr>
        <w:t>7、</w:t>
      </w:r>
      <w:r>
        <w:rPr>
          <w:rFonts w:hint="eastAsia" w:ascii="Calibri" w:hAnsi="Calibri" w:eastAsia="方正仿宋_GBK" w:cs="Times New Roman"/>
          <w:sz w:val="32"/>
          <w:szCs w:val="32"/>
        </w:rPr>
        <w:t>负责指导全区招商投资促进队伍建设。</w:t>
      </w:r>
    </w:p>
    <w:p>
      <w:pPr>
        <w:spacing w:line="600" w:lineRule="exact"/>
        <w:ind w:left="319" w:leftChars="152" w:firstLine="320" w:firstLineChars="100"/>
        <w:rPr>
          <w:rFonts w:ascii="方正仿宋_GBK" w:eastAsia="方正仿宋_GBK"/>
          <w:sz w:val="32"/>
          <w:szCs w:val="32"/>
        </w:rPr>
      </w:pPr>
      <w:r>
        <w:rPr>
          <w:rFonts w:hint="eastAsia" w:ascii="方正仿宋_GBK" w:hAnsi="Calibri" w:eastAsia="方正仿宋_GBK" w:cs="Times New Roman"/>
          <w:sz w:val="32"/>
          <w:szCs w:val="32"/>
          <w:lang w:val="en-US" w:eastAsia="zh-CN"/>
        </w:rPr>
        <w:t>8、</w:t>
      </w:r>
      <w:r>
        <w:rPr>
          <w:rFonts w:hint="eastAsia" w:ascii="方正仿宋_GBK" w:hAnsi="Calibri" w:eastAsia="方正仿宋_GBK" w:cs="Times New Roman"/>
          <w:sz w:val="32"/>
          <w:szCs w:val="32"/>
        </w:rPr>
        <w:t>完成区委、区政府交办的其他任务。</w:t>
      </w:r>
    </w:p>
    <w:p>
      <w:pPr>
        <w:numPr>
          <w:ilvl w:val="0"/>
          <w:numId w:val="0"/>
        </w:numPr>
        <w:spacing w:line="590" w:lineRule="exact"/>
        <w:ind w:firstLine="602" w:firstLineChars="200"/>
        <w:rPr>
          <w:rStyle w:val="6"/>
          <w:sz w:val="30"/>
          <w:szCs w:val="30"/>
        </w:rPr>
      </w:pPr>
      <w:r>
        <w:rPr>
          <w:rStyle w:val="6"/>
          <w:sz w:val="30"/>
          <w:szCs w:val="30"/>
        </w:rPr>
        <w:t>  （二）机构设置。</w:t>
      </w:r>
    </w:p>
    <w:p>
      <w:pPr>
        <w:numPr>
          <w:ilvl w:val="0"/>
          <w:numId w:val="0"/>
        </w:numPr>
        <w:spacing w:line="590" w:lineRule="exact"/>
        <w:ind w:firstLine="640" w:firstLineChars="200"/>
        <w:rPr>
          <w:rFonts w:hint="eastAsia"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 xml:space="preserve">1、办公室 </w:t>
      </w:r>
      <w:r>
        <w:rPr>
          <w:rFonts w:hint="eastAsia" w:eastAsia="方正仿宋_GBK" w:cs="Times New Roman"/>
          <w:sz w:val="32"/>
          <w:szCs w:val="32"/>
          <w:lang w:val="en-US" w:eastAsia="zh-CN"/>
        </w:rPr>
        <w:t xml:space="preserve"> </w:t>
      </w:r>
    </w:p>
    <w:p>
      <w:pPr>
        <w:numPr>
          <w:ilvl w:val="0"/>
          <w:numId w:val="0"/>
        </w:numPr>
        <w:spacing w:line="590" w:lineRule="exact"/>
        <w:ind w:firstLine="640" w:firstLineChars="200"/>
        <w:rPr>
          <w:rFonts w:hint="eastAsia" w:eastAsia="方正仿宋_GBK" w:cs="Times New Roman"/>
          <w:sz w:val="32"/>
          <w:szCs w:val="32"/>
          <w:lang w:val="en-US" w:eastAsia="zh-CN"/>
        </w:rPr>
      </w:pPr>
      <w:r>
        <w:rPr>
          <w:rFonts w:hint="eastAsia" w:eastAsia="方正仿宋_GBK" w:cs="Times New Roman"/>
          <w:sz w:val="32"/>
          <w:szCs w:val="32"/>
          <w:lang w:val="en-US" w:eastAsia="zh-CN"/>
        </w:rPr>
        <w:t>负责党组及局长办公会、文秘、机要、会务、档案等机关日常工作。承担综合性材料起草、办公自动化、政务公开、督查督办、信息、保密、信访、安全、议案、提案、制度建设、年度目标考核和后勤服务工作。负责机关党的建设、精神文明建设、法治建设、意识形态工作等，联系工、青、妇等群团工作。负责职工培训、考核、奖惩、编制、人事、调动、工资等工作。负责离退休干部管理工作。负责机关财务工作，管理固定资产。负责对外协调联络工作。</w:t>
      </w:r>
    </w:p>
    <w:p>
      <w:pPr>
        <w:numPr>
          <w:ilvl w:val="0"/>
          <w:numId w:val="0"/>
        </w:numPr>
        <w:spacing w:line="590" w:lineRule="exact"/>
        <w:ind w:firstLine="640" w:firstLineChars="200"/>
        <w:rPr>
          <w:rFonts w:hint="eastAsia"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 xml:space="preserve">2、投资促进科 </w:t>
      </w:r>
      <w:r>
        <w:rPr>
          <w:rFonts w:hint="eastAsia" w:eastAsia="方正仿宋_GBK" w:cs="Times New Roman"/>
          <w:sz w:val="32"/>
          <w:szCs w:val="32"/>
          <w:lang w:val="en-US" w:eastAsia="zh-CN"/>
        </w:rPr>
        <w:t xml:space="preserve"> </w:t>
      </w:r>
    </w:p>
    <w:p>
      <w:pPr>
        <w:numPr>
          <w:ilvl w:val="0"/>
          <w:numId w:val="0"/>
        </w:numPr>
        <w:spacing w:line="590" w:lineRule="exact"/>
        <w:ind w:firstLine="640" w:firstLineChars="200"/>
        <w:rPr>
          <w:rFonts w:hint="eastAsia" w:eastAsia="方正仿宋_GBK" w:cs="Times New Roman"/>
          <w:sz w:val="32"/>
          <w:szCs w:val="32"/>
          <w:lang w:val="en-US" w:eastAsia="zh-CN"/>
        </w:rPr>
      </w:pPr>
      <w:r>
        <w:rPr>
          <w:rFonts w:hint="eastAsia" w:eastAsia="方正仿宋_GBK" w:cs="Times New Roman"/>
          <w:sz w:val="32"/>
          <w:szCs w:val="32"/>
          <w:lang w:val="en-US" w:eastAsia="zh-CN"/>
        </w:rPr>
        <w:t>负责组织拟订全区招商投资促进中长期规划并组织实施。负责拟订全区招商投资促进年度计划并组织实施。负责建立全区招商项目库，跟踪区级重大招商项目。负责牵头建立投资促进工作机制。负责规范招商引资秩序，对违反产业布局规划和招商引资秩序的事件提出处理意见和建议。负责全区招商环境宣传、宣传片拍摄、宣传资料编撰，推介全区重点区域、重点产业、重大招商项目。承担全区招商投资促进考核评价相关工作。参与重大招商项目实施情况的督查督办。负责全区招商任务下达、汇总分析、跟踪管理、督查督办、年终考核工作。负责全区招商投资项目的协调、督促工作。负责全区招商项目统计、综合、分析和上报工作。负责建立全区招商投资促进工作信息报送和统计机制。负责指导全区招商投资促进队伍建设，组织实施人员培训工作。负责对接市级相关部门。推进实施区域经济合作和利用内资工作、协调推进重大招商项目。负责组织实施全区大型招商活动。负责区委、区政府招商引资代表团出访组团、联络、洽谈等有关工作。承办国内外经济合作代表团来访的联络、协调和接待工作。完成领导交办的其他工作。</w:t>
      </w:r>
    </w:p>
    <w:p>
      <w:pPr>
        <w:numPr>
          <w:ilvl w:val="0"/>
          <w:numId w:val="0"/>
        </w:numPr>
        <w:spacing w:line="590" w:lineRule="exact"/>
        <w:ind w:firstLine="640" w:firstLineChars="200"/>
        <w:rPr>
          <w:rFonts w:hint="eastAsia"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 xml:space="preserve">3、招商一科 </w:t>
      </w:r>
      <w:r>
        <w:rPr>
          <w:rFonts w:hint="eastAsia" w:eastAsia="方正仿宋_GBK" w:cs="Times New Roman"/>
          <w:sz w:val="32"/>
          <w:szCs w:val="32"/>
          <w:lang w:val="en-US" w:eastAsia="zh-CN"/>
        </w:rPr>
        <w:t xml:space="preserve"> </w:t>
      </w:r>
    </w:p>
    <w:p>
      <w:pPr>
        <w:numPr>
          <w:ilvl w:val="0"/>
          <w:numId w:val="0"/>
        </w:numPr>
        <w:spacing w:line="590" w:lineRule="exact"/>
        <w:ind w:firstLine="640" w:firstLineChars="200"/>
        <w:rPr>
          <w:rFonts w:hint="eastAsia" w:eastAsia="方正仿宋_GBK" w:cs="Times New Roman"/>
          <w:sz w:val="32"/>
          <w:szCs w:val="32"/>
          <w:lang w:val="en-US" w:eastAsia="zh-CN"/>
        </w:rPr>
      </w:pPr>
      <w:r>
        <w:rPr>
          <w:rFonts w:hint="eastAsia" w:eastAsia="方正仿宋_GBK" w:cs="Times New Roman"/>
          <w:sz w:val="32"/>
          <w:szCs w:val="32"/>
          <w:lang w:val="en-US" w:eastAsia="zh-CN"/>
        </w:rPr>
        <w:t>负责智能循环型工业中汽车产业招商投资促进工作；统筹全区休闲养生型大健康产业招商投资促进工作；完成领导交办的其他工作。</w:t>
      </w:r>
    </w:p>
    <w:p>
      <w:pPr>
        <w:numPr>
          <w:ilvl w:val="0"/>
          <w:numId w:val="0"/>
        </w:numPr>
        <w:spacing w:line="590" w:lineRule="exact"/>
        <w:ind w:left="630" w:leftChars="0"/>
        <w:rPr>
          <w:rFonts w:hint="eastAsia"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 xml:space="preserve">4、招商二科 </w:t>
      </w:r>
      <w:r>
        <w:rPr>
          <w:rFonts w:hint="eastAsia" w:eastAsia="方正仿宋_GBK" w:cs="Times New Roman"/>
          <w:sz w:val="32"/>
          <w:szCs w:val="32"/>
          <w:lang w:val="en-US" w:eastAsia="zh-CN"/>
        </w:rPr>
        <w:t xml:space="preserve"> </w:t>
      </w:r>
    </w:p>
    <w:p>
      <w:pPr>
        <w:numPr>
          <w:ilvl w:val="0"/>
          <w:numId w:val="0"/>
        </w:numPr>
        <w:spacing w:line="590" w:lineRule="exact"/>
        <w:ind w:firstLine="640" w:firstLineChars="200"/>
        <w:rPr>
          <w:rFonts w:hint="eastAsia" w:eastAsia="方正仿宋_GBK" w:cs="Times New Roman"/>
          <w:sz w:val="32"/>
          <w:szCs w:val="32"/>
          <w:lang w:val="en-US" w:eastAsia="zh-CN"/>
        </w:rPr>
      </w:pPr>
      <w:r>
        <w:rPr>
          <w:rFonts w:hint="eastAsia" w:eastAsia="方正仿宋_GBK" w:cs="Times New Roman"/>
          <w:sz w:val="32"/>
          <w:szCs w:val="32"/>
          <w:lang w:val="en-US" w:eastAsia="zh-CN"/>
        </w:rPr>
        <w:t>负责智能循环型工业中新材料产业招商投资促进工作；统筹全区功能共享型金融业招商投资促进工作；完成领导交办的其他工作。</w:t>
      </w:r>
    </w:p>
    <w:p>
      <w:pPr>
        <w:numPr>
          <w:ilvl w:val="0"/>
          <w:numId w:val="0"/>
        </w:numPr>
        <w:spacing w:line="590" w:lineRule="exact"/>
        <w:ind w:left="630" w:leftChars="0"/>
        <w:rPr>
          <w:rFonts w:hint="eastAsia"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5、招商三科</w:t>
      </w:r>
      <w:r>
        <w:rPr>
          <w:rFonts w:hint="eastAsia" w:eastAsia="方正仿宋_GBK" w:cs="Times New Roman"/>
          <w:sz w:val="32"/>
          <w:szCs w:val="32"/>
          <w:lang w:val="en-US" w:eastAsia="zh-CN"/>
        </w:rPr>
        <w:t xml:space="preserve">  </w:t>
      </w:r>
    </w:p>
    <w:p>
      <w:pPr>
        <w:numPr>
          <w:ilvl w:val="0"/>
          <w:numId w:val="0"/>
        </w:numPr>
        <w:spacing w:line="590" w:lineRule="exact"/>
        <w:ind w:firstLine="640" w:firstLineChars="200"/>
        <w:rPr>
          <w:rFonts w:hint="eastAsia" w:eastAsia="方正仿宋_GBK" w:cs="Times New Roman"/>
          <w:sz w:val="32"/>
          <w:szCs w:val="32"/>
          <w:lang w:val="en-US" w:eastAsia="zh-CN"/>
        </w:rPr>
      </w:pPr>
      <w:r>
        <w:rPr>
          <w:rFonts w:hint="eastAsia" w:eastAsia="方正仿宋_GBK" w:cs="Times New Roman"/>
          <w:sz w:val="32"/>
          <w:szCs w:val="32"/>
          <w:lang w:val="en-US" w:eastAsia="zh-CN"/>
        </w:rPr>
        <w:t>负责智能循环型工业中绿色照明产业招商投资促进工作；统筹全区集散融合型文化旅游业招商投资促进工作；完成领导交办的其他工作。</w:t>
      </w:r>
    </w:p>
    <w:p>
      <w:pPr>
        <w:numPr>
          <w:ilvl w:val="0"/>
          <w:numId w:val="0"/>
        </w:numPr>
        <w:spacing w:line="590" w:lineRule="exact"/>
        <w:ind w:left="630" w:leftChars="0"/>
        <w:rPr>
          <w:rFonts w:hint="eastAsia"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 xml:space="preserve">6、招商四科 </w:t>
      </w:r>
      <w:r>
        <w:rPr>
          <w:rFonts w:hint="eastAsia" w:eastAsia="方正仿宋_GBK" w:cs="Times New Roman"/>
          <w:sz w:val="32"/>
          <w:szCs w:val="32"/>
          <w:lang w:val="en-US" w:eastAsia="zh-CN"/>
        </w:rPr>
        <w:t xml:space="preserve"> </w:t>
      </w:r>
    </w:p>
    <w:p>
      <w:pPr>
        <w:numPr>
          <w:ilvl w:val="0"/>
          <w:numId w:val="0"/>
        </w:numPr>
        <w:spacing w:line="590" w:lineRule="exact"/>
        <w:ind w:firstLine="640" w:firstLineChars="200"/>
        <w:rPr>
          <w:rFonts w:hint="eastAsia" w:eastAsia="方正仿宋_GBK" w:cs="Times New Roman"/>
          <w:sz w:val="32"/>
          <w:szCs w:val="32"/>
          <w:lang w:val="en-US" w:eastAsia="zh-CN"/>
        </w:rPr>
      </w:pPr>
      <w:r>
        <w:rPr>
          <w:rFonts w:hint="eastAsia" w:eastAsia="方正仿宋_GBK" w:cs="Times New Roman"/>
          <w:sz w:val="32"/>
          <w:szCs w:val="32"/>
          <w:lang w:val="en-US" w:eastAsia="zh-CN"/>
        </w:rPr>
        <w:t>负责智能循环型工业中智能装备产业招商投资促进工作；统筹全区绿色智慧型物流业招商投资促进工作；完成领导交办的其他工作。</w:t>
      </w:r>
    </w:p>
    <w:p>
      <w:pPr>
        <w:numPr>
          <w:ilvl w:val="0"/>
          <w:numId w:val="0"/>
        </w:numPr>
        <w:spacing w:line="590" w:lineRule="exact"/>
        <w:ind w:left="630" w:leftChars="0"/>
        <w:rPr>
          <w:rFonts w:hint="eastAsia"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7、招商五科</w:t>
      </w:r>
      <w:r>
        <w:rPr>
          <w:rFonts w:hint="eastAsia" w:eastAsia="方正仿宋_GBK" w:cs="Times New Roman"/>
          <w:sz w:val="32"/>
          <w:szCs w:val="32"/>
          <w:lang w:val="en-US" w:eastAsia="zh-CN"/>
        </w:rPr>
        <w:t xml:space="preserve">  </w:t>
      </w:r>
    </w:p>
    <w:p>
      <w:pPr>
        <w:numPr>
          <w:ilvl w:val="0"/>
          <w:numId w:val="0"/>
        </w:numPr>
        <w:spacing w:line="590" w:lineRule="exact"/>
        <w:ind w:firstLine="640" w:firstLineChars="200"/>
        <w:rPr>
          <w:rFonts w:hint="eastAsia" w:eastAsia="方正仿宋_GBK" w:cs="Times New Roman"/>
          <w:sz w:val="32"/>
          <w:szCs w:val="32"/>
          <w:lang w:val="en-US" w:eastAsia="zh-CN"/>
        </w:rPr>
      </w:pPr>
      <w:r>
        <w:rPr>
          <w:rFonts w:hint="eastAsia" w:eastAsia="方正仿宋_GBK" w:cs="Times New Roman"/>
          <w:sz w:val="32"/>
          <w:szCs w:val="32"/>
          <w:lang w:val="en-US" w:eastAsia="zh-CN"/>
        </w:rPr>
        <w:t>负责智能循环型工业中食品医药产业招商投资促进工作；统筹全区现代高效型山地农业招商投资促进工作；完成领导交办的其他工作。</w:t>
      </w:r>
    </w:p>
    <w:p>
      <w:pPr>
        <w:numPr>
          <w:ilvl w:val="0"/>
          <w:numId w:val="0"/>
        </w:numPr>
        <w:spacing w:line="590" w:lineRule="exact"/>
        <w:ind w:left="630" w:leftChars="0"/>
        <w:rPr>
          <w:rFonts w:hint="eastAsia"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8、招商六科</w:t>
      </w:r>
      <w:r>
        <w:rPr>
          <w:rFonts w:hint="eastAsia" w:eastAsia="方正仿宋_GBK" w:cs="Times New Roman"/>
          <w:sz w:val="32"/>
          <w:szCs w:val="32"/>
          <w:lang w:val="en-US" w:eastAsia="zh-CN"/>
        </w:rPr>
        <w:t xml:space="preserve">  </w:t>
      </w:r>
    </w:p>
    <w:p>
      <w:pPr>
        <w:numPr>
          <w:ilvl w:val="0"/>
          <w:numId w:val="0"/>
        </w:numPr>
        <w:spacing w:line="590" w:lineRule="exact"/>
        <w:ind w:firstLine="640" w:firstLineChars="200"/>
        <w:rPr>
          <w:rFonts w:hint="default" w:eastAsia="方正仿宋_GBK" w:cs="Times New Roman"/>
          <w:sz w:val="32"/>
          <w:szCs w:val="32"/>
          <w:lang w:val="en-US" w:eastAsia="zh-CN"/>
        </w:rPr>
      </w:pPr>
      <w:r>
        <w:rPr>
          <w:rFonts w:hint="eastAsia" w:eastAsia="方正仿宋_GBK" w:cs="Times New Roman"/>
          <w:sz w:val="32"/>
          <w:szCs w:val="32"/>
          <w:lang w:val="en-US" w:eastAsia="zh-CN"/>
        </w:rPr>
        <w:t>负责智能循环型工业中五大产业以外的招商投资促进工作；完成领导交办的其他工作。</w:t>
      </w:r>
    </w:p>
    <w:p>
      <w:pPr>
        <w:pStyle w:val="3"/>
        <w:keepNext w:val="0"/>
        <w:keepLines w:val="0"/>
        <w:widowControl/>
        <w:numPr>
          <w:ilvl w:val="0"/>
          <w:numId w:val="1"/>
        </w:numPr>
        <w:suppressLineNumbers w:val="0"/>
        <w:ind w:left="435" w:leftChars="0" w:firstLine="0" w:firstLineChars="0"/>
        <w:rPr>
          <w:rFonts w:hint="eastAsia" w:eastAsia="方正仿宋_GBK" w:cs="Times New Roman" w:asciiTheme="minorHAnsi" w:hAnsiTheme="minorHAnsi"/>
          <w:kern w:val="2"/>
          <w:sz w:val="32"/>
          <w:szCs w:val="32"/>
          <w:lang w:val="en-US" w:eastAsia="zh-CN" w:bidi="ar-SA"/>
        </w:rPr>
      </w:pPr>
      <w:r>
        <w:rPr>
          <w:rStyle w:val="6"/>
          <w:sz w:val="30"/>
          <w:szCs w:val="30"/>
        </w:rPr>
        <w:t>单位构成。</w:t>
      </w:r>
      <w:r>
        <w:rPr>
          <w:rFonts w:hint="eastAsia" w:eastAsia="方正仿宋_GBK" w:cs="Times New Roman" w:asciiTheme="minorHAnsi" w:hAnsiTheme="minorHAnsi"/>
          <w:kern w:val="2"/>
          <w:sz w:val="32"/>
          <w:szCs w:val="32"/>
          <w:lang w:val="en-US" w:eastAsia="zh-CN" w:bidi="ar-SA"/>
        </w:rPr>
        <w:t>从预算单位构成看，纳入本部门2019年度决算编制的二级预算单位主要包括本单位及下属事业单位一个万州区对口支援服务中心（非独立核算事业单位）。</w:t>
      </w:r>
    </w:p>
    <w:p>
      <w:pPr>
        <w:pStyle w:val="3"/>
        <w:keepNext w:val="0"/>
        <w:keepLines w:val="0"/>
        <w:widowControl/>
        <w:numPr>
          <w:ilvl w:val="0"/>
          <w:numId w:val="0"/>
        </w:numPr>
        <w:suppressLineNumbers w:val="0"/>
        <w:ind w:left="435" w:leftChars="0" w:right="0" w:rightChars="0"/>
        <w:rPr>
          <w:rFonts w:hint="eastAsia" w:eastAsia="方正仿宋_GBK" w:cs="Times New Roman" w:asciiTheme="minorHAnsi" w:hAnsiTheme="minorHAnsi"/>
          <w:kern w:val="2"/>
          <w:sz w:val="32"/>
          <w:szCs w:val="32"/>
          <w:lang w:val="en-US" w:eastAsia="zh-CN" w:bidi="ar-SA"/>
        </w:rPr>
      </w:pPr>
      <w:r>
        <w:rPr>
          <w:rStyle w:val="6"/>
          <w:sz w:val="30"/>
          <w:szCs w:val="30"/>
        </w:rPr>
        <w:t>  （四）机构改革情况。</w:t>
      </w:r>
      <w:r>
        <w:rPr>
          <w:rFonts w:hint="eastAsia" w:eastAsia="方正仿宋_GBK" w:cs="Times New Roman" w:asciiTheme="minorHAnsi" w:hAnsiTheme="minorHAnsi"/>
          <w:kern w:val="2"/>
          <w:sz w:val="32"/>
          <w:szCs w:val="32"/>
          <w:lang w:val="en-US" w:eastAsia="zh-CN" w:bidi="ar-SA"/>
        </w:rPr>
        <w:t>本部门涉及本次党和国家机构改革，对此专门说明如下：一是机构改革情况，我单位是根据2019年万州区机构改革方案万州委发〔2019〕1号文件组建的政府工作部门。二是财政财务调整情况，本次机构改革不涉及我单位财务调整。</w:t>
      </w:r>
    </w:p>
    <w:p>
      <w:pPr>
        <w:pStyle w:val="3"/>
        <w:keepNext w:val="0"/>
        <w:keepLines w:val="0"/>
        <w:widowControl/>
        <w:suppressLineNumbers w:val="0"/>
        <w:rPr>
          <w:rFonts w:hint="eastAsia" w:ascii="方正黑体_GBK" w:hAnsi="方正黑体_GBK" w:eastAsia="方正黑体_GBK" w:cs="方正黑体_GBK"/>
          <w:kern w:val="2"/>
          <w:sz w:val="32"/>
          <w:szCs w:val="32"/>
          <w:lang w:val="en-US" w:eastAsia="zh-CN" w:bidi="ar-SA"/>
        </w:rPr>
      </w:pPr>
      <w:r>
        <w:rPr>
          <w:sz w:val="30"/>
          <w:szCs w:val="30"/>
        </w:rPr>
        <w:t xml:space="preserve">  </w:t>
      </w:r>
      <w:r>
        <w:rPr>
          <w:rFonts w:hint="eastAsia" w:ascii="方正黑体_GBK" w:hAnsi="方正黑体_GBK" w:eastAsia="方正黑体_GBK" w:cs="方正黑体_GBK"/>
          <w:kern w:val="2"/>
          <w:sz w:val="32"/>
          <w:szCs w:val="32"/>
          <w:lang w:val="en-US" w:eastAsia="zh-CN" w:bidi="ar-SA"/>
        </w:rPr>
        <w:t>二、部门决算情况说明</w:t>
      </w:r>
    </w:p>
    <w:p>
      <w:pPr>
        <w:pStyle w:val="3"/>
        <w:keepNext w:val="0"/>
        <w:keepLines w:val="0"/>
        <w:widowControl/>
        <w:suppressLineNumbers w:val="0"/>
        <w:rPr>
          <w:rFonts w:hint="eastAsia" w:ascii="方正黑体_GBK" w:hAnsi="方正黑体_GBK" w:eastAsia="方正黑体_GBK" w:cs="方正黑体_GBK"/>
          <w:b w:val="0"/>
          <w:bCs/>
          <w:sz w:val="32"/>
          <w:szCs w:val="32"/>
        </w:rPr>
      </w:pPr>
      <w:r>
        <w:rPr>
          <w:rStyle w:val="6"/>
          <w:sz w:val="30"/>
          <w:szCs w:val="30"/>
        </w:rPr>
        <w:t> </w:t>
      </w:r>
      <w:r>
        <w:rPr>
          <w:rStyle w:val="6"/>
          <w:b w:val="0"/>
          <w:bCs/>
          <w:sz w:val="30"/>
          <w:szCs w:val="30"/>
        </w:rPr>
        <w:t xml:space="preserve"> </w:t>
      </w:r>
      <w:r>
        <w:rPr>
          <w:rStyle w:val="6"/>
          <w:rFonts w:hint="eastAsia" w:ascii="方正黑体_GBK" w:hAnsi="方正黑体_GBK" w:eastAsia="方正黑体_GBK" w:cs="方正黑体_GBK"/>
          <w:b w:val="0"/>
          <w:bCs/>
          <w:sz w:val="32"/>
          <w:szCs w:val="32"/>
        </w:rPr>
        <w:t>（一）收入支出决算总体情况说明</w:t>
      </w:r>
    </w:p>
    <w:p>
      <w:pPr>
        <w:pStyle w:val="3"/>
        <w:keepNext w:val="0"/>
        <w:keepLines w:val="0"/>
        <w:widowControl/>
        <w:suppressLineNumbers w:val="0"/>
        <w:rPr>
          <w:rFonts w:hint="eastAsia" w:ascii="方正仿宋_GBK" w:hAnsi="方正仿宋_GBK" w:eastAsia="方正仿宋_GBK" w:cs="方正仿宋_GBK"/>
          <w:kern w:val="2"/>
          <w:sz w:val="32"/>
          <w:szCs w:val="32"/>
          <w:lang w:val="en-US" w:eastAsia="zh-CN" w:bidi="ar-SA"/>
        </w:rPr>
      </w:pPr>
      <w:r>
        <w:rPr>
          <w:rStyle w:val="6"/>
          <w:sz w:val="30"/>
          <w:szCs w:val="30"/>
        </w:rPr>
        <w:t> </w:t>
      </w:r>
      <w:r>
        <w:rPr>
          <w:rStyle w:val="6"/>
          <w:rFonts w:hint="eastAsia" w:ascii="方正仿宋_GBK" w:hAnsi="方正仿宋_GBK" w:eastAsia="方正仿宋_GBK" w:cs="方正仿宋_GBK"/>
          <w:sz w:val="32"/>
          <w:szCs w:val="32"/>
        </w:rPr>
        <w:t xml:space="preserve"> </w:t>
      </w:r>
      <w:r>
        <w:rPr>
          <w:rStyle w:val="6"/>
          <w:rFonts w:hint="eastAsia" w:ascii="方正黑体_GBK" w:hAnsi="方正黑体_GBK" w:eastAsia="方正黑体_GBK" w:cs="方正黑体_GBK"/>
          <w:b w:val="0"/>
          <w:bCs/>
          <w:sz w:val="32"/>
          <w:szCs w:val="32"/>
        </w:rPr>
        <w:t>1.总体情况。</w:t>
      </w:r>
      <w:r>
        <w:rPr>
          <w:rFonts w:hint="eastAsia" w:ascii="方正仿宋_GBK" w:hAnsi="方正仿宋_GBK" w:eastAsia="方正仿宋_GBK" w:cs="方正仿宋_GBK"/>
          <w:kern w:val="2"/>
          <w:sz w:val="32"/>
          <w:szCs w:val="32"/>
          <w:lang w:val="en-US" w:eastAsia="zh-CN" w:bidi="ar-SA"/>
        </w:rPr>
        <w:t>2019年度收入总计1,242.83万元，支出总计1,242.83万元。收支较上年决算数增加409.56万元、增长49.15%，主要原因一是万州经开区投促局公用经费120万元划转到万州区招商投资局统一使用、管理、核算；二是2019年增加了驻点招商项目经费150万元；三是增加了万州经开区拨入工作经费50万元；四是支洽会组委会拨入工作经费15万元及其他收入等。</w:t>
      </w:r>
    </w:p>
    <w:p>
      <w:pPr>
        <w:pStyle w:val="3"/>
        <w:keepNext w:val="0"/>
        <w:keepLines w:val="0"/>
        <w:widowControl/>
        <w:suppressLineNumbers w:val="0"/>
        <w:rPr>
          <w:rFonts w:hint="eastAsia" w:ascii="方正仿宋_GBK" w:hAnsi="方正仿宋_GBK" w:eastAsia="方正仿宋_GBK" w:cs="方正仿宋_GBK"/>
          <w:kern w:val="2"/>
          <w:sz w:val="32"/>
          <w:szCs w:val="32"/>
          <w:lang w:val="en-US" w:eastAsia="zh-CN" w:bidi="ar-SA"/>
        </w:rPr>
      </w:pPr>
      <w:r>
        <w:rPr>
          <w:rStyle w:val="6"/>
          <w:b w:val="0"/>
          <w:bCs/>
          <w:sz w:val="30"/>
          <w:szCs w:val="30"/>
        </w:rPr>
        <w:t> </w:t>
      </w:r>
      <w:r>
        <w:rPr>
          <w:rStyle w:val="6"/>
          <w:rFonts w:hint="eastAsia" w:ascii="方正黑体_GBK" w:hAnsi="方正黑体_GBK" w:eastAsia="方正黑体_GBK" w:cs="方正黑体_GBK"/>
          <w:b w:val="0"/>
          <w:bCs/>
          <w:sz w:val="32"/>
          <w:szCs w:val="32"/>
        </w:rPr>
        <w:t xml:space="preserve"> 2.收入情况。</w:t>
      </w:r>
      <w:r>
        <w:rPr>
          <w:rFonts w:hint="eastAsia" w:ascii="方正仿宋_GBK" w:hAnsi="方正仿宋_GBK" w:eastAsia="方正仿宋_GBK" w:cs="方正仿宋_GBK"/>
          <w:kern w:val="2"/>
          <w:sz w:val="32"/>
          <w:szCs w:val="32"/>
          <w:lang w:val="en-US" w:eastAsia="zh-CN" w:bidi="ar-SA"/>
        </w:rPr>
        <w:t>2019年度收入合计1,242.83万元，较上年决算数增加409.56万元，增长49.15%，主要原因一是万州经开区投促局公用经费120万元划转到我单位统一使用、管理、核算；二是2019年增加了驻点招商项目经费150万元；三是增加了万州经开区拨入工作经费等。其中：财政拨款收入881.42万元，占70.92%；事业收入0.00万元，占0.00%；经营收入0.00万元，占0.00%；其他收入361.41万元，占29.08%。</w:t>
      </w:r>
    </w:p>
    <w:p>
      <w:pPr>
        <w:pStyle w:val="3"/>
        <w:keepNext w:val="0"/>
        <w:keepLines w:val="0"/>
        <w:widowControl/>
        <w:suppressLineNumbers w:val="0"/>
        <w:rPr>
          <w:rFonts w:hint="eastAsia" w:ascii="方正仿宋_GBK" w:hAnsi="方正仿宋_GBK" w:eastAsia="方正仿宋_GBK" w:cs="方正仿宋_GBK"/>
          <w:kern w:val="2"/>
          <w:sz w:val="32"/>
          <w:szCs w:val="32"/>
          <w:lang w:val="en-US" w:eastAsia="zh-CN" w:bidi="ar-SA"/>
        </w:rPr>
      </w:pPr>
      <w:r>
        <w:rPr>
          <w:rStyle w:val="6"/>
          <w:sz w:val="30"/>
          <w:szCs w:val="30"/>
        </w:rPr>
        <w:t> </w:t>
      </w:r>
      <w:r>
        <w:rPr>
          <w:rStyle w:val="6"/>
          <w:rFonts w:hint="eastAsia" w:ascii="方正黑体_GBK" w:hAnsi="方正黑体_GBK" w:eastAsia="方正黑体_GBK" w:cs="方正黑体_GBK"/>
          <w:b w:val="0"/>
          <w:bCs/>
          <w:sz w:val="32"/>
          <w:szCs w:val="32"/>
        </w:rPr>
        <w:t xml:space="preserve"> 3.支出情况。</w:t>
      </w:r>
      <w:r>
        <w:rPr>
          <w:rFonts w:hint="eastAsia" w:ascii="方正仿宋_GBK" w:hAnsi="方正仿宋_GBK" w:eastAsia="方正仿宋_GBK" w:cs="方正仿宋_GBK"/>
          <w:sz w:val="30"/>
          <w:szCs w:val="30"/>
        </w:rPr>
        <w:t>2</w:t>
      </w:r>
      <w:r>
        <w:rPr>
          <w:rFonts w:hint="eastAsia" w:ascii="方正仿宋_GBK" w:hAnsi="方正仿宋_GBK" w:eastAsia="方正仿宋_GBK" w:cs="方正仿宋_GBK"/>
          <w:kern w:val="2"/>
          <w:sz w:val="32"/>
          <w:szCs w:val="32"/>
          <w:lang w:val="en-US" w:eastAsia="zh-CN" w:bidi="ar-SA"/>
        </w:rPr>
        <w:t>019年度支出合计1,242.83万元，较上年决算数增加409.56万元，增长49.15%，主要原因一是增加了万州经开区投促局在我单位统一核算的公用经费120万元支出；二是增加了驻点招商项目经费150万元支出；三是增加了招商工作经费80万元支出；四是增加了支洽会工作经费15万元支出及其他支出等 。其中：基本支出731.42万元，占58.85%；项目支出511.41万元，占41.15%。</w:t>
      </w:r>
    </w:p>
    <w:p>
      <w:pPr>
        <w:pStyle w:val="3"/>
        <w:keepNext w:val="0"/>
        <w:keepLines w:val="0"/>
        <w:widowControl/>
        <w:suppressLineNumbers w:val="0"/>
        <w:rPr>
          <w:rFonts w:hint="eastAsia" w:ascii="方正仿宋_GBK" w:hAnsi="方正仿宋_GBK" w:eastAsia="方正仿宋_GBK" w:cs="方正仿宋_GBK"/>
          <w:kern w:val="2"/>
          <w:sz w:val="32"/>
          <w:szCs w:val="32"/>
          <w:lang w:val="en-US" w:eastAsia="zh-CN" w:bidi="ar-SA"/>
        </w:rPr>
      </w:pPr>
      <w:r>
        <w:rPr>
          <w:rStyle w:val="6"/>
          <w:sz w:val="30"/>
          <w:szCs w:val="30"/>
        </w:rPr>
        <w:t> </w:t>
      </w:r>
      <w:r>
        <w:rPr>
          <w:rStyle w:val="6"/>
          <w:rFonts w:hint="eastAsia" w:ascii="方正黑体_GBK" w:hAnsi="方正黑体_GBK" w:eastAsia="方正黑体_GBK" w:cs="方正黑体_GBK"/>
          <w:b w:val="0"/>
          <w:bCs/>
          <w:sz w:val="32"/>
          <w:szCs w:val="32"/>
        </w:rPr>
        <w:t xml:space="preserve"> 4.结转结余情况。</w:t>
      </w:r>
      <w:r>
        <w:rPr>
          <w:rFonts w:hint="eastAsia" w:ascii="方正仿宋_GBK" w:hAnsi="方正仿宋_GBK" w:eastAsia="方正仿宋_GBK" w:cs="方正仿宋_GBK"/>
          <w:kern w:val="2"/>
          <w:sz w:val="32"/>
          <w:szCs w:val="32"/>
          <w:lang w:val="en-US" w:eastAsia="zh-CN" w:bidi="ar-SA"/>
        </w:rPr>
        <w:t>2019年度年末结转和结余0.00万元，较上年决算数增加0.00万元，增长0.00%，主要原因是今年收支平衡。</w:t>
      </w:r>
    </w:p>
    <w:p>
      <w:pPr>
        <w:pStyle w:val="3"/>
        <w:keepNext w:val="0"/>
        <w:keepLines w:val="0"/>
        <w:widowControl/>
        <w:suppressLineNumbers w:val="0"/>
        <w:rPr>
          <w:rFonts w:hint="eastAsia" w:ascii="方正黑体_GBK" w:hAnsi="方正黑体_GBK" w:eastAsia="方正黑体_GBK" w:cs="方正黑体_GBK"/>
          <w:b w:val="0"/>
          <w:bCs/>
          <w:sz w:val="32"/>
          <w:szCs w:val="32"/>
        </w:rPr>
      </w:pPr>
      <w:r>
        <w:rPr>
          <w:rStyle w:val="6"/>
          <w:rFonts w:hint="eastAsia" w:ascii="方正黑体_GBK" w:hAnsi="方正黑体_GBK" w:eastAsia="方正黑体_GBK" w:cs="方正黑体_GBK"/>
          <w:b w:val="0"/>
          <w:bCs/>
          <w:sz w:val="32"/>
          <w:szCs w:val="32"/>
        </w:rPr>
        <w:t>  （二）财政拨款收入支出决算总体情况说明</w:t>
      </w:r>
    </w:p>
    <w:p>
      <w:pPr>
        <w:pStyle w:val="3"/>
        <w:keepNext w:val="0"/>
        <w:keepLines w:val="0"/>
        <w:widowControl/>
        <w:suppressLineNumbers w:val="0"/>
        <w:rPr>
          <w:rFonts w:hint="eastAsia" w:ascii="方正仿宋_GBK" w:hAnsi="方正仿宋_GBK" w:eastAsia="方正仿宋_GBK" w:cs="方正仿宋_GBK"/>
          <w:kern w:val="2"/>
          <w:sz w:val="32"/>
          <w:szCs w:val="32"/>
          <w:lang w:val="en-US" w:eastAsia="zh-CN" w:bidi="ar-SA"/>
        </w:rPr>
      </w:pPr>
      <w:r>
        <w:rPr>
          <w:sz w:val="30"/>
          <w:szCs w:val="30"/>
        </w:rPr>
        <w:t> </w:t>
      </w:r>
      <w:r>
        <w:rPr>
          <w:rFonts w:hint="eastAsia"/>
          <w:sz w:val="30"/>
          <w:szCs w:val="30"/>
          <w:lang w:val="en-US" w:eastAsia="zh-CN"/>
        </w:rPr>
        <w:t xml:space="preserve">  </w:t>
      </w:r>
      <w:r>
        <w:rPr>
          <w:rFonts w:hint="eastAsia" w:ascii="方正仿宋_GBK" w:hAnsi="方正仿宋_GBK" w:eastAsia="方正仿宋_GBK" w:cs="方正仿宋_GBK"/>
          <w:sz w:val="32"/>
          <w:szCs w:val="32"/>
        </w:rPr>
        <w:t xml:space="preserve"> 2</w:t>
      </w:r>
      <w:r>
        <w:rPr>
          <w:rFonts w:hint="eastAsia" w:ascii="方正仿宋_GBK" w:hAnsi="方正仿宋_GBK" w:eastAsia="方正仿宋_GBK" w:cs="方正仿宋_GBK"/>
          <w:kern w:val="2"/>
          <w:sz w:val="32"/>
          <w:szCs w:val="32"/>
          <w:lang w:val="en-US" w:eastAsia="zh-CN" w:bidi="ar-SA"/>
        </w:rPr>
        <w:t>019年度财政拨款收、支总计881.42万元。与2018年相比，财政拨款收、支总计各增加252.38万元，增长40.12%。主要原因一是增加了150万元驻点招商项目经费，二是增加了职工目标绩效奖、职工带薪年休假工资和离退休人员健康休养费等支出。</w:t>
      </w:r>
    </w:p>
    <w:p>
      <w:pPr>
        <w:pStyle w:val="3"/>
        <w:keepNext w:val="0"/>
        <w:keepLines w:val="0"/>
        <w:widowControl/>
        <w:suppressLineNumbers w:val="0"/>
      </w:pPr>
      <w:r>
        <w:rPr>
          <w:rStyle w:val="6"/>
          <w:sz w:val="30"/>
          <w:szCs w:val="30"/>
        </w:rPr>
        <w:t>  （三）一般公共预算财政拨款支出决算情况说明</w:t>
      </w:r>
    </w:p>
    <w:p>
      <w:pPr>
        <w:pStyle w:val="3"/>
        <w:keepNext w:val="0"/>
        <w:keepLines w:val="0"/>
        <w:widowControl/>
        <w:suppressLineNumbers w:val="0"/>
        <w:rPr>
          <w:rFonts w:hint="eastAsia" w:eastAsia="方正仿宋_GBK" w:cs="Times New Roman" w:asciiTheme="minorHAnsi" w:hAnsiTheme="minorHAnsi"/>
          <w:kern w:val="2"/>
          <w:sz w:val="32"/>
          <w:szCs w:val="32"/>
          <w:lang w:val="en-US" w:eastAsia="zh-CN" w:bidi="ar-SA"/>
        </w:rPr>
      </w:pPr>
      <w:r>
        <w:rPr>
          <w:rStyle w:val="6"/>
          <w:sz w:val="30"/>
          <w:szCs w:val="30"/>
        </w:rPr>
        <w:t>  1.收入情况。</w:t>
      </w:r>
      <w:r>
        <w:rPr>
          <w:sz w:val="30"/>
          <w:szCs w:val="30"/>
        </w:rPr>
        <w:t>2</w:t>
      </w:r>
      <w:r>
        <w:rPr>
          <w:rFonts w:hint="eastAsia" w:eastAsia="方正仿宋_GBK" w:cs="Times New Roman" w:asciiTheme="minorHAnsi" w:hAnsiTheme="minorHAnsi"/>
          <w:kern w:val="2"/>
          <w:sz w:val="32"/>
          <w:szCs w:val="32"/>
          <w:lang w:val="en-US" w:eastAsia="zh-CN" w:bidi="ar-SA"/>
        </w:rPr>
        <w:t>019年度一般公共预算财政拨款收入881.42万元，较上年决算数增加252.38万元，增长40.12%。主要原因一是2019年增加了驻点招商项目经费150万元；二是增加了万州经开区拨入工作经费50万元；三是支洽会组委会拨入工作经费15万元及其他收入等。较年初预算数增加301.84万元，增长52.08%。主要原因一是增加了驻点招商项目经费150万元支出；二是增加了招商工作经费80万元支出；三是增加了支洽会工作经费15万元支出及其他支出等。此外，年初财政拨款结转和结余0.00万元。</w:t>
      </w:r>
    </w:p>
    <w:p>
      <w:pPr>
        <w:pStyle w:val="3"/>
        <w:keepNext w:val="0"/>
        <w:keepLines w:val="0"/>
        <w:widowControl/>
        <w:suppressLineNumbers w:val="0"/>
        <w:rPr>
          <w:rFonts w:hint="eastAsia" w:eastAsia="方正仿宋_GBK" w:cs="Times New Roman" w:asciiTheme="minorHAnsi" w:hAnsiTheme="minorHAnsi"/>
          <w:kern w:val="2"/>
          <w:sz w:val="32"/>
          <w:szCs w:val="32"/>
          <w:lang w:val="en-US" w:eastAsia="zh-CN" w:bidi="ar-SA"/>
        </w:rPr>
      </w:pPr>
      <w:r>
        <w:rPr>
          <w:rStyle w:val="6"/>
          <w:sz w:val="30"/>
          <w:szCs w:val="30"/>
        </w:rPr>
        <w:t>  2.支出情况。</w:t>
      </w:r>
      <w:r>
        <w:rPr>
          <w:rFonts w:hint="eastAsia" w:eastAsia="方正仿宋_GBK" w:cs="Times New Roman" w:asciiTheme="minorHAnsi" w:hAnsiTheme="minorHAnsi"/>
          <w:kern w:val="2"/>
          <w:sz w:val="32"/>
          <w:szCs w:val="32"/>
          <w:lang w:val="en-US" w:eastAsia="zh-CN" w:bidi="ar-SA"/>
        </w:rPr>
        <w:t>2019年度一般公共预算财政拨款支出881.42万元，较上年决算数增加252.38万元，增长40.12%。主要原因一是增加了驻点招商项目经费150万元支出；二是增加了招商工作经费80万元支出；三是增加了支洽会工作经费15万元支出及其他支出等。较年初预算数增加301.84万元，增长52.08%。主要原因是一是增加了驻点招商项目经费150万元支出；二是增加了招商工作经费80万元支出；三是增加了支洽会工作经费15万元支出及其他支出等。</w:t>
      </w:r>
    </w:p>
    <w:p>
      <w:pPr>
        <w:pStyle w:val="3"/>
        <w:keepNext w:val="0"/>
        <w:keepLines w:val="0"/>
        <w:widowControl/>
        <w:suppressLineNumbers w:val="0"/>
        <w:rPr>
          <w:rFonts w:hint="eastAsia" w:eastAsia="方正仿宋_GBK" w:cs="Times New Roman" w:asciiTheme="minorHAnsi" w:hAnsiTheme="minorHAnsi"/>
          <w:kern w:val="2"/>
          <w:sz w:val="32"/>
          <w:szCs w:val="32"/>
          <w:lang w:val="en-US" w:eastAsia="zh-CN" w:bidi="ar-SA"/>
        </w:rPr>
      </w:pPr>
      <w:r>
        <w:rPr>
          <w:rStyle w:val="6"/>
          <w:sz w:val="30"/>
          <w:szCs w:val="30"/>
        </w:rPr>
        <w:t>  3.结转结余情况。</w:t>
      </w:r>
      <w:r>
        <w:rPr>
          <w:sz w:val="30"/>
          <w:szCs w:val="30"/>
        </w:rPr>
        <w:t>2</w:t>
      </w:r>
      <w:r>
        <w:rPr>
          <w:rFonts w:hint="eastAsia" w:eastAsia="方正仿宋_GBK" w:cs="Times New Roman" w:asciiTheme="minorHAnsi" w:hAnsiTheme="minorHAnsi"/>
          <w:kern w:val="2"/>
          <w:sz w:val="32"/>
          <w:szCs w:val="32"/>
          <w:lang w:val="en-US" w:eastAsia="zh-CN" w:bidi="ar-SA"/>
        </w:rPr>
        <w:t>019年度年末一般公共预算财政拨款结转和结余0.00万元，较上年决算数增加0.00万元，增长0.00%，主要原因是今年收支平衡。</w:t>
      </w:r>
    </w:p>
    <w:p>
      <w:pPr>
        <w:pStyle w:val="3"/>
        <w:keepNext w:val="0"/>
        <w:keepLines w:val="0"/>
        <w:widowControl/>
        <w:suppressLineNumbers w:val="0"/>
        <w:rPr>
          <w:rFonts w:hint="eastAsia" w:eastAsia="方正仿宋_GBK" w:cs="Times New Roman" w:asciiTheme="minorHAnsi" w:hAnsiTheme="minorHAnsi"/>
          <w:kern w:val="2"/>
          <w:sz w:val="32"/>
          <w:szCs w:val="32"/>
          <w:lang w:val="en-US" w:eastAsia="zh-CN" w:bidi="ar-SA"/>
        </w:rPr>
      </w:pPr>
      <w:r>
        <w:rPr>
          <w:rStyle w:val="6"/>
          <w:sz w:val="30"/>
          <w:szCs w:val="30"/>
        </w:rPr>
        <w:t>  4.比较情况。</w:t>
      </w:r>
      <w:r>
        <w:rPr>
          <w:rFonts w:hint="eastAsia" w:eastAsia="方正仿宋_GBK" w:cs="Times New Roman" w:asciiTheme="minorHAnsi" w:hAnsiTheme="minorHAnsi"/>
          <w:kern w:val="2"/>
          <w:sz w:val="32"/>
          <w:szCs w:val="32"/>
          <w:lang w:val="en-US" w:eastAsia="zh-CN" w:bidi="ar-SA"/>
        </w:rPr>
        <w:t>本部门2019年度一般公共预算财政拨款支出主要用于以下几个方面：</w:t>
      </w:r>
    </w:p>
    <w:p>
      <w:pPr>
        <w:pStyle w:val="3"/>
        <w:keepNext w:val="0"/>
        <w:keepLines w:val="0"/>
        <w:widowControl/>
        <w:suppressLineNumbers w:val="0"/>
        <w:rPr>
          <w:rFonts w:hint="eastAsia" w:eastAsia="方正仿宋_GBK" w:cs="Times New Roman" w:asciiTheme="minorHAnsi" w:hAnsiTheme="minorHAnsi"/>
          <w:kern w:val="2"/>
          <w:sz w:val="32"/>
          <w:szCs w:val="32"/>
          <w:lang w:val="en-US" w:eastAsia="zh-CN" w:bidi="ar-SA"/>
        </w:rPr>
      </w:pPr>
      <w:r>
        <w:rPr>
          <w:rFonts w:hint="eastAsia" w:eastAsia="方正仿宋_GBK" w:cs="Times New Roman" w:asciiTheme="minorHAnsi" w:hAnsiTheme="minorHAnsi"/>
          <w:kern w:val="2"/>
          <w:sz w:val="32"/>
          <w:szCs w:val="32"/>
          <w:lang w:val="en-US" w:eastAsia="zh-CN" w:bidi="ar-SA"/>
        </w:rPr>
        <w:t>  （1）一般公共服务支出150.00万元，占17.02%，较年初预算数增加150.00万元，增长0.00%，主要原因是追加了驻点招商工作经费150万元。</w:t>
      </w:r>
    </w:p>
    <w:p>
      <w:pPr>
        <w:pStyle w:val="3"/>
        <w:keepNext w:val="0"/>
        <w:keepLines w:val="0"/>
        <w:widowControl/>
        <w:suppressLineNumbers w:val="0"/>
        <w:rPr>
          <w:rFonts w:hint="eastAsia" w:eastAsia="方正仿宋_GBK" w:cs="Times New Roman" w:asciiTheme="minorHAnsi" w:hAnsiTheme="minorHAnsi"/>
          <w:kern w:val="2"/>
          <w:sz w:val="32"/>
          <w:szCs w:val="32"/>
          <w:lang w:val="en-US" w:eastAsia="zh-CN" w:bidi="ar-SA"/>
        </w:rPr>
      </w:pPr>
      <w:r>
        <w:rPr>
          <w:rFonts w:hint="eastAsia" w:eastAsia="方正仿宋_GBK" w:cs="Times New Roman" w:asciiTheme="minorHAnsi" w:hAnsiTheme="minorHAnsi"/>
          <w:kern w:val="2"/>
          <w:sz w:val="32"/>
          <w:szCs w:val="32"/>
          <w:lang w:val="en-US" w:eastAsia="zh-CN" w:bidi="ar-SA"/>
        </w:rPr>
        <w:t>   （</w:t>
      </w:r>
      <w:r>
        <w:rPr>
          <w:rFonts w:hint="eastAsia" w:eastAsia="方正仿宋_GBK" w:cs="Times New Roman"/>
          <w:kern w:val="2"/>
          <w:sz w:val="32"/>
          <w:szCs w:val="32"/>
          <w:lang w:val="en-US" w:eastAsia="zh-CN" w:bidi="ar-SA"/>
        </w:rPr>
        <w:t>2</w:t>
      </w:r>
      <w:r>
        <w:rPr>
          <w:rFonts w:hint="eastAsia" w:eastAsia="方正仿宋_GBK" w:cs="Times New Roman" w:asciiTheme="minorHAnsi" w:hAnsiTheme="minorHAnsi"/>
          <w:kern w:val="2"/>
          <w:sz w:val="32"/>
          <w:szCs w:val="32"/>
          <w:lang w:val="en-US" w:eastAsia="zh-CN" w:bidi="ar-SA"/>
        </w:rPr>
        <w:t>）社会保障与就业支出113.77万元，占12.91%，较年初预算数增加43.66万元，增长62.27%，主要原因是新增了万州经开区投促局的相关支出在我单位统一核算。</w:t>
      </w:r>
    </w:p>
    <w:p>
      <w:pPr>
        <w:pStyle w:val="3"/>
        <w:keepNext w:val="0"/>
        <w:keepLines w:val="0"/>
        <w:widowControl/>
        <w:suppressLineNumbers w:val="0"/>
        <w:rPr>
          <w:rFonts w:hint="eastAsia" w:eastAsia="方正仿宋_GBK" w:cs="Times New Roman" w:asciiTheme="minorHAnsi" w:hAnsiTheme="minorHAnsi"/>
          <w:kern w:val="2"/>
          <w:sz w:val="32"/>
          <w:szCs w:val="32"/>
          <w:lang w:val="en-US" w:eastAsia="zh-CN" w:bidi="ar-SA"/>
        </w:rPr>
      </w:pPr>
      <w:r>
        <w:rPr>
          <w:rFonts w:hint="eastAsia" w:eastAsia="方正仿宋_GBK" w:cs="Times New Roman" w:asciiTheme="minorHAnsi" w:hAnsiTheme="minorHAnsi"/>
          <w:kern w:val="2"/>
          <w:sz w:val="32"/>
          <w:szCs w:val="32"/>
          <w:lang w:val="en-US" w:eastAsia="zh-CN" w:bidi="ar-SA"/>
        </w:rPr>
        <w:t>  （</w:t>
      </w:r>
      <w:r>
        <w:rPr>
          <w:rFonts w:hint="eastAsia" w:eastAsia="方正仿宋_GBK" w:cs="Times New Roman"/>
          <w:kern w:val="2"/>
          <w:sz w:val="32"/>
          <w:szCs w:val="32"/>
          <w:lang w:val="en-US" w:eastAsia="zh-CN" w:bidi="ar-SA"/>
        </w:rPr>
        <w:t>3</w:t>
      </w:r>
      <w:r>
        <w:rPr>
          <w:rFonts w:hint="eastAsia" w:eastAsia="方正仿宋_GBK" w:cs="Times New Roman" w:asciiTheme="minorHAnsi" w:hAnsiTheme="minorHAnsi"/>
          <w:kern w:val="2"/>
          <w:sz w:val="32"/>
          <w:szCs w:val="32"/>
          <w:lang w:val="en-US" w:eastAsia="zh-CN" w:bidi="ar-SA"/>
        </w:rPr>
        <w:t>）卫生健康支出34.76万元，占3.94%，较年初预算数减少3.09万元，下降8.16%，主要原因</w:t>
      </w:r>
      <w:bookmarkStart w:id="0" w:name="_GoBack"/>
      <w:bookmarkEnd w:id="0"/>
      <w:r>
        <w:rPr>
          <w:rFonts w:hint="eastAsia" w:eastAsia="方正仿宋_GBK" w:cs="Times New Roman" w:asciiTheme="minorHAnsi" w:hAnsiTheme="minorHAnsi"/>
          <w:kern w:val="2"/>
          <w:sz w:val="32"/>
          <w:szCs w:val="32"/>
          <w:lang w:val="en-US" w:eastAsia="zh-CN" w:bidi="ar-SA"/>
        </w:rPr>
        <w:t>是2018年10月编制2019年预算时将2019年10月在职转为退休的人员纳入了年初预算。</w:t>
      </w:r>
    </w:p>
    <w:p>
      <w:pPr>
        <w:pStyle w:val="3"/>
        <w:keepNext w:val="0"/>
        <w:keepLines w:val="0"/>
        <w:widowControl/>
        <w:suppressLineNumbers w:val="0"/>
        <w:rPr>
          <w:rFonts w:hint="eastAsia" w:eastAsia="方正仿宋_GBK" w:cs="Times New Roman" w:asciiTheme="minorHAnsi" w:hAnsiTheme="minorHAnsi"/>
          <w:kern w:val="2"/>
          <w:sz w:val="32"/>
          <w:szCs w:val="32"/>
          <w:lang w:val="en-US" w:eastAsia="zh-CN" w:bidi="ar-SA"/>
        </w:rPr>
      </w:pPr>
      <w:r>
        <w:rPr>
          <w:rFonts w:hint="eastAsia" w:eastAsia="方正仿宋_GBK" w:cs="Times New Roman" w:asciiTheme="minorHAnsi" w:hAnsiTheme="minorHAnsi"/>
          <w:kern w:val="2"/>
          <w:sz w:val="32"/>
          <w:szCs w:val="32"/>
          <w:lang w:val="en-US" w:eastAsia="zh-CN" w:bidi="ar-SA"/>
        </w:rPr>
        <w:t>  （</w:t>
      </w:r>
      <w:r>
        <w:rPr>
          <w:rFonts w:hint="eastAsia" w:eastAsia="方正仿宋_GBK" w:cs="Times New Roman"/>
          <w:kern w:val="2"/>
          <w:sz w:val="32"/>
          <w:szCs w:val="32"/>
          <w:lang w:val="en-US" w:eastAsia="zh-CN" w:bidi="ar-SA"/>
        </w:rPr>
        <w:t>4</w:t>
      </w:r>
      <w:r>
        <w:rPr>
          <w:rFonts w:hint="eastAsia" w:eastAsia="方正仿宋_GBK" w:cs="Times New Roman" w:asciiTheme="minorHAnsi" w:hAnsiTheme="minorHAnsi"/>
          <w:kern w:val="2"/>
          <w:sz w:val="32"/>
          <w:szCs w:val="32"/>
          <w:lang w:val="en-US" w:eastAsia="zh-CN" w:bidi="ar-SA"/>
        </w:rPr>
        <w:t>）商业服务业等支出553.36万元，占62.78%，较年初预算数增加111.26万元，增长25.17%，主要原因是新增了万州经开区投促局的相关支出在我单位统一核算。</w:t>
      </w:r>
    </w:p>
    <w:p>
      <w:pPr>
        <w:pStyle w:val="3"/>
        <w:keepNext w:val="0"/>
        <w:keepLines w:val="0"/>
        <w:widowControl/>
        <w:suppressLineNumbers w:val="0"/>
        <w:rPr>
          <w:rFonts w:hint="eastAsia" w:eastAsia="方正仿宋_GBK" w:cs="Times New Roman" w:asciiTheme="minorHAnsi" w:hAnsiTheme="minorHAnsi"/>
          <w:kern w:val="2"/>
          <w:sz w:val="32"/>
          <w:szCs w:val="32"/>
          <w:lang w:val="en-US" w:eastAsia="zh-CN" w:bidi="ar-SA"/>
        </w:rPr>
      </w:pPr>
      <w:r>
        <w:rPr>
          <w:rFonts w:hint="eastAsia" w:eastAsia="方正仿宋_GBK" w:cs="Times New Roman" w:asciiTheme="minorHAnsi" w:hAnsiTheme="minorHAnsi"/>
          <w:kern w:val="2"/>
          <w:sz w:val="32"/>
          <w:szCs w:val="32"/>
          <w:lang w:val="en-US" w:eastAsia="zh-CN" w:bidi="ar-SA"/>
        </w:rPr>
        <w:t>  （</w:t>
      </w:r>
      <w:r>
        <w:rPr>
          <w:rFonts w:hint="eastAsia" w:eastAsia="方正仿宋_GBK" w:cs="Times New Roman"/>
          <w:kern w:val="2"/>
          <w:sz w:val="32"/>
          <w:szCs w:val="32"/>
          <w:lang w:val="en-US" w:eastAsia="zh-CN" w:bidi="ar-SA"/>
        </w:rPr>
        <w:t>5</w:t>
      </w:r>
      <w:r>
        <w:rPr>
          <w:rFonts w:hint="eastAsia" w:eastAsia="方正仿宋_GBK" w:cs="Times New Roman" w:asciiTheme="minorHAnsi" w:hAnsiTheme="minorHAnsi"/>
          <w:kern w:val="2"/>
          <w:sz w:val="32"/>
          <w:szCs w:val="32"/>
          <w:lang w:val="en-US" w:eastAsia="zh-CN" w:bidi="ar-SA"/>
        </w:rPr>
        <w:t>）住房保障支出29.52万元，占3.35%，较年初预算数增加0.00万元，增长0.00%，主要原因是本年度收支平衡。</w:t>
      </w:r>
    </w:p>
    <w:p>
      <w:pPr>
        <w:pStyle w:val="3"/>
        <w:keepNext w:val="0"/>
        <w:keepLines w:val="0"/>
        <w:widowControl/>
        <w:suppressLineNumbers w:val="0"/>
      </w:pPr>
      <w:r>
        <w:rPr>
          <w:rStyle w:val="6"/>
          <w:sz w:val="30"/>
          <w:szCs w:val="30"/>
        </w:rPr>
        <w:t>  （四）一般公共预算财政拨款基本支出决算情况说明</w:t>
      </w:r>
    </w:p>
    <w:p>
      <w:pPr>
        <w:pStyle w:val="3"/>
        <w:keepNext w:val="0"/>
        <w:keepLines w:val="0"/>
        <w:widowControl/>
        <w:suppressLineNumbers w:val="0"/>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2019年度一般公共财政拨款基本支出731.42万元。其中：人员经费561.95万元，较上年决算数增加89.35万元，增长18.91%，主要原因是新增了万州经开区投促局的相关支出在我单位统一核算。人员经费用途主要包括人员经费用途主要包括基本工资、津贴补贴、奖金、社会保障缴费、住房公积金缴费等。公用经费169.46万元，较上年决算数增加13.03万元，增长8.33%，主要原因是新增了万州经开区投促局的相关支出在我单位统一核算。公用经费用途主要包括办公费、印刷费、差旅费、咨询费、劳务费等。</w:t>
      </w:r>
    </w:p>
    <w:p>
      <w:pPr>
        <w:pStyle w:val="3"/>
        <w:keepNext w:val="0"/>
        <w:keepLines w:val="0"/>
        <w:widowControl/>
        <w:suppressLineNumbers w:val="0"/>
        <w:rPr>
          <w:rFonts w:hint="eastAsia" w:ascii="方正小标宋_GBK" w:hAnsi="方正小标宋_GBK" w:eastAsia="方正小标宋_GBK" w:cs="方正小标宋_GBK"/>
          <w:sz w:val="30"/>
          <w:szCs w:val="30"/>
        </w:rPr>
      </w:pPr>
      <w:r>
        <w:rPr>
          <w:rStyle w:val="6"/>
          <w:sz w:val="30"/>
          <w:szCs w:val="30"/>
        </w:rPr>
        <w:t xml:space="preserve">  </w:t>
      </w:r>
      <w:r>
        <w:rPr>
          <w:rStyle w:val="6"/>
          <w:rFonts w:hint="eastAsia" w:ascii="方正小标宋_GBK" w:hAnsi="方正小标宋_GBK" w:eastAsia="方正小标宋_GBK" w:cs="方正小标宋_GBK"/>
          <w:sz w:val="30"/>
          <w:szCs w:val="30"/>
        </w:rPr>
        <w:t>（五）政府性基金预算收支决算情况说明</w:t>
      </w:r>
    </w:p>
    <w:p>
      <w:pPr>
        <w:pStyle w:val="3"/>
        <w:keepNext w:val="0"/>
        <w:keepLines w:val="0"/>
        <w:widowControl/>
        <w:suppressLineNumbers w:val="0"/>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  本部门</w:t>
      </w:r>
      <w:r>
        <w:rPr>
          <w:rFonts w:hint="eastAsia" w:ascii="仿宋_GB2312" w:eastAsia="仿宋_GB2312"/>
          <w:sz w:val="32"/>
          <w:szCs w:val="32"/>
          <w:lang w:val="en-US" w:eastAsia="zh-CN"/>
        </w:rPr>
        <w:t>2019年度无政府性基金预算财政拨款收入</w:t>
      </w:r>
      <w:r>
        <w:rPr>
          <w:rFonts w:hint="eastAsia" w:ascii="仿宋_GB2312" w:eastAsia="仿宋_GB2312"/>
          <w:sz w:val="32"/>
          <w:szCs w:val="32"/>
          <w:lang w:eastAsia="zh-CN"/>
        </w:rPr>
        <w:t>。</w:t>
      </w:r>
    </w:p>
    <w:p>
      <w:pPr>
        <w:pStyle w:val="3"/>
        <w:keepNext w:val="0"/>
        <w:keepLines w:val="0"/>
        <w:widowControl/>
        <w:suppressLineNumbers w:val="0"/>
        <w:rPr>
          <w:rStyle w:val="6"/>
          <w:rFonts w:hint="eastAsia" w:ascii="方正黑体_GBK" w:hAnsi="方正黑体_GBK" w:eastAsia="方正黑体_GBK" w:cs="方正黑体_GBK"/>
          <w:sz w:val="32"/>
          <w:szCs w:val="32"/>
        </w:rPr>
      </w:pPr>
      <w:r>
        <w:rPr>
          <w:rStyle w:val="6"/>
          <w:rFonts w:hint="eastAsia" w:ascii="方正黑体_GBK" w:hAnsi="方正黑体_GBK" w:eastAsia="方正黑体_GBK" w:cs="方正黑体_GBK"/>
          <w:sz w:val="32"/>
          <w:szCs w:val="32"/>
        </w:rPr>
        <w:t>  三、“三公”经费情况说明</w:t>
      </w:r>
    </w:p>
    <w:p>
      <w:pPr>
        <w:pStyle w:val="3"/>
        <w:keepNext w:val="0"/>
        <w:keepLines w:val="0"/>
        <w:widowControl/>
        <w:suppressLineNumbers w:val="0"/>
        <w:rPr>
          <w:rStyle w:val="6"/>
          <w:rFonts w:hint="eastAsia" w:ascii="方正黑体_GBK" w:hAnsi="方正黑体_GBK" w:eastAsia="方正黑体_GBK" w:cs="方正黑体_GBK"/>
          <w:sz w:val="30"/>
          <w:szCs w:val="30"/>
        </w:rPr>
      </w:pPr>
      <w:r>
        <w:rPr>
          <w:rStyle w:val="6"/>
          <w:rFonts w:hint="eastAsia" w:ascii="方正黑体_GBK" w:hAnsi="方正黑体_GBK" w:eastAsia="方正黑体_GBK" w:cs="方正黑体_GBK"/>
          <w:sz w:val="30"/>
          <w:szCs w:val="30"/>
        </w:rPr>
        <w:t>  （一）“三公”经费支出总体情况说明</w:t>
      </w:r>
    </w:p>
    <w:p>
      <w:pPr>
        <w:pStyle w:val="3"/>
        <w:keepNext w:val="0"/>
        <w:keepLines w:val="0"/>
        <w:widowControl/>
        <w:suppressLineNumbers w:val="0"/>
        <w:rPr>
          <w:rFonts w:hint="eastAsia" w:ascii="仿宋_GB2312" w:eastAsia="仿宋_GB2312"/>
          <w:sz w:val="32"/>
          <w:szCs w:val="32"/>
          <w:lang w:eastAsia="zh-CN"/>
        </w:rPr>
      </w:pPr>
      <w:r>
        <w:rPr>
          <w:rFonts w:hint="eastAsia" w:ascii="仿宋_GB2312" w:eastAsia="仿宋_GB2312"/>
          <w:sz w:val="32"/>
          <w:szCs w:val="32"/>
          <w:lang w:eastAsia="zh-CN"/>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2019年度“三公”经费预算外支出共计11.45万元。与上年支出数增加0.00万元，增长0.00%，与上年持平，因未将“三公”经费纳入年初预算，因此和年初预算数不可比。主要原因：一是认真贯彻落实中央八项规定精神，从严控制“三公”经费。二是严格落实公车使用规定，严禁公车私用，公车运行维护成本大幅下降。三是强化公务接待支出管理，严格遵守公务接待开支范围和开支标准，严格控制陪餐人数，对应由接待对象承担的费用一律由接待对象自行支付。四是进一步规范因公出国（境）活动，今年未安排人员出国出访。</w:t>
      </w:r>
    </w:p>
    <w:p>
      <w:pPr>
        <w:pStyle w:val="3"/>
        <w:keepNext w:val="0"/>
        <w:keepLines w:val="0"/>
        <w:widowControl/>
        <w:suppressLineNumbers w:val="0"/>
        <w:rPr>
          <w:rStyle w:val="6"/>
          <w:rFonts w:hint="eastAsia" w:ascii="方正黑体_GBK" w:hAnsi="方正黑体_GBK" w:eastAsia="方正黑体_GBK" w:cs="方正黑体_GBK"/>
          <w:sz w:val="30"/>
          <w:szCs w:val="30"/>
        </w:rPr>
      </w:pPr>
      <w:r>
        <w:rPr>
          <w:rStyle w:val="6"/>
          <w:rFonts w:hint="eastAsia" w:ascii="方正黑体_GBK" w:hAnsi="方正黑体_GBK" w:eastAsia="方正黑体_GBK" w:cs="方正黑体_GBK"/>
          <w:sz w:val="30"/>
          <w:szCs w:val="30"/>
        </w:rPr>
        <w:t>  （二）“三公”经费分项支出情况</w:t>
      </w:r>
    </w:p>
    <w:p>
      <w:pPr>
        <w:pStyle w:val="3"/>
        <w:keepNext w:val="0"/>
        <w:keepLines w:val="0"/>
        <w:widowControl/>
        <w:suppressLineNumbers w:val="0"/>
        <w:rPr>
          <w:rFonts w:hint="eastAsia" w:ascii="仿宋_GB2312" w:eastAsia="仿宋_GB2312"/>
          <w:sz w:val="32"/>
          <w:szCs w:val="32"/>
          <w:lang w:eastAsia="zh-CN"/>
        </w:rPr>
      </w:pPr>
      <w:r>
        <w:rPr>
          <w:rFonts w:hint="eastAsia" w:ascii="仿宋_GB2312" w:eastAsia="仿宋_GB2312"/>
          <w:sz w:val="32"/>
          <w:szCs w:val="32"/>
          <w:lang w:eastAsia="zh-CN"/>
        </w:rPr>
        <w:t>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2019年度本部门因公出国（境）费用0.00万元，</w:t>
      </w:r>
      <w:r>
        <w:rPr>
          <w:rFonts w:hint="eastAsia" w:ascii="仿宋_GB2312" w:eastAsia="仿宋_GB2312"/>
          <w:sz w:val="32"/>
          <w:szCs w:val="32"/>
          <w:lang w:val="en-US" w:eastAsia="zh-CN"/>
        </w:rPr>
        <w:t>本年度未发生</w:t>
      </w:r>
      <w:r>
        <w:rPr>
          <w:rFonts w:hint="eastAsia" w:ascii="仿宋_GB2312" w:eastAsia="仿宋_GB2312"/>
          <w:sz w:val="32"/>
          <w:szCs w:val="32"/>
          <w:lang w:eastAsia="zh-CN"/>
        </w:rPr>
        <w:t>因公出国（境）费用。费用支出较年初预算数增加0.00万元，增长0.00%，主要原因是</w:t>
      </w:r>
      <w:r>
        <w:rPr>
          <w:rFonts w:hint="eastAsia" w:ascii="仿宋_GB2312" w:eastAsia="仿宋_GB2312"/>
          <w:sz w:val="32"/>
          <w:szCs w:val="32"/>
          <w:lang w:val="en-US" w:eastAsia="zh-CN"/>
        </w:rPr>
        <w:t>本年度未发生</w:t>
      </w:r>
      <w:r>
        <w:rPr>
          <w:rFonts w:hint="eastAsia" w:ascii="仿宋_GB2312" w:eastAsia="仿宋_GB2312"/>
          <w:sz w:val="32"/>
          <w:szCs w:val="32"/>
          <w:lang w:eastAsia="zh-CN"/>
        </w:rPr>
        <w:t>因公出国（境）费用。较上年支出数增加0.00万元，增长0.00%，主要原因是</w:t>
      </w:r>
      <w:r>
        <w:rPr>
          <w:rFonts w:hint="eastAsia" w:ascii="仿宋_GB2312" w:eastAsia="仿宋_GB2312"/>
          <w:sz w:val="32"/>
          <w:szCs w:val="32"/>
          <w:lang w:val="en-US" w:eastAsia="zh-CN"/>
        </w:rPr>
        <w:t>本年度未发生</w:t>
      </w:r>
      <w:r>
        <w:rPr>
          <w:rFonts w:hint="eastAsia" w:ascii="仿宋_GB2312" w:eastAsia="仿宋_GB2312"/>
          <w:sz w:val="32"/>
          <w:szCs w:val="32"/>
          <w:lang w:eastAsia="zh-CN"/>
        </w:rPr>
        <w:t>因公出国（境）费用。</w:t>
      </w:r>
    </w:p>
    <w:p>
      <w:pPr>
        <w:pStyle w:val="3"/>
        <w:keepNext w:val="0"/>
        <w:keepLines w:val="0"/>
        <w:widowControl/>
        <w:suppressLineNumbers w:val="0"/>
        <w:rPr>
          <w:rFonts w:hint="eastAsia" w:ascii="仿宋_GB2312" w:eastAsia="仿宋_GB2312"/>
          <w:sz w:val="32"/>
          <w:szCs w:val="32"/>
          <w:lang w:eastAsia="zh-CN"/>
        </w:rPr>
      </w:pPr>
      <w:r>
        <w:rPr>
          <w:rFonts w:hint="eastAsia" w:ascii="仿宋_GB2312" w:eastAsia="仿宋_GB2312"/>
          <w:sz w:val="32"/>
          <w:szCs w:val="32"/>
          <w:lang w:eastAsia="zh-CN"/>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公务车购置费0.00万元，</w:t>
      </w:r>
      <w:r>
        <w:rPr>
          <w:rFonts w:hint="eastAsia" w:ascii="仿宋_GB2312" w:eastAsia="仿宋_GB2312"/>
          <w:sz w:val="32"/>
          <w:szCs w:val="32"/>
          <w:lang w:val="en-US" w:eastAsia="zh-CN"/>
        </w:rPr>
        <w:t>本年度未发生</w:t>
      </w:r>
      <w:r>
        <w:rPr>
          <w:rFonts w:hint="eastAsia" w:ascii="仿宋_GB2312" w:eastAsia="仿宋_GB2312"/>
          <w:sz w:val="32"/>
          <w:szCs w:val="32"/>
          <w:lang w:eastAsia="zh-CN"/>
        </w:rPr>
        <w:t>公务车购置费。费用支出较年初预算数增加0.00万元，增长0.00%，主要原因是</w:t>
      </w:r>
      <w:r>
        <w:rPr>
          <w:rFonts w:hint="eastAsia" w:ascii="仿宋_GB2312" w:eastAsia="仿宋_GB2312"/>
          <w:sz w:val="32"/>
          <w:szCs w:val="32"/>
          <w:lang w:val="en-US" w:eastAsia="zh-CN"/>
        </w:rPr>
        <w:t>本年度未发生</w:t>
      </w:r>
      <w:r>
        <w:rPr>
          <w:rFonts w:hint="eastAsia" w:ascii="仿宋_GB2312" w:eastAsia="仿宋_GB2312"/>
          <w:sz w:val="32"/>
          <w:szCs w:val="32"/>
          <w:lang w:eastAsia="zh-CN"/>
        </w:rPr>
        <w:t>公务车购置费。较上年支出数增加0.00万元，增长0.00%，主要原因是</w:t>
      </w:r>
      <w:r>
        <w:rPr>
          <w:rFonts w:hint="eastAsia" w:ascii="仿宋_GB2312" w:eastAsia="仿宋_GB2312"/>
          <w:sz w:val="32"/>
          <w:szCs w:val="32"/>
          <w:lang w:val="en-US" w:eastAsia="zh-CN"/>
        </w:rPr>
        <w:t>本年度未发生</w:t>
      </w:r>
      <w:r>
        <w:rPr>
          <w:rFonts w:hint="eastAsia" w:ascii="仿宋_GB2312" w:eastAsia="仿宋_GB2312"/>
          <w:sz w:val="32"/>
          <w:szCs w:val="32"/>
          <w:lang w:eastAsia="zh-CN"/>
        </w:rPr>
        <w:t>公务车购置费。</w:t>
      </w:r>
    </w:p>
    <w:p>
      <w:pPr>
        <w:pStyle w:val="3"/>
        <w:keepNext w:val="0"/>
        <w:keepLines w:val="0"/>
        <w:widowControl/>
        <w:suppressLineNumbers w:val="0"/>
        <w:rPr>
          <w:rFonts w:hint="eastAsia" w:ascii="仿宋_GB2312" w:eastAsia="仿宋_GB2312"/>
          <w:sz w:val="32"/>
          <w:szCs w:val="32"/>
          <w:lang w:eastAsia="zh-CN"/>
        </w:rPr>
      </w:pPr>
      <w:r>
        <w:rPr>
          <w:rFonts w:hint="eastAsia" w:ascii="仿宋_GB2312" w:eastAsia="仿宋_GB2312"/>
          <w:sz w:val="32"/>
          <w:szCs w:val="32"/>
          <w:lang w:eastAsia="zh-CN"/>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公务车运行维护费4.90万元，主要用于机要文件交换、市内因公出行、招商业务考察等工作所需车辆的燃料费、维修费、过桥过路费、保险费等。费用支出较年初预算数增加4.90万元，增长0.00%，主要原因是公务车运行维护费由预算外收入支出。较上年支出数增加0.00万元，增长0.00%，与上年持平，主要原因是严格落实公车使用规定，公车运行维护实际支出较预算和决算持平。</w:t>
      </w:r>
    </w:p>
    <w:p>
      <w:pPr>
        <w:pStyle w:val="3"/>
        <w:keepNext w:val="0"/>
        <w:keepLines w:val="0"/>
        <w:widowControl/>
        <w:suppressLineNumbers w:val="0"/>
        <w:rPr>
          <w:rFonts w:hint="eastAsia" w:ascii="仿宋_GB2312" w:eastAsia="仿宋_GB2312"/>
          <w:sz w:val="32"/>
          <w:szCs w:val="32"/>
          <w:lang w:eastAsia="zh-CN"/>
        </w:rPr>
      </w:pPr>
      <w:r>
        <w:rPr>
          <w:rFonts w:hint="eastAsia" w:ascii="仿宋_GB2312" w:eastAsia="仿宋_GB2312"/>
          <w:sz w:val="32"/>
          <w:szCs w:val="32"/>
          <w:lang w:eastAsia="zh-CN"/>
        </w:rPr>
        <w:t>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公务接待费6.55万元，主要用于接待来万考察投资的招商引资客商。费用支出较年初预算数增加6.55万元，增长0.00%，与上年持平，主要原因是公务接待费由预算外收入支出。较上年支出数增加0.00万元，增长0.00%，与上年持平，主要原因是从严控制公务接待费，严格实行接待审批制度。</w:t>
      </w:r>
    </w:p>
    <w:p>
      <w:pPr>
        <w:pStyle w:val="3"/>
        <w:keepNext w:val="0"/>
        <w:keepLines w:val="0"/>
        <w:widowControl/>
        <w:suppressLineNumbers w:val="0"/>
      </w:pPr>
      <w:r>
        <w:rPr>
          <w:rStyle w:val="6"/>
          <w:sz w:val="30"/>
          <w:szCs w:val="30"/>
        </w:rPr>
        <w:t>  （三）“三公”经费实物量情况</w:t>
      </w:r>
    </w:p>
    <w:p>
      <w:pPr>
        <w:pStyle w:val="3"/>
        <w:keepNext w:val="0"/>
        <w:keepLines w:val="0"/>
        <w:widowControl/>
        <w:suppressLineNumbers w:val="0"/>
        <w:rPr>
          <w:rFonts w:hint="eastAsia" w:ascii="仿宋_GB2312" w:eastAsia="仿宋_GB2312"/>
          <w:sz w:val="32"/>
          <w:szCs w:val="32"/>
          <w:lang w:eastAsia="zh-CN"/>
        </w:rPr>
      </w:pPr>
      <w:r>
        <w:rPr>
          <w:sz w:val="30"/>
          <w:szCs w:val="30"/>
        </w:rPr>
        <w:t> </w:t>
      </w:r>
      <w:r>
        <w:rPr>
          <w:rFonts w:hint="eastAsia"/>
          <w:sz w:val="30"/>
          <w:szCs w:val="30"/>
          <w:lang w:val="en-US" w:eastAsia="zh-CN"/>
        </w:rPr>
        <w:t xml:space="preserve">  </w:t>
      </w:r>
      <w:r>
        <w:rPr>
          <w:sz w:val="30"/>
          <w:szCs w:val="30"/>
        </w:rPr>
        <w:t xml:space="preserve"> </w:t>
      </w:r>
      <w:r>
        <w:rPr>
          <w:rFonts w:hint="eastAsia" w:ascii="仿宋_GB2312" w:eastAsia="仿宋_GB2312"/>
          <w:sz w:val="32"/>
          <w:szCs w:val="32"/>
          <w:lang w:eastAsia="zh-CN"/>
        </w:rPr>
        <w:t>2019年度本部门因公出国（境）共计0个团组，0人；公务用车购置0辆，公务车保有量为2辆；国内公务接待213批次819人，其中：国内外事接待0批 次，0人；国（境）外公务接待0批次，0人。2019年本部门人均接待费79.98元，车均购置费0.00万元，车均维护费2.45万元。</w:t>
      </w:r>
    </w:p>
    <w:p>
      <w:pPr>
        <w:pStyle w:val="3"/>
        <w:keepNext w:val="0"/>
        <w:keepLines w:val="0"/>
        <w:widowControl/>
        <w:suppressLineNumbers w:val="0"/>
      </w:pPr>
      <w:r>
        <w:rPr>
          <w:rStyle w:val="6"/>
          <w:sz w:val="30"/>
          <w:szCs w:val="30"/>
        </w:rPr>
        <w:t>  四、其他需要说明的事项</w:t>
      </w:r>
    </w:p>
    <w:p>
      <w:pPr>
        <w:pStyle w:val="3"/>
        <w:keepNext w:val="0"/>
        <w:keepLines w:val="0"/>
        <w:widowControl/>
        <w:suppressLineNumbers w:val="0"/>
        <w:rPr>
          <w:rFonts w:hint="eastAsia" w:ascii="仿宋_GB2312" w:eastAsia="仿宋_GB2312"/>
          <w:sz w:val="32"/>
          <w:szCs w:val="32"/>
          <w:lang w:eastAsia="zh-CN"/>
        </w:rPr>
      </w:pPr>
      <w:r>
        <w:rPr>
          <w:rStyle w:val="6"/>
          <w:sz w:val="30"/>
          <w:szCs w:val="30"/>
        </w:rPr>
        <w:t>  （一）机关运行经费情况说明。</w:t>
      </w:r>
      <w:r>
        <w:rPr>
          <w:sz w:val="30"/>
          <w:szCs w:val="30"/>
        </w:rPr>
        <w:t>2</w:t>
      </w:r>
      <w:r>
        <w:rPr>
          <w:rFonts w:hint="eastAsia" w:ascii="仿宋_GB2312" w:eastAsia="仿宋_GB2312"/>
          <w:sz w:val="32"/>
          <w:szCs w:val="32"/>
          <w:lang w:eastAsia="zh-CN"/>
        </w:rPr>
        <w:t>019年度本部门机关运行经费支出169.46万元，机关运行经费主要用于开支用于办公费、差旅费、会议费、公务车运行维护费等。机关运行经费较上年决算数增加13.03万元，增长8.33%，主要原因是增大了外出招商引资活动。</w:t>
      </w:r>
    </w:p>
    <w:p>
      <w:pPr>
        <w:pStyle w:val="3"/>
        <w:keepNext w:val="0"/>
        <w:keepLines w:val="0"/>
        <w:widowControl/>
        <w:suppressLineNumbers w:val="0"/>
        <w:rPr>
          <w:rFonts w:hint="eastAsia" w:ascii="仿宋_GB2312" w:eastAsia="仿宋_GB2312"/>
          <w:sz w:val="32"/>
          <w:szCs w:val="32"/>
          <w:lang w:eastAsia="zh-CN"/>
        </w:rPr>
      </w:pPr>
      <w:r>
        <w:rPr>
          <w:rFonts w:hint="eastAsia" w:ascii="仿宋_GB2312" w:eastAsia="仿宋_GB2312"/>
          <w:sz w:val="32"/>
          <w:szCs w:val="32"/>
          <w:lang w:eastAsia="zh-CN"/>
        </w:rPr>
        <w:t>  此外，本年度一般公共预算财政拨款会议费支出65.93万元，较上年决算数增加65.93万元，增长0.00%，主要原因是今年增加了驻点招商工作经费，在广州、深圳、南京等地召开了多次招商引资推介会议。本年度一般公共预算财政拨款培训费支出0.00万元，较上年决算数减少1.83万元，下降100.00%，主要原因是本年度未开展培训活动。</w:t>
      </w:r>
    </w:p>
    <w:p>
      <w:pPr>
        <w:pStyle w:val="3"/>
        <w:keepNext w:val="0"/>
        <w:keepLines w:val="0"/>
        <w:widowControl/>
        <w:suppressLineNumbers w:val="0"/>
        <w:rPr>
          <w:rFonts w:hint="eastAsia" w:ascii="仿宋_GB2312" w:eastAsia="仿宋_GB2312"/>
          <w:sz w:val="32"/>
          <w:szCs w:val="32"/>
          <w:lang w:eastAsia="zh-CN"/>
        </w:rPr>
      </w:pPr>
      <w:r>
        <w:rPr>
          <w:sz w:val="30"/>
          <w:szCs w:val="30"/>
        </w:rPr>
        <w:t xml:space="preserve">  </w:t>
      </w:r>
      <w:r>
        <w:rPr>
          <w:rStyle w:val="6"/>
          <w:sz w:val="30"/>
          <w:szCs w:val="30"/>
        </w:rPr>
        <w:t>  （二）国有资产占用情况说明。</w:t>
      </w:r>
      <w:r>
        <w:rPr>
          <w:rFonts w:hint="eastAsia" w:ascii="仿宋_GB2312" w:eastAsia="仿宋_GB2312"/>
          <w:sz w:val="32"/>
          <w:szCs w:val="32"/>
          <w:lang w:eastAsia="zh-CN"/>
        </w:rPr>
        <w:t>截至2019年12月31日，本部门共有车辆2辆，其中，副部（省）级及以上领导用车0辆、主要领导干部用车0辆、机要通信用车0辆、应急保障用车2辆、执法执勤用车0辆，特种专业技术用车0辆，离退休干部用车0辆，其他用车0辆，应急保障用车主要是用于机要文件交换等广州。单价50万元（含）以上通用设备0台（套），单价100万元（含）以上专用设备0台（套）。</w:t>
      </w:r>
    </w:p>
    <w:p>
      <w:pPr>
        <w:pStyle w:val="3"/>
        <w:keepNext w:val="0"/>
        <w:keepLines w:val="0"/>
        <w:widowControl/>
        <w:suppressLineNumbers w:val="0"/>
        <w:rPr>
          <w:rFonts w:hint="eastAsia" w:ascii="仿宋_GB2312" w:eastAsia="仿宋_GB2312"/>
          <w:sz w:val="32"/>
          <w:szCs w:val="32"/>
          <w:lang w:eastAsia="zh-CN"/>
        </w:rPr>
      </w:pPr>
      <w:r>
        <w:rPr>
          <w:sz w:val="30"/>
          <w:szCs w:val="30"/>
        </w:rPr>
        <w:t> </w:t>
      </w:r>
      <w:r>
        <w:rPr>
          <w:rStyle w:val="6"/>
          <w:sz w:val="30"/>
          <w:szCs w:val="30"/>
        </w:rPr>
        <w:t>  （三）政府采购支出情况说明。</w:t>
      </w:r>
      <w:r>
        <w:rPr>
          <w:sz w:val="30"/>
          <w:szCs w:val="30"/>
        </w:rPr>
        <w:t>2</w:t>
      </w:r>
      <w:r>
        <w:rPr>
          <w:rFonts w:hint="eastAsia" w:ascii="仿宋_GB2312" w:eastAsia="仿宋_GB2312"/>
          <w:sz w:val="32"/>
          <w:szCs w:val="32"/>
          <w:lang w:eastAsia="zh-CN"/>
        </w:rPr>
        <w:t>019年度本部门政府采购支出总额0.00万元，其中：政府采购货物支出0.00万元、政府采购工程支出0.00万元、政府采购服务支出0.00万元。授予中小企业 合同金额0.00万元，占政府采购支出总额的0.00%，其中：授予小微企业合同金额0.00万元，占政府采购支出总额的0.00%。</w:t>
      </w:r>
      <w:r>
        <w:rPr>
          <w:rFonts w:hint="eastAsia" w:ascii="仿宋_GB2312" w:eastAsia="仿宋_GB2312"/>
          <w:sz w:val="32"/>
          <w:szCs w:val="32"/>
          <w:lang w:val="en-US" w:eastAsia="zh-CN"/>
        </w:rPr>
        <w:t>2019年度我单位未发生政府采购事项，无相关经费支出</w:t>
      </w:r>
      <w:r>
        <w:rPr>
          <w:rFonts w:hint="eastAsia" w:ascii="仿宋_GB2312" w:eastAsia="仿宋_GB2312"/>
          <w:sz w:val="32"/>
          <w:szCs w:val="32"/>
          <w:lang w:eastAsia="zh-CN"/>
        </w:rPr>
        <w:t>。</w:t>
      </w:r>
    </w:p>
    <w:p>
      <w:pPr>
        <w:pStyle w:val="3"/>
        <w:keepNext w:val="0"/>
        <w:keepLines w:val="0"/>
        <w:widowControl/>
        <w:suppressLineNumbers w:val="0"/>
        <w:rPr>
          <w:rFonts w:hint="eastAsia" w:eastAsiaTheme="minorEastAsia"/>
          <w:lang w:val="en-US" w:eastAsia="zh-CN"/>
        </w:rPr>
      </w:pPr>
      <w:r>
        <w:rPr>
          <w:sz w:val="30"/>
          <w:szCs w:val="30"/>
        </w:rPr>
        <w:t> </w:t>
      </w:r>
      <w:r>
        <w:rPr>
          <w:rStyle w:val="6"/>
          <w:sz w:val="30"/>
          <w:szCs w:val="30"/>
        </w:rPr>
        <w:t xml:space="preserve"> 五、预算绩效管理情况说明</w:t>
      </w:r>
    </w:p>
    <w:p>
      <w:pPr>
        <w:pStyle w:val="3"/>
        <w:keepNext w:val="0"/>
        <w:keepLines w:val="0"/>
        <w:widowControl/>
        <w:suppressLineNumbers w:val="0"/>
        <w:rPr>
          <w:rStyle w:val="6"/>
          <w:sz w:val="30"/>
          <w:szCs w:val="30"/>
        </w:rPr>
      </w:pPr>
      <w:r>
        <w:rPr>
          <w:rStyle w:val="6"/>
          <w:sz w:val="30"/>
          <w:szCs w:val="30"/>
        </w:rPr>
        <w:t>  （一）预算绩效管理工作开展情况</w:t>
      </w:r>
    </w:p>
    <w:p>
      <w:pPr>
        <w:pStyle w:val="3"/>
        <w:keepNext w:val="0"/>
        <w:keepLines w:val="0"/>
        <w:widowControl/>
        <w:suppressLineNumbers w:val="0"/>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根据预算绩效管理要求，本单位对</w:t>
      </w:r>
      <w:r>
        <w:rPr>
          <w:rFonts w:hint="eastAsia" w:ascii="仿宋_GB2312" w:eastAsia="仿宋_GB2312"/>
          <w:sz w:val="32"/>
          <w:szCs w:val="32"/>
          <w:lang w:val="en-US" w:eastAsia="zh-CN"/>
        </w:rPr>
        <w:t>1个项目开展了绩效评价，涉及金额150万元。从评价情况来看，自评结果为良好。绩效自评工作的开展，有利于协助单位分析存在问题，及时总结经验，改进项目管理措施，提高项目单位绩效管理水平，为预算决策提供有力依据。</w:t>
      </w:r>
    </w:p>
    <w:p>
      <w:pPr>
        <w:pStyle w:val="3"/>
        <w:keepNext w:val="0"/>
        <w:keepLines w:val="0"/>
        <w:widowControl/>
        <w:suppressLineNumbers w:val="0"/>
      </w:pPr>
      <w:r>
        <w:rPr>
          <w:rStyle w:val="6"/>
          <w:sz w:val="30"/>
          <w:szCs w:val="30"/>
        </w:rPr>
        <w:t>  （二）绩效自评结果</w:t>
      </w:r>
    </w:p>
    <w:p>
      <w:pPr>
        <w:pStyle w:val="3"/>
        <w:keepNext w:val="0"/>
        <w:keepLines w:val="0"/>
        <w:widowControl/>
        <w:suppressLineNumbers w:val="0"/>
        <w:rPr>
          <w:rFonts w:hint="eastAsia" w:ascii="仿宋_GB2312" w:eastAsia="仿宋_GB2312"/>
          <w:sz w:val="32"/>
          <w:szCs w:val="32"/>
          <w:lang w:eastAsia="zh-CN"/>
        </w:rPr>
      </w:pPr>
      <w:r>
        <w:rPr>
          <w:rStyle w:val="6"/>
          <w:sz w:val="30"/>
          <w:szCs w:val="30"/>
        </w:rPr>
        <w:t> </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我单位开展的驻点招商项目</w:t>
      </w:r>
      <w:r>
        <w:rPr>
          <w:rFonts w:hint="eastAsia" w:ascii="仿宋_GB2312" w:eastAsia="仿宋_GB2312"/>
          <w:sz w:val="32"/>
          <w:szCs w:val="32"/>
        </w:rPr>
        <w:t>促进</w:t>
      </w:r>
      <w:r>
        <w:rPr>
          <w:rFonts w:hint="eastAsia" w:ascii="仿宋_GB2312" w:eastAsia="仿宋_GB2312"/>
          <w:sz w:val="32"/>
          <w:szCs w:val="32"/>
          <w:lang w:eastAsia="zh-CN"/>
        </w:rPr>
        <w:t>了</w:t>
      </w:r>
      <w:r>
        <w:rPr>
          <w:rFonts w:hint="eastAsia" w:ascii="仿宋_GB2312" w:eastAsia="仿宋_GB2312"/>
          <w:sz w:val="32"/>
          <w:szCs w:val="32"/>
        </w:rPr>
        <w:t>招商引资工作</w:t>
      </w:r>
      <w:r>
        <w:rPr>
          <w:rFonts w:hint="eastAsia" w:ascii="仿宋_GB2312" w:eastAsia="仿宋_GB2312"/>
          <w:sz w:val="32"/>
          <w:szCs w:val="32"/>
          <w:lang w:eastAsia="zh-CN"/>
        </w:rPr>
        <w:t>的</w:t>
      </w:r>
      <w:r>
        <w:rPr>
          <w:rFonts w:hint="eastAsia" w:ascii="仿宋_GB2312" w:eastAsia="仿宋_GB2312"/>
          <w:sz w:val="32"/>
          <w:szCs w:val="32"/>
        </w:rPr>
        <w:t>顺利开展及</w:t>
      </w:r>
      <w:r>
        <w:rPr>
          <w:rFonts w:hint="eastAsia" w:ascii="仿宋_GB2312" w:eastAsia="仿宋_GB2312"/>
          <w:sz w:val="32"/>
          <w:szCs w:val="32"/>
          <w:lang w:eastAsia="zh-CN"/>
        </w:rPr>
        <w:t>全年招商引资</w:t>
      </w:r>
      <w:r>
        <w:rPr>
          <w:rFonts w:hint="eastAsia" w:ascii="仿宋_GB2312" w:eastAsia="仿宋_GB2312"/>
          <w:sz w:val="32"/>
          <w:szCs w:val="32"/>
        </w:rPr>
        <w:t>目标任务</w:t>
      </w:r>
      <w:r>
        <w:rPr>
          <w:rFonts w:hint="eastAsia" w:ascii="仿宋_GB2312" w:eastAsia="仿宋_GB2312"/>
          <w:sz w:val="32"/>
          <w:szCs w:val="32"/>
          <w:lang w:eastAsia="zh-CN"/>
        </w:rPr>
        <w:t>的</w:t>
      </w:r>
      <w:r>
        <w:rPr>
          <w:rFonts w:hint="eastAsia" w:ascii="仿宋_GB2312" w:eastAsia="仿宋_GB2312"/>
          <w:sz w:val="32"/>
          <w:szCs w:val="32"/>
        </w:rPr>
        <w:t>圆满完成</w:t>
      </w:r>
      <w:r>
        <w:rPr>
          <w:rFonts w:hint="eastAsia" w:ascii="仿宋_GB2312" w:eastAsia="仿宋_GB2312"/>
          <w:sz w:val="32"/>
          <w:szCs w:val="32"/>
          <w:lang w:eastAsia="zh-CN"/>
        </w:rPr>
        <w:t>，达到了年度总体目标。</w:t>
      </w:r>
    </w:p>
    <w:p>
      <w:pPr>
        <w:pStyle w:val="3"/>
        <w:keepNext w:val="0"/>
        <w:keepLines w:val="0"/>
        <w:widowControl/>
        <w:suppressLineNumbers w:val="0"/>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目标绩效自评具体情况见下表：</w:t>
      </w:r>
    </w:p>
    <w:p>
      <w:pPr>
        <w:pStyle w:val="3"/>
        <w:keepNext w:val="0"/>
        <w:keepLines w:val="0"/>
        <w:widowControl/>
        <w:suppressLineNumbers w:val="0"/>
      </w:pPr>
      <w:r>
        <w:rPr>
          <w:rStyle w:val="6"/>
          <w:sz w:val="30"/>
          <w:szCs w:val="30"/>
        </w:rPr>
        <w:t>1.绩效目标自评表</w:t>
      </w:r>
    </w:p>
    <w:tbl>
      <w:tblPr>
        <w:tblStyle w:val="4"/>
        <w:tblpPr w:leftFromText="180" w:rightFromText="180" w:vertAnchor="text" w:horzAnchor="page" w:tblpX="1034" w:tblpY="6092"/>
        <w:tblOverlap w:val="never"/>
        <w:tblW w:w="10641" w:type="dxa"/>
        <w:tblInd w:w="0" w:type="dxa"/>
        <w:shd w:val="clear" w:color="auto" w:fill="auto"/>
        <w:tblLayout w:type="fixed"/>
        <w:tblCellMar>
          <w:top w:w="0" w:type="dxa"/>
          <w:left w:w="0" w:type="dxa"/>
          <w:bottom w:w="0" w:type="dxa"/>
          <w:right w:w="0" w:type="dxa"/>
        </w:tblCellMar>
      </w:tblPr>
      <w:tblGrid>
        <w:gridCol w:w="1125"/>
        <w:gridCol w:w="1396"/>
        <w:gridCol w:w="1859"/>
        <w:gridCol w:w="870"/>
        <w:gridCol w:w="1711"/>
        <w:gridCol w:w="1485"/>
        <w:gridCol w:w="914"/>
        <w:gridCol w:w="1281"/>
      </w:tblGrid>
      <w:tr>
        <w:tblPrEx>
          <w:shd w:val="clear" w:color="auto" w:fill="auto"/>
          <w:tblLayout w:type="fixed"/>
          <w:tblCellMar>
            <w:top w:w="0" w:type="dxa"/>
            <w:left w:w="0" w:type="dxa"/>
            <w:bottom w:w="0" w:type="dxa"/>
            <w:right w:w="0" w:type="dxa"/>
          </w:tblCellMar>
        </w:tblPrEx>
        <w:trPr>
          <w:trHeight w:val="360" w:hRule="atLeast"/>
        </w:trPr>
        <w:tc>
          <w:tcPr>
            <w:tcW w:w="112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396" w:type="dxa"/>
            <w:tcBorders>
              <w:top w:val="nil"/>
              <w:left w:val="nil"/>
              <w:bottom w:val="nil"/>
              <w:right w:val="nil"/>
            </w:tcBorders>
            <w:shd w:val="clear" w:color="auto" w:fill="auto"/>
            <w:tcMar>
              <w:top w:w="15" w:type="dxa"/>
              <w:left w:w="15" w:type="dxa"/>
              <w:right w:w="15" w:type="dxa"/>
            </w:tcMar>
            <w:vAlign w:val="center"/>
          </w:tcPr>
          <w:p>
            <w:pPr>
              <w:rPr>
                <w:rFonts w:hint="eastAsia" w:ascii="黑体" w:hAnsi="宋体" w:eastAsia="黑体" w:cs="黑体"/>
                <w:i w:val="0"/>
                <w:color w:val="000000"/>
                <w:sz w:val="24"/>
                <w:szCs w:val="24"/>
                <w:u w:val="none"/>
              </w:rPr>
            </w:pPr>
          </w:p>
        </w:tc>
        <w:tc>
          <w:tcPr>
            <w:tcW w:w="185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1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8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1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8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559" w:hRule="atLeast"/>
        </w:trPr>
        <w:tc>
          <w:tcPr>
            <w:tcW w:w="10641"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 xml:space="preserve">2019年度部门（单位）一般性项目绩效自评表 </w:t>
            </w:r>
          </w:p>
        </w:tc>
      </w:tr>
      <w:tr>
        <w:tblPrEx>
          <w:tblLayout w:type="fixed"/>
          <w:tblCellMar>
            <w:top w:w="0" w:type="dxa"/>
            <w:left w:w="0" w:type="dxa"/>
            <w:bottom w:w="0" w:type="dxa"/>
            <w:right w:w="0" w:type="dxa"/>
          </w:tblCellMar>
        </w:tblPrEx>
        <w:trPr>
          <w:trHeight w:val="559"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专项（项目）名称</w:t>
            </w:r>
          </w:p>
        </w:tc>
        <w:tc>
          <w:tcPr>
            <w:tcW w:w="41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驻点招商工作经费</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联系人及电话</w:t>
            </w:r>
          </w:p>
        </w:tc>
        <w:tc>
          <w:tcPr>
            <w:tcW w:w="36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eastAsia="zh-CN"/>
              </w:rPr>
              <w:t>胡亮</w:t>
            </w:r>
            <w:r>
              <w:rPr>
                <w:rFonts w:hint="eastAsia" w:ascii="宋体" w:hAnsi="宋体" w:eastAsia="宋体" w:cs="宋体"/>
                <w:b w:val="0"/>
                <w:bCs/>
                <w:i w:val="0"/>
                <w:color w:val="000000"/>
                <w:sz w:val="20"/>
                <w:szCs w:val="20"/>
                <w:u w:val="none"/>
                <w:lang w:val="en-US" w:eastAsia="zh-CN"/>
              </w:rPr>
              <w:t>136909436056</w:t>
            </w:r>
          </w:p>
        </w:tc>
      </w:tr>
      <w:tr>
        <w:tblPrEx>
          <w:tblLayout w:type="fixed"/>
          <w:tblCellMar>
            <w:top w:w="0" w:type="dxa"/>
            <w:left w:w="0" w:type="dxa"/>
            <w:bottom w:w="0" w:type="dxa"/>
            <w:right w:w="0" w:type="dxa"/>
          </w:tblCellMar>
        </w:tblPrEx>
        <w:trPr>
          <w:trHeight w:val="559"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业务主管部门</w:t>
            </w:r>
          </w:p>
        </w:tc>
        <w:tc>
          <w:tcPr>
            <w:tcW w:w="41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实施单位</w:t>
            </w:r>
          </w:p>
        </w:tc>
        <w:tc>
          <w:tcPr>
            <w:tcW w:w="36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重庆市万州区招商投资促进局</w:t>
            </w:r>
          </w:p>
        </w:tc>
      </w:tr>
      <w:tr>
        <w:tblPrEx>
          <w:tblLayout w:type="fixed"/>
          <w:tblCellMar>
            <w:top w:w="0" w:type="dxa"/>
            <w:left w:w="0" w:type="dxa"/>
            <w:bottom w:w="0" w:type="dxa"/>
            <w:right w:w="0" w:type="dxa"/>
          </w:tblCellMar>
        </w:tblPrEx>
        <w:trPr>
          <w:trHeight w:val="559" w:hRule="atLeast"/>
        </w:trPr>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项目资金（万元）</w:t>
            </w:r>
          </w:p>
        </w:tc>
        <w:tc>
          <w:tcPr>
            <w:tcW w:w="41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全年预算数（A）</w:t>
            </w:r>
          </w:p>
        </w:tc>
        <w:tc>
          <w:tcPr>
            <w:tcW w:w="41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全年执行数（B）</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执行率（B/A,%)</w:t>
            </w:r>
          </w:p>
        </w:tc>
      </w:tr>
      <w:tr>
        <w:tblPrEx>
          <w:tblLayout w:type="fixed"/>
          <w:tblCellMar>
            <w:top w:w="0" w:type="dxa"/>
            <w:left w:w="0" w:type="dxa"/>
            <w:bottom w:w="0" w:type="dxa"/>
            <w:right w:w="0" w:type="dxa"/>
          </w:tblCellMar>
        </w:tblPrEx>
        <w:trPr>
          <w:trHeight w:val="559"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总量</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240万元</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总量</w:t>
            </w:r>
          </w:p>
        </w:tc>
        <w:tc>
          <w:tcPr>
            <w:tcW w:w="23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150万元</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b w:val="0"/>
                <w:bCs w:val="0"/>
                <w:i w:val="0"/>
                <w:color w:val="000000"/>
                <w:sz w:val="20"/>
                <w:szCs w:val="20"/>
                <w:u w:val="none"/>
                <w:lang w:val="en-US" w:eastAsia="zh-CN"/>
              </w:rPr>
              <w:t>62.5</w:t>
            </w:r>
            <w:r>
              <w:rPr>
                <w:rFonts w:hint="eastAsia" w:ascii="宋体" w:hAnsi="宋体" w:eastAsia="宋体" w:cs="宋体"/>
                <w:b w:val="0"/>
                <w:bCs w:val="0"/>
                <w:i w:val="0"/>
                <w:color w:val="000000"/>
                <w:kern w:val="0"/>
                <w:sz w:val="20"/>
                <w:szCs w:val="20"/>
                <w:u w:val="none"/>
                <w:lang w:val="en-US" w:eastAsia="zh-CN" w:bidi="ar"/>
              </w:rPr>
              <w:t>%</w:t>
            </w:r>
          </w:p>
        </w:tc>
      </w:tr>
      <w:tr>
        <w:tblPrEx>
          <w:tblLayout w:type="fixed"/>
          <w:tblCellMar>
            <w:top w:w="0" w:type="dxa"/>
            <w:left w:w="0" w:type="dxa"/>
            <w:bottom w:w="0" w:type="dxa"/>
            <w:right w:w="0" w:type="dxa"/>
          </w:tblCellMar>
        </w:tblPrEx>
        <w:trPr>
          <w:trHeight w:val="559"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其中：财政资金</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240万元</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其中：财政资金</w:t>
            </w:r>
          </w:p>
        </w:tc>
        <w:tc>
          <w:tcPr>
            <w:tcW w:w="23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150万元</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00" w:firstLineChars="200"/>
              <w:jc w:val="left"/>
              <w:rPr>
                <w:rFonts w:hint="eastAsia" w:ascii="宋体" w:hAnsi="宋体" w:eastAsia="宋体" w:cs="宋体"/>
                <w:i w:val="0"/>
                <w:color w:val="000000"/>
                <w:sz w:val="20"/>
                <w:szCs w:val="20"/>
                <w:u w:val="none"/>
              </w:rPr>
            </w:pPr>
            <w:r>
              <w:rPr>
                <w:rFonts w:hint="eastAsia" w:ascii="宋体" w:hAnsi="宋体" w:eastAsia="宋体" w:cs="宋体"/>
                <w:b w:val="0"/>
                <w:bCs w:val="0"/>
                <w:i w:val="0"/>
                <w:color w:val="000000"/>
                <w:sz w:val="20"/>
                <w:szCs w:val="20"/>
                <w:u w:val="none"/>
                <w:lang w:val="en-US" w:eastAsia="zh-CN"/>
              </w:rPr>
              <w:t>62.5</w:t>
            </w:r>
            <w:r>
              <w:rPr>
                <w:rFonts w:hint="eastAsia" w:ascii="宋体" w:hAnsi="宋体" w:eastAsia="宋体" w:cs="宋体"/>
                <w:b w:val="0"/>
                <w:bCs w:val="0"/>
                <w:i w:val="0"/>
                <w:color w:val="000000"/>
                <w:kern w:val="0"/>
                <w:sz w:val="20"/>
                <w:szCs w:val="20"/>
                <w:u w:val="none"/>
                <w:lang w:val="en-US" w:eastAsia="zh-CN" w:bidi="ar"/>
              </w:rPr>
              <w:t>%</w:t>
            </w:r>
          </w:p>
        </w:tc>
      </w:tr>
      <w:tr>
        <w:tblPrEx>
          <w:tblLayout w:type="fixed"/>
          <w:tblCellMar>
            <w:top w:w="0" w:type="dxa"/>
            <w:left w:w="0" w:type="dxa"/>
            <w:bottom w:w="0" w:type="dxa"/>
            <w:right w:w="0" w:type="dxa"/>
          </w:tblCellMar>
        </w:tblPrEx>
        <w:trPr>
          <w:trHeight w:val="559" w:hRule="atLeast"/>
        </w:trPr>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w:t>
            </w:r>
          </w:p>
        </w:tc>
        <w:tc>
          <w:tcPr>
            <w:tcW w:w="583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年初设定目标</w:t>
            </w:r>
          </w:p>
        </w:tc>
        <w:tc>
          <w:tcPr>
            <w:tcW w:w="36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r>
      <w:tr>
        <w:tblPrEx>
          <w:tblLayout w:type="fixed"/>
          <w:tblCellMar>
            <w:top w:w="0" w:type="dxa"/>
            <w:left w:w="0" w:type="dxa"/>
            <w:bottom w:w="0" w:type="dxa"/>
            <w:right w:w="0" w:type="dxa"/>
          </w:tblCellMar>
        </w:tblPrEx>
        <w:trPr>
          <w:trHeight w:val="3667"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83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全区实施招商引资项目123个，累计到位资金150.05亿元</w:t>
            </w:r>
          </w:p>
        </w:tc>
        <w:tc>
          <w:tcPr>
            <w:tcW w:w="368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全区实施招商引资项目124个，累计到位资金151.7亿元，完成目标任务的101.1%。</w:t>
            </w:r>
          </w:p>
        </w:tc>
      </w:tr>
      <w:tr>
        <w:tblPrEx>
          <w:tblLayout w:type="fixed"/>
          <w:tblCellMar>
            <w:top w:w="0" w:type="dxa"/>
            <w:left w:w="0" w:type="dxa"/>
            <w:bottom w:w="0" w:type="dxa"/>
            <w:right w:w="0" w:type="dxa"/>
          </w:tblCellMar>
        </w:tblPrEx>
        <w:trPr>
          <w:trHeight w:val="619" w:hRule="atLeast"/>
        </w:trPr>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                                （共性指标、个性指标原则上分别不低于3性评价指标的权重占60分，个性评价指标的权重占40分。）</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年度指标值</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目标分值</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完成比例</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自评分值 </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未完成原因和改进措施</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及相关说明</w:t>
            </w:r>
          </w:p>
        </w:tc>
      </w:tr>
      <w:tr>
        <w:tblPrEx>
          <w:tblLayout w:type="fixed"/>
          <w:tblCellMar>
            <w:top w:w="0" w:type="dxa"/>
            <w:left w:w="0" w:type="dxa"/>
            <w:bottom w:w="0" w:type="dxa"/>
            <w:right w:w="0" w:type="dxa"/>
          </w:tblCellMar>
        </w:tblPrEx>
        <w:trPr>
          <w:trHeight w:val="1124"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项目立项</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需将向发达地区的招商力度加大。</w:t>
            </w:r>
          </w:p>
        </w:tc>
      </w:tr>
      <w:tr>
        <w:tblPrEx>
          <w:tblLayout w:type="fixed"/>
          <w:tblCellMar>
            <w:top w:w="0" w:type="dxa"/>
            <w:left w:w="0" w:type="dxa"/>
            <w:bottom w:w="0" w:type="dxa"/>
            <w:right w:w="0" w:type="dxa"/>
          </w:tblCellMar>
        </w:tblPrEx>
        <w:trPr>
          <w:trHeight w:val="619"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资金分配</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150万元</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到位资金占计划资金的62.5%</w:t>
            </w:r>
          </w:p>
        </w:tc>
      </w:tr>
      <w:tr>
        <w:tblPrEx>
          <w:tblLayout w:type="fixed"/>
          <w:tblCellMar>
            <w:top w:w="0" w:type="dxa"/>
            <w:left w:w="0" w:type="dxa"/>
            <w:bottom w:w="0" w:type="dxa"/>
            <w:right w:w="0" w:type="dxa"/>
          </w:tblCellMar>
        </w:tblPrEx>
        <w:trPr>
          <w:trHeight w:val="619"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组织管理</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缺少个别管理制度。</w:t>
            </w:r>
          </w:p>
        </w:tc>
      </w:tr>
      <w:tr>
        <w:tblPrEx>
          <w:tblLayout w:type="fixed"/>
          <w:tblCellMar>
            <w:top w:w="0" w:type="dxa"/>
            <w:left w:w="0" w:type="dxa"/>
            <w:bottom w:w="0" w:type="dxa"/>
            <w:right w:w="0" w:type="dxa"/>
          </w:tblCellMar>
        </w:tblPrEx>
        <w:trPr>
          <w:trHeight w:val="619"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财务管理</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缺少个别管理制度。</w:t>
            </w:r>
          </w:p>
        </w:tc>
      </w:tr>
      <w:tr>
        <w:tblPrEx>
          <w:tblLayout w:type="fixed"/>
          <w:tblCellMar>
            <w:top w:w="0" w:type="dxa"/>
            <w:left w:w="0" w:type="dxa"/>
            <w:bottom w:w="0" w:type="dxa"/>
            <w:right w:w="0" w:type="dxa"/>
          </w:tblCellMar>
        </w:tblPrEx>
        <w:trPr>
          <w:trHeight w:val="619"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项目管理</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实际完成资金占计划资金的62.5%</w:t>
            </w:r>
          </w:p>
        </w:tc>
      </w:tr>
      <w:tr>
        <w:tblPrEx>
          <w:tblLayout w:type="fixed"/>
          <w:tblCellMar>
            <w:top w:w="0" w:type="dxa"/>
            <w:left w:w="0" w:type="dxa"/>
            <w:bottom w:w="0" w:type="dxa"/>
            <w:right w:w="0" w:type="dxa"/>
          </w:tblCellMar>
        </w:tblPrEx>
        <w:trPr>
          <w:trHeight w:val="619"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12</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19"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19"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环境效益</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19"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未纳入常年性项目预算</w:t>
            </w:r>
          </w:p>
        </w:tc>
      </w:tr>
      <w:tr>
        <w:tblPrEx>
          <w:tblLayout w:type="fixed"/>
          <w:tblCellMar>
            <w:top w:w="0" w:type="dxa"/>
            <w:left w:w="0" w:type="dxa"/>
            <w:bottom w:w="0" w:type="dxa"/>
            <w:right w:w="0" w:type="dxa"/>
          </w:tblCellMar>
        </w:tblPrEx>
        <w:trPr>
          <w:trHeight w:val="619"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社会公众满意度</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发达地区的招商范围覆盖面还有待加强</w:t>
            </w:r>
          </w:p>
        </w:tc>
      </w:tr>
      <w:tr>
        <w:tblPrEx>
          <w:tblLayout w:type="fixed"/>
          <w:tblCellMar>
            <w:top w:w="0" w:type="dxa"/>
            <w:left w:w="0" w:type="dxa"/>
            <w:bottom w:w="0" w:type="dxa"/>
            <w:right w:w="0" w:type="dxa"/>
          </w:tblCellMar>
        </w:tblPrEx>
        <w:trPr>
          <w:trHeight w:val="619"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9"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732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总分</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91</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评价等级</w:t>
            </w:r>
          </w:p>
        </w:tc>
        <w:tc>
          <w:tcPr>
            <w:tcW w:w="9516"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根据分值设置优（100-90分）、良（80-89分）、中（60-79分）、差（60分以下）等级。</w:t>
            </w:r>
          </w:p>
        </w:tc>
      </w:tr>
      <w:tr>
        <w:tblPrEx>
          <w:tblLayout w:type="fixed"/>
          <w:tblCellMar>
            <w:top w:w="0" w:type="dxa"/>
            <w:left w:w="0" w:type="dxa"/>
            <w:bottom w:w="0" w:type="dxa"/>
            <w:right w:w="0" w:type="dxa"/>
          </w:tblCellMar>
        </w:tblPrEx>
        <w:trPr>
          <w:trHeight w:val="679"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c>
          <w:tcPr>
            <w:tcW w:w="9516"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3400" w:firstLineChars="17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bl>
    <w:p>
      <w:pPr>
        <w:pStyle w:val="3"/>
        <w:keepNext w:val="0"/>
        <w:keepLines w:val="0"/>
        <w:widowControl/>
        <w:suppressLineNumbers w:val="0"/>
        <w:rPr>
          <w:sz w:val="30"/>
          <w:szCs w:val="30"/>
        </w:rPr>
      </w:pPr>
      <w:r>
        <w:rPr>
          <w:rStyle w:val="6"/>
          <w:sz w:val="30"/>
          <w:szCs w:val="30"/>
        </w:rPr>
        <w:t xml:space="preserve">  </w:t>
      </w:r>
    </w:p>
    <w:tbl>
      <w:tblPr>
        <w:tblStyle w:val="4"/>
        <w:tblW w:w="9885" w:type="dxa"/>
        <w:tblInd w:w="0" w:type="dxa"/>
        <w:shd w:val="clear" w:color="auto" w:fill="auto"/>
        <w:tblLayout w:type="fixed"/>
        <w:tblCellMar>
          <w:top w:w="0" w:type="dxa"/>
          <w:left w:w="0" w:type="dxa"/>
          <w:bottom w:w="0" w:type="dxa"/>
          <w:right w:w="0" w:type="dxa"/>
        </w:tblCellMar>
      </w:tblPr>
      <w:tblGrid>
        <w:gridCol w:w="1200"/>
        <w:gridCol w:w="1485"/>
        <w:gridCol w:w="1740"/>
        <w:gridCol w:w="5460"/>
      </w:tblGrid>
      <w:tr>
        <w:tblPrEx>
          <w:shd w:val="clear" w:color="auto" w:fill="auto"/>
          <w:tblLayout w:type="fixed"/>
          <w:tblCellMar>
            <w:top w:w="0" w:type="dxa"/>
            <w:left w:w="0" w:type="dxa"/>
            <w:bottom w:w="0" w:type="dxa"/>
            <w:right w:w="0" w:type="dxa"/>
          </w:tblCellMar>
        </w:tblPrEx>
        <w:trPr>
          <w:trHeight w:val="882" w:hRule="atLeast"/>
        </w:trPr>
        <w:tc>
          <w:tcPr>
            <w:tcW w:w="9885"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ind w:right="424" w:rightChars="202"/>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万州区2019年部门预算项目支出绩效目标申报表</w:t>
            </w:r>
          </w:p>
        </w:tc>
      </w:tr>
      <w:tr>
        <w:tblPrEx>
          <w:tblLayout w:type="fixed"/>
          <w:tblCellMar>
            <w:top w:w="0" w:type="dxa"/>
            <w:left w:w="0" w:type="dxa"/>
            <w:bottom w:w="0" w:type="dxa"/>
            <w:right w:w="0" w:type="dxa"/>
          </w:tblCellMar>
        </w:tblPrEx>
        <w:trPr>
          <w:trHeight w:val="300" w:hRule="atLeast"/>
        </w:trPr>
        <w:tc>
          <w:tcPr>
            <w:tcW w:w="1200" w:type="dxa"/>
            <w:tcBorders>
              <w:top w:val="nil"/>
              <w:left w:val="nil"/>
              <w:bottom w:val="nil"/>
              <w:right w:val="nil"/>
            </w:tcBorders>
            <w:shd w:val="clear" w:color="auto" w:fill="auto"/>
            <w:noWrap/>
            <w:tcMar>
              <w:top w:w="15" w:type="dxa"/>
              <w:left w:w="15" w:type="dxa"/>
              <w:right w:w="15" w:type="dxa"/>
            </w:tcMar>
            <w:vAlign w:val="center"/>
          </w:tcPr>
          <w:p>
            <w:pPr>
              <w:ind w:right="424" w:rightChars="202"/>
              <w:jc w:val="center"/>
              <w:rPr>
                <w:rFonts w:hint="eastAsia" w:ascii="方正小标宋_GBK" w:hAnsi="方正小标宋_GBK" w:eastAsia="方正小标宋_GBK" w:cs="方正小标宋_GBK"/>
                <w:i w:val="0"/>
                <w:color w:val="000000"/>
                <w:sz w:val="36"/>
                <w:szCs w:val="36"/>
                <w:u w:val="none"/>
              </w:rPr>
            </w:pPr>
          </w:p>
        </w:tc>
        <w:tc>
          <w:tcPr>
            <w:tcW w:w="1485" w:type="dxa"/>
            <w:tcBorders>
              <w:top w:val="nil"/>
              <w:left w:val="nil"/>
              <w:bottom w:val="nil"/>
              <w:right w:val="nil"/>
            </w:tcBorders>
            <w:shd w:val="clear" w:color="auto" w:fill="auto"/>
            <w:noWrap/>
            <w:tcMar>
              <w:top w:w="15" w:type="dxa"/>
              <w:left w:w="15" w:type="dxa"/>
              <w:right w:w="15" w:type="dxa"/>
            </w:tcMar>
            <w:vAlign w:val="center"/>
          </w:tcPr>
          <w:p>
            <w:pPr>
              <w:ind w:right="424" w:rightChars="202"/>
              <w:jc w:val="center"/>
              <w:rPr>
                <w:rFonts w:hint="eastAsia" w:ascii="方正小标宋_GBK" w:hAnsi="方正小标宋_GBK" w:eastAsia="方正小标宋_GBK" w:cs="方正小标宋_GBK"/>
                <w:i w:val="0"/>
                <w:color w:val="000000"/>
                <w:sz w:val="36"/>
                <w:szCs w:val="36"/>
                <w:u w:val="none"/>
              </w:rPr>
            </w:pPr>
          </w:p>
        </w:tc>
        <w:tc>
          <w:tcPr>
            <w:tcW w:w="1740" w:type="dxa"/>
            <w:tcBorders>
              <w:top w:val="nil"/>
              <w:left w:val="nil"/>
              <w:bottom w:val="nil"/>
              <w:right w:val="nil"/>
            </w:tcBorders>
            <w:shd w:val="clear" w:color="auto" w:fill="auto"/>
            <w:noWrap/>
            <w:tcMar>
              <w:top w:w="15" w:type="dxa"/>
              <w:left w:w="15" w:type="dxa"/>
              <w:right w:w="15" w:type="dxa"/>
            </w:tcMar>
            <w:vAlign w:val="center"/>
          </w:tcPr>
          <w:p>
            <w:pPr>
              <w:ind w:right="424" w:rightChars="202"/>
              <w:jc w:val="center"/>
              <w:rPr>
                <w:rFonts w:hint="eastAsia" w:ascii="方正小标宋_GBK" w:hAnsi="方正小标宋_GBK" w:eastAsia="方正小标宋_GBK" w:cs="方正小标宋_GBK"/>
                <w:i w:val="0"/>
                <w:color w:val="000000"/>
                <w:sz w:val="36"/>
                <w:szCs w:val="36"/>
                <w:u w:val="none"/>
              </w:rPr>
            </w:pPr>
          </w:p>
        </w:tc>
        <w:tc>
          <w:tcPr>
            <w:tcW w:w="5460" w:type="dxa"/>
            <w:tcBorders>
              <w:top w:val="nil"/>
              <w:left w:val="nil"/>
              <w:bottom w:val="single" w:color="003300" w:sz="4" w:space="0"/>
              <w:right w:val="nil"/>
            </w:tcBorders>
            <w:shd w:val="clear" w:color="auto" w:fill="auto"/>
            <w:tcMar>
              <w:top w:w="15" w:type="dxa"/>
              <w:left w:w="15" w:type="dxa"/>
              <w:right w:w="15" w:type="dxa"/>
            </w:tcMar>
            <w:vAlign w:val="center"/>
          </w:tcPr>
          <w:p>
            <w:pPr>
              <w:keepNext w:val="0"/>
              <w:keepLines w:val="0"/>
              <w:widowControl/>
              <w:suppressLineNumbers w:val="0"/>
              <w:ind w:right="424" w:rightChars="202"/>
              <w:jc w:val="right"/>
              <w:textAlignment w:val="center"/>
              <w:rPr>
                <w:rFonts w:hint="eastAsia" w:ascii="宋体" w:hAnsi="宋体" w:eastAsia="宋体" w:cs="宋体"/>
                <w:i w:val="0"/>
                <w:color w:val="000008"/>
                <w:sz w:val="20"/>
                <w:szCs w:val="20"/>
                <w:u w:val="none"/>
              </w:rPr>
            </w:pPr>
            <w:r>
              <w:rPr>
                <w:rFonts w:hint="eastAsia" w:ascii="宋体" w:hAnsi="宋体" w:eastAsia="宋体" w:cs="宋体"/>
                <w:i w:val="0"/>
                <w:color w:val="000008"/>
                <w:kern w:val="0"/>
                <w:sz w:val="20"/>
                <w:szCs w:val="20"/>
                <w:u w:val="none"/>
                <w:lang w:val="en-US" w:eastAsia="zh-CN" w:bidi="ar"/>
              </w:rPr>
              <w:t>单位：万元</w:t>
            </w:r>
          </w:p>
        </w:tc>
      </w:tr>
      <w:tr>
        <w:tblPrEx>
          <w:tblLayout w:type="fixed"/>
          <w:tblCellMar>
            <w:top w:w="0" w:type="dxa"/>
            <w:left w:w="0" w:type="dxa"/>
            <w:bottom w:w="0" w:type="dxa"/>
            <w:right w:w="0" w:type="dxa"/>
          </w:tblCellMar>
        </w:tblPrEx>
        <w:trPr>
          <w:trHeight w:val="96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right="424" w:rightChars="202"/>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right="424" w:rightChars="202"/>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驻点招商工作经费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right="424" w:rightChars="202"/>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项目类型</w:t>
            </w:r>
          </w:p>
        </w:tc>
        <w:tc>
          <w:tcPr>
            <w:tcW w:w="5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right="424" w:rightChars="202"/>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w:t>
            </w:r>
          </w:p>
        </w:tc>
      </w:tr>
      <w:tr>
        <w:tblPrEx>
          <w:tblLayout w:type="fixed"/>
          <w:tblCellMar>
            <w:top w:w="0" w:type="dxa"/>
            <w:left w:w="0" w:type="dxa"/>
            <w:bottom w:w="0" w:type="dxa"/>
            <w:right w:w="0" w:type="dxa"/>
          </w:tblCellMar>
        </w:tblPrEx>
        <w:trPr>
          <w:trHeight w:val="54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right="424" w:rightChars="202"/>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项目单位</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right="424" w:rightChars="202"/>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重庆市万州区招商投资促进局</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right="424" w:rightChars="202"/>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资金总额</w:t>
            </w:r>
          </w:p>
        </w:tc>
        <w:tc>
          <w:tcPr>
            <w:tcW w:w="5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right="424" w:rightChars="202"/>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r>
      <w:tr>
        <w:tblPrEx>
          <w:tblLayout w:type="fixed"/>
          <w:tblCellMar>
            <w:top w:w="0" w:type="dxa"/>
            <w:left w:w="0" w:type="dxa"/>
            <w:bottom w:w="0" w:type="dxa"/>
            <w:right w:w="0" w:type="dxa"/>
          </w:tblCellMar>
        </w:tblPrEx>
        <w:trPr>
          <w:trHeight w:val="54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right="424" w:rightChars="202"/>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所属部门</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right="424" w:rightChars="202"/>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right="424" w:rightChars="202"/>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归口科室</w:t>
            </w:r>
          </w:p>
        </w:tc>
        <w:tc>
          <w:tcPr>
            <w:tcW w:w="5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right="424" w:rightChars="202"/>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4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right="424" w:rightChars="202"/>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项目属性</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right="424" w:rightChars="202"/>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right="424" w:rightChars="202"/>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财政拨款类型</w:t>
            </w:r>
          </w:p>
        </w:tc>
        <w:tc>
          <w:tcPr>
            <w:tcW w:w="5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right="424" w:rightChars="202"/>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4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right="424" w:rightChars="202"/>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项目起始时间(年）</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right="424" w:rightChars="202"/>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2019年1月</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right="424" w:rightChars="202"/>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项目终止时间（年）</w:t>
            </w:r>
          </w:p>
        </w:tc>
        <w:tc>
          <w:tcPr>
            <w:tcW w:w="5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right="424" w:rightChars="202"/>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2019年12月</w:t>
            </w:r>
          </w:p>
        </w:tc>
      </w:tr>
      <w:tr>
        <w:tblPrEx>
          <w:tblLayout w:type="fixed"/>
          <w:tblCellMar>
            <w:top w:w="0" w:type="dxa"/>
            <w:left w:w="0" w:type="dxa"/>
            <w:bottom w:w="0" w:type="dxa"/>
            <w:right w:w="0" w:type="dxa"/>
          </w:tblCellMar>
        </w:tblPrEx>
        <w:trPr>
          <w:trHeight w:val="81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right="424" w:rightChars="202"/>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项目概况</w:t>
            </w:r>
          </w:p>
        </w:tc>
        <w:tc>
          <w:tcPr>
            <w:tcW w:w="86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right="424" w:rightChars="202"/>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庆市万州区招商投资促进局驻点招商工作经费，由重庆市万州区财政局划拨区招商投资局项目资金，明确该项目业主为区招商投资局，用于驻点招商工作。工作经费主要用于深圳（广州）、南京、宁波三地开展驻点招商工作费用。</w:t>
            </w:r>
          </w:p>
        </w:tc>
      </w:tr>
      <w:tr>
        <w:tblPrEx>
          <w:tblLayout w:type="fixed"/>
          <w:tblCellMar>
            <w:top w:w="0" w:type="dxa"/>
            <w:left w:w="0" w:type="dxa"/>
            <w:bottom w:w="0" w:type="dxa"/>
            <w:right w:w="0" w:type="dxa"/>
          </w:tblCellMar>
        </w:tblPrEx>
        <w:trPr>
          <w:trHeight w:val="78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right="424" w:rightChars="202"/>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立项依据</w:t>
            </w:r>
          </w:p>
        </w:tc>
        <w:tc>
          <w:tcPr>
            <w:tcW w:w="868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right="424" w:rightChars="202"/>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eastAsia="zh-CN"/>
              </w:rPr>
              <w:t>根据万州府办[</w:t>
            </w:r>
            <w:r>
              <w:rPr>
                <w:rFonts w:hint="eastAsia" w:ascii="宋体" w:hAnsi="宋体" w:eastAsia="宋体" w:cs="宋体"/>
                <w:i w:val="0"/>
                <w:color w:val="000000"/>
                <w:sz w:val="20"/>
                <w:szCs w:val="20"/>
                <w:u w:val="none"/>
                <w:lang w:val="en-US" w:eastAsia="zh-CN"/>
              </w:rPr>
              <w:t>2019</w:t>
            </w:r>
            <w:r>
              <w:rPr>
                <w:rFonts w:hint="eastAsia" w:ascii="宋体" w:hAnsi="宋体" w:eastAsia="宋体" w:cs="宋体"/>
                <w:i w:val="0"/>
                <w:color w:val="000000"/>
                <w:sz w:val="20"/>
                <w:szCs w:val="20"/>
                <w:u w:val="none"/>
                <w:lang w:eastAsia="zh-CN"/>
              </w:rPr>
              <w:t>]</w:t>
            </w:r>
            <w:r>
              <w:rPr>
                <w:rFonts w:hint="eastAsia" w:ascii="宋体" w:hAnsi="宋体" w:eastAsia="宋体" w:cs="宋体"/>
                <w:i w:val="0"/>
                <w:color w:val="000000"/>
                <w:sz w:val="20"/>
                <w:szCs w:val="20"/>
                <w:u w:val="none"/>
                <w:lang w:val="en-US" w:eastAsia="zh-CN"/>
              </w:rPr>
              <w:t>19号关于下达2019年度招商引资任务的通知文件</w:t>
            </w:r>
          </w:p>
        </w:tc>
      </w:tr>
      <w:tr>
        <w:tblPrEx>
          <w:tblLayout w:type="fixed"/>
          <w:tblCellMar>
            <w:top w:w="0" w:type="dxa"/>
            <w:left w:w="0" w:type="dxa"/>
            <w:bottom w:w="0" w:type="dxa"/>
            <w:right w:w="0" w:type="dxa"/>
          </w:tblCellMar>
        </w:tblPrEx>
        <w:trPr>
          <w:trHeight w:val="78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right="424" w:rightChars="202"/>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项目实施进度计划</w:t>
            </w:r>
          </w:p>
        </w:tc>
        <w:tc>
          <w:tcPr>
            <w:tcW w:w="868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right="424" w:rightChars="202"/>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当年实施</w:t>
            </w:r>
          </w:p>
        </w:tc>
      </w:tr>
      <w:tr>
        <w:tblPrEx>
          <w:tblLayout w:type="fixed"/>
          <w:tblCellMar>
            <w:top w:w="0" w:type="dxa"/>
            <w:left w:w="0" w:type="dxa"/>
            <w:bottom w:w="0" w:type="dxa"/>
            <w:right w:w="0" w:type="dxa"/>
          </w:tblCellMar>
        </w:tblPrEx>
        <w:trPr>
          <w:trHeight w:val="78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right="424" w:rightChars="202"/>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管理措施</w:t>
            </w:r>
          </w:p>
        </w:tc>
        <w:tc>
          <w:tcPr>
            <w:tcW w:w="868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right="424" w:rightChars="202"/>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按照《万州区区级部门整体绩效管理办法（试行）》、《万州区区级政策和项目预算绩效管理办法（试行）》、《万州区区级预算绩效信息公开办法（试行）》 的规定执行，费用开支按本单位的相关内控制度执行。</w:t>
            </w:r>
          </w:p>
        </w:tc>
      </w:tr>
    </w:tbl>
    <w:p>
      <w:pPr>
        <w:keepNext w:val="0"/>
        <w:keepLines w:val="0"/>
        <w:widowControl/>
        <w:suppressLineNumbers w:val="0"/>
        <w:ind w:right="424" w:rightChars="202"/>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br w:type="page"/>
      </w:r>
    </w:p>
    <w:tbl>
      <w:tblPr>
        <w:tblStyle w:val="4"/>
        <w:tblW w:w="9885" w:type="dxa"/>
        <w:tblInd w:w="0" w:type="dxa"/>
        <w:shd w:val="clear" w:color="auto" w:fill="auto"/>
        <w:tblLayout w:type="fixed"/>
        <w:tblCellMar>
          <w:top w:w="0" w:type="dxa"/>
          <w:left w:w="0" w:type="dxa"/>
          <w:bottom w:w="0" w:type="dxa"/>
          <w:right w:w="0" w:type="dxa"/>
        </w:tblCellMar>
      </w:tblPr>
      <w:tblGrid>
        <w:gridCol w:w="1200"/>
        <w:gridCol w:w="1485"/>
        <w:gridCol w:w="1740"/>
        <w:gridCol w:w="5460"/>
      </w:tblGrid>
      <w:tr>
        <w:tblPrEx>
          <w:shd w:val="clear" w:color="auto" w:fill="auto"/>
          <w:tblLayout w:type="fixed"/>
          <w:tblCellMar>
            <w:top w:w="0" w:type="dxa"/>
            <w:left w:w="0" w:type="dxa"/>
            <w:bottom w:w="0" w:type="dxa"/>
            <w:right w:w="0" w:type="dxa"/>
          </w:tblCellMar>
        </w:tblPrEx>
        <w:trPr>
          <w:trHeight w:val="78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right="424" w:rightChars="202"/>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项目当年绩效目标</w:t>
            </w:r>
          </w:p>
        </w:tc>
        <w:tc>
          <w:tcPr>
            <w:tcW w:w="868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right="424" w:rightChars="202"/>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提供招商信息促使成功签约项目15个，完成签约资金50亿元。</w:t>
            </w:r>
          </w:p>
        </w:tc>
      </w:tr>
      <w:tr>
        <w:tblPrEx>
          <w:tblLayout w:type="fixed"/>
          <w:tblCellMar>
            <w:top w:w="0" w:type="dxa"/>
            <w:left w:w="0" w:type="dxa"/>
            <w:bottom w:w="0" w:type="dxa"/>
            <w:right w:w="0" w:type="dxa"/>
          </w:tblCellMar>
        </w:tblPrEx>
        <w:trPr>
          <w:trHeight w:val="582" w:hRule="atLeast"/>
        </w:trPr>
        <w:tc>
          <w:tcPr>
            <w:tcW w:w="988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right="424" w:rightChars="202"/>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绩效目标</w:t>
            </w:r>
          </w:p>
        </w:tc>
      </w:tr>
      <w:tr>
        <w:tblPrEx>
          <w:tblLayout w:type="fixed"/>
          <w:tblCellMar>
            <w:top w:w="0" w:type="dxa"/>
            <w:left w:w="0" w:type="dxa"/>
            <w:bottom w:w="0" w:type="dxa"/>
            <w:right w:w="0" w:type="dxa"/>
          </w:tblCellMar>
        </w:tblPrEx>
        <w:trPr>
          <w:trHeight w:val="582"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right="424" w:rightChars="202"/>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right="424" w:rightChars="202"/>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right="424" w:rightChars="202"/>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三级级指标</w:t>
            </w:r>
          </w:p>
        </w:tc>
        <w:tc>
          <w:tcPr>
            <w:tcW w:w="5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right="424" w:rightChars="202"/>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r>
      <w:tr>
        <w:tblPrEx>
          <w:tblLayout w:type="fixed"/>
          <w:tblCellMar>
            <w:top w:w="0" w:type="dxa"/>
            <w:left w:w="0" w:type="dxa"/>
            <w:bottom w:w="0" w:type="dxa"/>
            <w:right w:w="0" w:type="dxa"/>
          </w:tblCellMar>
        </w:tblPrEx>
        <w:trPr>
          <w:trHeight w:val="439"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right="424" w:rightChars="202"/>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项目产出（项目完成）</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right="424" w:rightChars="202"/>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right="424" w:rightChars="202"/>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4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right="424" w:rightChars="202"/>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Layout w:type="fixed"/>
          <w:tblCellMar>
            <w:top w:w="0" w:type="dxa"/>
            <w:left w:w="0" w:type="dxa"/>
            <w:bottom w:w="0" w:type="dxa"/>
            <w:right w:w="0" w:type="dxa"/>
          </w:tblCellMar>
        </w:tblPrEx>
        <w:trPr>
          <w:trHeight w:val="439"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right="424" w:rightChars="202"/>
              <w:jc w:val="center"/>
              <w:rPr>
                <w:rFonts w:hint="eastAsia" w:ascii="宋体" w:hAnsi="宋体" w:eastAsia="宋体" w:cs="宋体"/>
                <w:i w:val="0"/>
                <w:color w:val="000000"/>
                <w:sz w:val="20"/>
                <w:szCs w:val="20"/>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right="424" w:rightChars="202"/>
              <w:jc w:val="center"/>
              <w:rPr>
                <w:rFonts w:hint="eastAsia" w:ascii="宋体" w:hAnsi="宋体" w:eastAsia="宋体" w:cs="宋体"/>
                <w:i w:val="0"/>
                <w:color w:val="000000"/>
                <w:sz w:val="20"/>
                <w:szCs w:val="20"/>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right="424" w:rightChars="202"/>
              <w:jc w:val="center"/>
              <w:rPr>
                <w:rFonts w:hint="eastAsia" w:ascii="宋体" w:hAnsi="宋体" w:eastAsia="宋体" w:cs="宋体"/>
                <w:i w:val="0"/>
                <w:color w:val="000000"/>
                <w:sz w:val="20"/>
                <w:szCs w:val="20"/>
                <w:u w:val="none"/>
              </w:rPr>
            </w:pPr>
          </w:p>
        </w:tc>
        <w:tc>
          <w:tcPr>
            <w:tcW w:w="5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right="424" w:rightChars="202"/>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39"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right="424" w:rightChars="202"/>
              <w:jc w:val="center"/>
              <w:rPr>
                <w:rFonts w:hint="eastAsia" w:ascii="宋体" w:hAnsi="宋体" w:eastAsia="宋体" w:cs="宋体"/>
                <w:i w:val="0"/>
                <w:color w:val="000000"/>
                <w:sz w:val="20"/>
                <w:szCs w:val="20"/>
                <w:u w:val="none"/>
              </w:rPr>
            </w:pP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right="424" w:rightChars="202"/>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right="424" w:rightChars="202"/>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4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right="424" w:rightChars="202"/>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Layout w:type="fixed"/>
          <w:tblCellMar>
            <w:top w:w="0" w:type="dxa"/>
            <w:left w:w="0" w:type="dxa"/>
            <w:bottom w:w="0" w:type="dxa"/>
            <w:right w:w="0" w:type="dxa"/>
          </w:tblCellMar>
        </w:tblPrEx>
        <w:trPr>
          <w:trHeight w:val="439"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right="424" w:rightChars="202"/>
              <w:jc w:val="center"/>
              <w:rPr>
                <w:rFonts w:hint="eastAsia" w:ascii="宋体" w:hAnsi="宋体" w:eastAsia="宋体" w:cs="宋体"/>
                <w:i w:val="0"/>
                <w:color w:val="000000"/>
                <w:sz w:val="20"/>
                <w:szCs w:val="20"/>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right="424" w:rightChars="202"/>
              <w:jc w:val="center"/>
              <w:rPr>
                <w:rFonts w:hint="eastAsia" w:ascii="宋体" w:hAnsi="宋体" w:eastAsia="宋体" w:cs="宋体"/>
                <w:i w:val="0"/>
                <w:color w:val="000000"/>
                <w:sz w:val="20"/>
                <w:szCs w:val="20"/>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right="424" w:rightChars="202"/>
              <w:jc w:val="center"/>
              <w:rPr>
                <w:rFonts w:hint="eastAsia" w:ascii="宋体" w:hAnsi="宋体" w:eastAsia="宋体" w:cs="宋体"/>
                <w:i w:val="0"/>
                <w:color w:val="000000"/>
                <w:sz w:val="20"/>
                <w:szCs w:val="20"/>
                <w:u w:val="none"/>
              </w:rPr>
            </w:pPr>
          </w:p>
        </w:tc>
        <w:tc>
          <w:tcPr>
            <w:tcW w:w="5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right="424" w:rightChars="202"/>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39"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right="424" w:rightChars="202"/>
              <w:jc w:val="center"/>
              <w:rPr>
                <w:rFonts w:hint="eastAsia" w:ascii="宋体" w:hAnsi="宋体" w:eastAsia="宋体" w:cs="宋体"/>
                <w:i w:val="0"/>
                <w:color w:val="000000"/>
                <w:sz w:val="20"/>
                <w:szCs w:val="20"/>
                <w:u w:val="none"/>
              </w:rPr>
            </w:pP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right="424" w:rightChars="202"/>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right="424" w:rightChars="202"/>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4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right="424" w:rightChars="202"/>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Layout w:type="fixed"/>
          <w:tblCellMar>
            <w:top w:w="0" w:type="dxa"/>
            <w:left w:w="0" w:type="dxa"/>
            <w:bottom w:w="0" w:type="dxa"/>
            <w:right w:w="0" w:type="dxa"/>
          </w:tblCellMar>
        </w:tblPrEx>
        <w:trPr>
          <w:trHeight w:val="439"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right="424" w:rightChars="202"/>
              <w:jc w:val="center"/>
              <w:rPr>
                <w:rFonts w:hint="eastAsia" w:ascii="宋体" w:hAnsi="宋体" w:eastAsia="宋体" w:cs="宋体"/>
                <w:i w:val="0"/>
                <w:color w:val="000000"/>
                <w:sz w:val="20"/>
                <w:szCs w:val="20"/>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right="424" w:rightChars="202"/>
              <w:jc w:val="center"/>
              <w:rPr>
                <w:rFonts w:hint="eastAsia" w:ascii="宋体" w:hAnsi="宋体" w:eastAsia="宋体" w:cs="宋体"/>
                <w:i w:val="0"/>
                <w:color w:val="000000"/>
                <w:sz w:val="20"/>
                <w:szCs w:val="20"/>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right="424" w:rightChars="202"/>
              <w:jc w:val="center"/>
              <w:rPr>
                <w:rFonts w:hint="eastAsia" w:ascii="宋体" w:hAnsi="宋体" w:eastAsia="宋体" w:cs="宋体"/>
                <w:i w:val="0"/>
                <w:color w:val="000000"/>
                <w:sz w:val="20"/>
                <w:szCs w:val="20"/>
                <w:u w:val="none"/>
              </w:rPr>
            </w:pPr>
          </w:p>
        </w:tc>
        <w:tc>
          <w:tcPr>
            <w:tcW w:w="5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right="424" w:rightChars="202"/>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39"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right="424" w:rightChars="202"/>
              <w:jc w:val="center"/>
              <w:rPr>
                <w:rFonts w:hint="eastAsia" w:ascii="宋体" w:hAnsi="宋体" w:eastAsia="宋体" w:cs="宋体"/>
                <w:i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right="424" w:rightChars="202"/>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right="424" w:rightChars="202"/>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right="424" w:rightChars="202"/>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Layout w:type="fixed"/>
          <w:tblCellMar>
            <w:top w:w="0" w:type="dxa"/>
            <w:left w:w="0" w:type="dxa"/>
            <w:bottom w:w="0" w:type="dxa"/>
            <w:right w:w="0" w:type="dxa"/>
          </w:tblCellMar>
        </w:tblPrEx>
        <w:trPr>
          <w:trHeight w:val="48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right="424" w:rightChars="202"/>
              <w:jc w:val="center"/>
              <w:rPr>
                <w:rFonts w:hint="eastAsia" w:ascii="宋体" w:hAnsi="宋体" w:eastAsia="宋体" w:cs="宋体"/>
                <w:i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right="424" w:rightChars="202"/>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（其他根据行业设定的指标）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right="424" w:rightChars="202"/>
              <w:rPr>
                <w:rFonts w:hint="eastAsia" w:ascii="宋体" w:hAnsi="宋体" w:eastAsia="宋体" w:cs="宋体"/>
                <w:i w:val="0"/>
                <w:color w:val="000000"/>
                <w:sz w:val="20"/>
                <w:szCs w:val="20"/>
                <w:u w:val="none"/>
              </w:rPr>
            </w:pPr>
          </w:p>
        </w:tc>
        <w:tc>
          <w:tcPr>
            <w:tcW w:w="5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right="424" w:rightChars="202"/>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39"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right="424" w:rightChars="202"/>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项目效益</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right="424" w:rightChars="202"/>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right="424" w:rightChars="202"/>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5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right="424" w:rightChars="202"/>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Layout w:type="fixed"/>
          <w:tblCellMar>
            <w:top w:w="0" w:type="dxa"/>
            <w:left w:w="0" w:type="dxa"/>
            <w:bottom w:w="0" w:type="dxa"/>
            <w:right w:w="0" w:type="dxa"/>
          </w:tblCellMar>
        </w:tblPrEx>
        <w:trPr>
          <w:trHeight w:val="439"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right="424" w:rightChars="202"/>
              <w:jc w:val="center"/>
              <w:rPr>
                <w:rFonts w:hint="eastAsia" w:ascii="宋体" w:hAnsi="宋体" w:eastAsia="宋体" w:cs="宋体"/>
                <w:i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right="424" w:rightChars="202"/>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right="424" w:rightChars="202"/>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5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right="424" w:rightChars="202"/>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Layout w:type="fixed"/>
          <w:tblCellMar>
            <w:top w:w="0" w:type="dxa"/>
            <w:left w:w="0" w:type="dxa"/>
            <w:bottom w:w="0" w:type="dxa"/>
            <w:right w:w="0" w:type="dxa"/>
          </w:tblCellMar>
        </w:tblPrEx>
        <w:trPr>
          <w:trHeight w:val="439"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right="424" w:rightChars="202"/>
              <w:jc w:val="center"/>
              <w:rPr>
                <w:rFonts w:hint="eastAsia" w:ascii="宋体" w:hAnsi="宋体" w:eastAsia="宋体" w:cs="宋体"/>
                <w:i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right="424" w:rightChars="202"/>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right="424" w:rightChars="202"/>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right="424" w:rightChars="202"/>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Layout w:type="fixed"/>
          <w:tblCellMar>
            <w:top w:w="0" w:type="dxa"/>
            <w:left w:w="0" w:type="dxa"/>
            <w:bottom w:w="0" w:type="dxa"/>
            <w:right w:w="0" w:type="dxa"/>
          </w:tblCellMar>
        </w:tblPrEx>
        <w:trPr>
          <w:trHeight w:val="439"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right="424" w:rightChars="202"/>
              <w:jc w:val="center"/>
              <w:rPr>
                <w:rFonts w:hint="eastAsia" w:ascii="宋体" w:hAnsi="宋体" w:eastAsia="宋体" w:cs="宋体"/>
                <w:i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right="424" w:rightChars="202"/>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right="424" w:rightChars="202"/>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right="424" w:rightChars="202"/>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Layout w:type="fixed"/>
          <w:tblCellMar>
            <w:top w:w="0" w:type="dxa"/>
            <w:left w:w="0" w:type="dxa"/>
            <w:bottom w:w="0" w:type="dxa"/>
            <w:right w:w="0" w:type="dxa"/>
          </w:tblCellMar>
        </w:tblPrEx>
        <w:trPr>
          <w:trHeight w:val="60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right="424" w:rightChars="202"/>
              <w:jc w:val="center"/>
              <w:rPr>
                <w:rFonts w:hint="eastAsia" w:ascii="宋体" w:hAnsi="宋体" w:eastAsia="宋体" w:cs="宋体"/>
                <w:i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right="424" w:rightChars="202"/>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（其他根据行业设定的效益）</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right="424" w:rightChars="202"/>
              <w:jc w:val="center"/>
              <w:rPr>
                <w:rFonts w:hint="eastAsia" w:ascii="宋体" w:hAnsi="宋体" w:eastAsia="宋体" w:cs="宋体"/>
                <w:i w:val="0"/>
                <w:color w:val="000000"/>
                <w:sz w:val="22"/>
                <w:szCs w:val="22"/>
                <w:u w:val="none"/>
              </w:rPr>
            </w:pPr>
          </w:p>
        </w:tc>
        <w:tc>
          <w:tcPr>
            <w:tcW w:w="5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right="424" w:rightChars="202"/>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right="424" w:rightChars="202"/>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right="424" w:rightChars="202"/>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社会公众或服务对象满意度指标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right="424" w:rightChars="202"/>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5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right="424" w:rightChars="202"/>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bl>
    <w:p>
      <w:pPr>
        <w:pStyle w:val="3"/>
        <w:keepNext w:val="0"/>
        <w:keepLines w:val="0"/>
        <w:widowControl/>
        <w:suppressLineNumbers w:val="0"/>
      </w:pPr>
    </w:p>
    <w:p>
      <w:pPr>
        <w:pStyle w:val="3"/>
        <w:keepNext w:val="0"/>
        <w:keepLines w:val="0"/>
        <w:widowControl/>
        <w:suppressLineNumbers w:val="0"/>
      </w:pPr>
      <w:r>
        <w:rPr>
          <w:rStyle w:val="6"/>
          <w:sz w:val="30"/>
          <w:szCs w:val="30"/>
        </w:rPr>
        <w:t xml:space="preserve">  </w:t>
      </w:r>
    </w:p>
    <w:p>
      <w:pPr>
        <w:pStyle w:val="3"/>
        <w:keepNext w:val="0"/>
        <w:keepLines w:val="0"/>
        <w:widowControl/>
        <w:suppressLineNumbers w:val="0"/>
      </w:pPr>
      <w:r>
        <w:rPr>
          <w:rStyle w:val="6"/>
          <w:sz w:val="30"/>
          <w:szCs w:val="30"/>
        </w:rPr>
        <w:t>  六、专业名词解释</w:t>
      </w:r>
    </w:p>
    <w:p>
      <w:pPr>
        <w:pStyle w:val="3"/>
        <w:keepNext w:val="0"/>
        <w:keepLines w:val="0"/>
        <w:widowControl/>
        <w:suppressLineNumbers w:val="0"/>
        <w:rPr>
          <w:rFonts w:hint="eastAsia" w:ascii="仿宋_GB2312" w:eastAsia="仿宋_GB2312"/>
          <w:sz w:val="32"/>
          <w:szCs w:val="32"/>
        </w:rPr>
      </w:pPr>
      <w:r>
        <w:rPr>
          <w:rStyle w:val="6"/>
          <w:sz w:val="30"/>
          <w:szCs w:val="30"/>
        </w:rPr>
        <w:t>  （一）财政拨款收入</w:t>
      </w:r>
      <w:r>
        <w:rPr>
          <w:sz w:val="30"/>
          <w:szCs w:val="30"/>
        </w:rPr>
        <w:t>：</w:t>
      </w:r>
      <w:r>
        <w:rPr>
          <w:rFonts w:hint="eastAsia" w:ascii="仿宋_GB2312" w:eastAsia="仿宋_GB2312"/>
          <w:sz w:val="32"/>
          <w:szCs w:val="32"/>
        </w:rPr>
        <w:t>指本年度从本级财政部门取得的财政拨款，包括一般公共预算财政拨款和政府性基金预算财政拨款。</w:t>
      </w:r>
    </w:p>
    <w:p>
      <w:pPr>
        <w:pStyle w:val="3"/>
        <w:keepNext w:val="0"/>
        <w:keepLines w:val="0"/>
        <w:widowControl/>
        <w:suppressLineNumbers w:val="0"/>
        <w:rPr>
          <w:rFonts w:hint="eastAsia" w:ascii="仿宋_GB2312" w:eastAsia="仿宋_GB2312"/>
          <w:sz w:val="32"/>
          <w:szCs w:val="32"/>
        </w:rPr>
      </w:pPr>
      <w:r>
        <w:rPr>
          <w:rStyle w:val="6"/>
          <w:sz w:val="30"/>
          <w:szCs w:val="30"/>
        </w:rPr>
        <w:t>  （二）事业收入</w:t>
      </w:r>
      <w:r>
        <w:rPr>
          <w:sz w:val="30"/>
          <w:szCs w:val="30"/>
        </w:rPr>
        <w:t>：</w:t>
      </w:r>
      <w:r>
        <w:rPr>
          <w:rFonts w:hint="eastAsia" w:ascii="仿宋_GB2312" w:eastAsia="仿宋_GB2312"/>
          <w:sz w:val="32"/>
          <w:szCs w:val="32"/>
        </w:rPr>
        <w:t>指事业单位开展专业业务活动及其辅助活动取得的现金流入；事业单位收到的财政专户实际核拨的教育收费等资金在此反映。</w:t>
      </w:r>
    </w:p>
    <w:p>
      <w:pPr>
        <w:pStyle w:val="3"/>
        <w:keepNext w:val="0"/>
        <w:keepLines w:val="0"/>
        <w:widowControl/>
        <w:suppressLineNumbers w:val="0"/>
        <w:rPr>
          <w:rFonts w:hint="eastAsia" w:ascii="仿宋_GB2312" w:eastAsia="仿宋_GB2312"/>
          <w:sz w:val="32"/>
          <w:szCs w:val="32"/>
        </w:rPr>
      </w:pPr>
      <w:r>
        <w:rPr>
          <w:rStyle w:val="6"/>
          <w:sz w:val="30"/>
          <w:szCs w:val="30"/>
        </w:rPr>
        <w:t>  （三）经营收入</w:t>
      </w:r>
      <w:r>
        <w:rPr>
          <w:sz w:val="30"/>
          <w:szCs w:val="30"/>
        </w:rPr>
        <w:t>：</w:t>
      </w:r>
      <w:r>
        <w:rPr>
          <w:rFonts w:hint="eastAsia" w:ascii="仿宋_GB2312" w:eastAsia="仿宋_GB2312"/>
          <w:sz w:val="32"/>
          <w:szCs w:val="32"/>
        </w:rPr>
        <w:t>指事业单位在专业业务活动及其辅助活动之外开展非独立核算经营活动取得的现金流入。</w:t>
      </w:r>
    </w:p>
    <w:p>
      <w:pPr>
        <w:pStyle w:val="3"/>
        <w:keepNext w:val="0"/>
        <w:keepLines w:val="0"/>
        <w:widowControl/>
        <w:suppressLineNumbers w:val="0"/>
        <w:rPr>
          <w:rFonts w:hint="eastAsia" w:ascii="仿宋_GB2312" w:eastAsia="仿宋_GB2312"/>
          <w:sz w:val="32"/>
          <w:szCs w:val="32"/>
        </w:rPr>
      </w:pPr>
      <w:r>
        <w:rPr>
          <w:rStyle w:val="6"/>
          <w:sz w:val="30"/>
          <w:szCs w:val="30"/>
        </w:rPr>
        <w:t>  （四）其他收入</w:t>
      </w:r>
      <w:r>
        <w:rPr>
          <w:sz w:val="30"/>
          <w:szCs w:val="30"/>
        </w:rPr>
        <w:t>：</w:t>
      </w:r>
      <w:r>
        <w:rPr>
          <w:rFonts w:hint="eastAsia" w:ascii="仿宋_GB2312" w:eastAsia="仿宋_GB2312"/>
          <w:sz w:val="32"/>
          <w:szCs w:val="32"/>
        </w:rPr>
        <w:t>指单位取得的除“财政拨款 收入”、“事业收入”、“经营收入”等以外的收入，包括未纳入财政预算或财政专户管理的投资收益、银行存款利息收入、租金收入、捐赠收入，现金盘盈收入、 存货盘盈收入、收回已核销的应收及预付款项、无法偿付的应付及预收款项等。各单位从本级财政部门以外的同级单位取得的经费、从非本级财政部门取得的经费， 以及行政单位收到的财政专户管理资金反映在本项内。</w:t>
      </w:r>
    </w:p>
    <w:p>
      <w:pPr>
        <w:pStyle w:val="3"/>
        <w:keepNext w:val="0"/>
        <w:keepLines w:val="0"/>
        <w:widowControl/>
        <w:suppressLineNumbers w:val="0"/>
        <w:rPr>
          <w:rFonts w:hint="eastAsia" w:ascii="仿宋_GB2312" w:eastAsia="仿宋_GB2312"/>
          <w:sz w:val="32"/>
          <w:szCs w:val="32"/>
        </w:rPr>
      </w:pPr>
      <w:r>
        <w:rPr>
          <w:rStyle w:val="6"/>
          <w:sz w:val="30"/>
          <w:szCs w:val="30"/>
        </w:rPr>
        <w:t>  （五）用事业基金弥补收支差额</w:t>
      </w:r>
      <w:r>
        <w:rPr>
          <w:sz w:val="30"/>
          <w:szCs w:val="30"/>
        </w:rPr>
        <w:t>：</w:t>
      </w:r>
      <w:r>
        <w:rPr>
          <w:rFonts w:hint="eastAsia" w:ascii="仿宋_GB2312" w:eastAsia="仿宋_GB2312"/>
          <w:sz w:val="32"/>
          <w:szCs w:val="32"/>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3"/>
        <w:keepNext w:val="0"/>
        <w:keepLines w:val="0"/>
        <w:widowControl/>
        <w:suppressLineNumbers w:val="0"/>
        <w:rPr>
          <w:rFonts w:hint="eastAsia" w:ascii="仿宋_GB2312" w:eastAsia="仿宋_GB2312"/>
          <w:sz w:val="32"/>
          <w:szCs w:val="32"/>
        </w:rPr>
      </w:pPr>
      <w:r>
        <w:rPr>
          <w:rStyle w:val="6"/>
          <w:sz w:val="30"/>
          <w:szCs w:val="30"/>
        </w:rPr>
        <w:t>  （六）年初结转和结余</w:t>
      </w:r>
      <w:r>
        <w:rPr>
          <w:sz w:val="30"/>
          <w:szCs w:val="30"/>
        </w:rPr>
        <w:t>：</w:t>
      </w:r>
      <w:r>
        <w:rPr>
          <w:rFonts w:hint="eastAsia" w:ascii="仿宋_GB2312" w:eastAsia="仿宋_GB2312"/>
          <w:sz w:val="32"/>
          <w:szCs w:val="32"/>
        </w:rPr>
        <w:t>指单位上年结转本年使用的基本支出结转、项目支出结转和结余、经营结余。</w:t>
      </w:r>
    </w:p>
    <w:p>
      <w:pPr>
        <w:pStyle w:val="3"/>
        <w:keepNext w:val="0"/>
        <w:keepLines w:val="0"/>
        <w:widowControl/>
        <w:suppressLineNumbers w:val="0"/>
        <w:rPr>
          <w:rFonts w:hint="eastAsia" w:ascii="仿宋_GB2312" w:eastAsia="仿宋_GB2312"/>
          <w:sz w:val="32"/>
          <w:szCs w:val="32"/>
        </w:rPr>
      </w:pPr>
      <w:r>
        <w:rPr>
          <w:rStyle w:val="6"/>
          <w:sz w:val="30"/>
          <w:szCs w:val="30"/>
        </w:rPr>
        <w:t>  （七）结余分配</w:t>
      </w:r>
      <w:r>
        <w:rPr>
          <w:sz w:val="30"/>
          <w:szCs w:val="30"/>
        </w:rPr>
        <w:t>：</w:t>
      </w:r>
      <w:r>
        <w:rPr>
          <w:rFonts w:hint="eastAsia" w:ascii="仿宋_GB2312" w:eastAsia="仿宋_GB2312"/>
          <w:sz w:val="32"/>
          <w:szCs w:val="32"/>
        </w:rPr>
        <w:t>指单位按照国家有关规定，缴纳所得税、提取专用基金、转入事业基金等当年结余的分配情况。</w:t>
      </w:r>
    </w:p>
    <w:p>
      <w:pPr>
        <w:pStyle w:val="3"/>
        <w:keepNext w:val="0"/>
        <w:keepLines w:val="0"/>
        <w:widowControl/>
        <w:suppressLineNumbers w:val="0"/>
        <w:rPr>
          <w:rFonts w:hint="eastAsia" w:ascii="仿宋_GB2312" w:eastAsia="仿宋_GB2312"/>
          <w:sz w:val="32"/>
          <w:szCs w:val="32"/>
        </w:rPr>
      </w:pPr>
      <w:r>
        <w:rPr>
          <w:rStyle w:val="6"/>
          <w:sz w:val="30"/>
          <w:szCs w:val="30"/>
        </w:rPr>
        <w:t>  （八）年末结转和结余</w:t>
      </w:r>
      <w:r>
        <w:rPr>
          <w:sz w:val="30"/>
          <w:szCs w:val="30"/>
        </w:rPr>
        <w:t>：</w:t>
      </w:r>
      <w:r>
        <w:rPr>
          <w:rFonts w:hint="eastAsia" w:ascii="仿宋_GB2312" w:eastAsia="仿宋_GB2312"/>
          <w:sz w:val="32"/>
          <w:szCs w:val="32"/>
        </w:rPr>
        <w:t>指单位结转下年的基本支出结转、项目支出结转和结余、经营结余。</w:t>
      </w:r>
    </w:p>
    <w:p>
      <w:pPr>
        <w:pStyle w:val="3"/>
        <w:keepNext w:val="0"/>
        <w:keepLines w:val="0"/>
        <w:widowControl/>
        <w:suppressLineNumbers w:val="0"/>
        <w:rPr>
          <w:rFonts w:hint="eastAsia" w:ascii="仿宋_GB2312" w:eastAsia="仿宋_GB2312"/>
          <w:sz w:val="32"/>
          <w:szCs w:val="32"/>
        </w:rPr>
      </w:pPr>
      <w:r>
        <w:rPr>
          <w:rStyle w:val="6"/>
          <w:sz w:val="30"/>
          <w:szCs w:val="30"/>
        </w:rPr>
        <w:t>  （九）基本支出</w:t>
      </w:r>
      <w:r>
        <w:rPr>
          <w:sz w:val="30"/>
          <w:szCs w:val="30"/>
        </w:rPr>
        <w:t>：</w:t>
      </w:r>
      <w:r>
        <w:rPr>
          <w:rFonts w:hint="eastAsia" w:ascii="仿宋_GB2312" w:eastAsia="仿宋_GB2312"/>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3"/>
        <w:keepNext w:val="0"/>
        <w:keepLines w:val="0"/>
        <w:widowControl/>
        <w:suppressLineNumbers w:val="0"/>
        <w:rPr>
          <w:rFonts w:hint="eastAsia" w:ascii="仿宋_GB2312" w:eastAsia="仿宋_GB2312"/>
          <w:sz w:val="32"/>
          <w:szCs w:val="32"/>
        </w:rPr>
      </w:pPr>
      <w:r>
        <w:rPr>
          <w:rStyle w:val="6"/>
          <w:sz w:val="30"/>
          <w:szCs w:val="30"/>
        </w:rPr>
        <w:t>  （十）项目支出</w:t>
      </w:r>
      <w:r>
        <w:rPr>
          <w:sz w:val="30"/>
          <w:szCs w:val="30"/>
        </w:rPr>
        <w:t>：</w:t>
      </w:r>
      <w:r>
        <w:rPr>
          <w:rFonts w:hint="eastAsia" w:ascii="仿宋_GB2312" w:eastAsia="仿宋_GB2312"/>
          <w:sz w:val="32"/>
          <w:szCs w:val="32"/>
        </w:rPr>
        <w:t>指在基本支出之外为完成特定行政任务和事业发展目标所发生的支出。</w:t>
      </w:r>
    </w:p>
    <w:p>
      <w:pPr>
        <w:pStyle w:val="3"/>
        <w:keepNext w:val="0"/>
        <w:keepLines w:val="0"/>
        <w:widowControl/>
        <w:suppressLineNumbers w:val="0"/>
        <w:rPr>
          <w:rFonts w:hint="eastAsia" w:ascii="仿宋_GB2312" w:eastAsia="仿宋_GB2312"/>
          <w:sz w:val="32"/>
          <w:szCs w:val="32"/>
        </w:rPr>
      </w:pPr>
      <w:r>
        <w:rPr>
          <w:rStyle w:val="6"/>
          <w:sz w:val="30"/>
          <w:szCs w:val="30"/>
        </w:rPr>
        <w:t>  （十一）经营支出</w:t>
      </w:r>
      <w:r>
        <w:rPr>
          <w:sz w:val="30"/>
          <w:szCs w:val="30"/>
        </w:rPr>
        <w:t>：</w:t>
      </w:r>
      <w:r>
        <w:rPr>
          <w:rFonts w:hint="eastAsia" w:ascii="仿宋_GB2312" w:eastAsia="仿宋_GB2312"/>
          <w:sz w:val="32"/>
          <w:szCs w:val="32"/>
        </w:rPr>
        <w:t>指事业单位在专业业务活动及其辅助活动之外开展非独立核算经营活动发生的支出。</w:t>
      </w:r>
    </w:p>
    <w:p>
      <w:pPr>
        <w:pStyle w:val="3"/>
        <w:keepNext w:val="0"/>
        <w:keepLines w:val="0"/>
        <w:widowControl/>
        <w:suppressLineNumbers w:val="0"/>
        <w:rPr>
          <w:rFonts w:hint="eastAsia" w:ascii="仿宋_GB2312" w:eastAsia="仿宋_GB2312"/>
          <w:sz w:val="32"/>
          <w:szCs w:val="32"/>
        </w:rPr>
      </w:pPr>
      <w:r>
        <w:rPr>
          <w:rStyle w:val="6"/>
          <w:sz w:val="30"/>
          <w:szCs w:val="30"/>
        </w:rPr>
        <w:t>  （十二）“三公”经费</w:t>
      </w:r>
      <w:r>
        <w:rPr>
          <w:sz w:val="30"/>
          <w:szCs w:val="30"/>
        </w:rPr>
        <w:t xml:space="preserve">： </w:t>
      </w:r>
      <w:r>
        <w:rPr>
          <w:rFonts w:hint="eastAsia" w:ascii="仿宋_GB2312" w:eastAsia="仿宋_GB2312"/>
          <w:sz w:val="32"/>
          <w:szCs w:val="32"/>
        </w:rPr>
        <w:t>指用一般公共预算财政拨款安排的因公出国（境）费、公务用车购置及运行维护费、公务接待费。其中，因公出国（境）费反映单位公务出国（境）的国际旅费、国 外城市间交通费、住宿费、伙食费、培训费、公杂费等支出；公务用车购置费反映单位公务用车购置支出（含车辆购置税）；公务用车运行维护费反映单位按规定保 留的公务用车燃料费、维修费、过路过桥费、保险费、安全奖励费用等支出；公务接待费反映单位按规定开支的各类公务接待（含外宾接待）支出。</w:t>
      </w:r>
    </w:p>
    <w:p>
      <w:pPr>
        <w:pStyle w:val="3"/>
        <w:keepNext w:val="0"/>
        <w:keepLines w:val="0"/>
        <w:widowControl/>
        <w:suppressLineNumbers w:val="0"/>
        <w:rPr>
          <w:rFonts w:hint="eastAsia" w:ascii="仿宋_GB2312" w:eastAsia="仿宋_GB2312"/>
          <w:sz w:val="32"/>
          <w:szCs w:val="32"/>
        </w:rPr>
      </w:pPr>
      <w:r>
        <w:rPr>
          <w:rStyle w:val="6"/>
          <w:sz w:val="30"/>
          <w:szCs w:val="30"/>
        </w:rPr>
        <w:t>  （十三）机关运行经费</w:t>
      </w:r>
      <w:r>
        <w:rPr>
          <w:sz w:val="30"/>
          <w:szCs w:val="30"/>
        </w:rPr>
        <w:t>：</w:t>
      </w:r>
      <w:r>
        <w:rPr>
          <w:rFonts w:hint="eastAsia" w:ascii="仿宋_GB2312" w:eastAsia="仿宋_GB2312"/>
          <w:sz w:val="32"/>
          <w:szCs w:val="32"/>
        </w:rPr>
        <w:t>为保障行政单位（含参照公务员法管理的事业单位）运行用于购买货物和服务等的各项公用经费，包括办公及印刷费、邮电费、差旅费、会议费、福利费、日常维护费、专用材料及一般 设备购置费、办公用房水电费、办公用房取暖费、办公用房物业管理费、公务用车运行维护费以及其他费用。</w:t>
      </w:r>
    </w:p>
    <w:p>
      <w:pPr>
        <w:pStyle w:val="3"/>
        <w:keepNext w:val="0"/>
        <w:keepLines w:val="0"/>
        <w:widowControl/>
        <w:suppressLineNumbers w:val="0"/>
        <w:rPr>
          <w:rFonts w:hint="eastAsia" w:ascii="仿宋_GB2312" w:eastAsia="仿宋_GB2312"/>
          <w:sz w:val="32"/>
          <w:szCs w:val="32"/>
        </w:rPr>
      </w:pPr>
      <w:r>
        <w:rPr>
          <w:rStyle w:val="6"/>
          <w:sz w:val="30"/>
          <w:szCs w:val="30"/>
        </w:rPr>
        <w:t>  （十四）工资福利支出（支出经济分类科目类级）</w:t>
      </w:r>
      <w:r>
        <w:rPr>
          <w:sz w:val="30"/>
          <w:szCs w:val="30"/>
        </w:rPr>
        <w:t>：</w:t>
      </w:r>
      <w:r>
        <w:rPr>
          <w:rFonts w:hint="eastAsia" w:ascii="仿宋_GB2312" w:eastAsia="仿宋_GB2312"/>
          <w:sz w:val="32"/>
          <w:szCs w:val="32"/>
        </w:rPr>
        <w:t>反映单位开支的在职职工和编制外长期聘用人员的各类劳动报酬，以及为上述人员缴纳的各项社会保险费等。</w:t>
      </w:r>
    </w:p>
    <w:p>
      <w:pPr>
        <w:pStyle w:val="3"/>
        <w:keepNext w:val="0"/>
        <w:keepLines w:val="0"/>
        <w:widowControl/>
        <w:suppressLineNumbers w:val="0"/>
        <w:rPr>
          <w:rFonts w:hint="eastAsia" w:ascii="仿宋_GB2312" w:eastAsia="仿宋_GB2312"/>
          <w:sz w:val="32"/>
          <w:szCs w:val="32"/>
        </w:rPr>
      </w:pPr>
      <w:r>
        <w:rPr>
          <w:rStyle w:val="6"/>
          <w:sz w:val="30"/>
          <w:szCs w:val="30"/>
        </w:rPr>
        <w:t>  （十五）商品和服务支出（支出经济分类科目类级）</w:t>
      </w:r>
      <w:r>
        <w:rPr>
          <w:sz w:val="30"/>
          <w:szCs w:val="30"/>
        </w:rPr>
        <w:t>：</w:t>
      </w:r>
      <w:r>
        <w:rPr>
          <w:rFonts w:hint="eastAsia" w:ascii="仿宋_GB2312" w:eastAsia="仿宋_GB2312"/>
          <w:sz w:val="32"/>
          <w:szCs w:val="32"/>
        </w:rPr>
        <w:t>反映单位购买商品和服务的支出（不包括用于购置固定资产的支出、战略性和应急储备支出）。</w:t>
      </w:r>
    </w:p>
    <w:p>
      <w:pPr>
        <w:pStyle w:val="3"/>
        <w:keepNext w:val="0"/>
        <w:keepLines w:val="0"/>
        <w:widowControl/>
        <w:suppressLineNumbers w:val="0"/>
        <w:rPr>
          <w:rFonts w:hint="eastAsia" w:ascii="仿宋_GB2312" w:eastAsia="仿宋_GB2312"/>
          <w:sz w:val="32"/>
          <w:szCs w:val="32"/>
        </w:rPr>
      </w:pPr>
      <w:r>
        <w:rPr>
          <w:rStyle w:val="6"/>
          <w:sz w:val="30"/>
          <w:szCs w:val="30"/>
        </w:rPr>
        <w:t>  （十六）对个人和家庭的补助（支出经济分类科目类级）</w:t>
      </w:r>
      <w:r>
        <w:rPr>
          <w:sz w:val="30"/>
          <w:szCs w:val="30"/>
        </w:rPr>
        <w:t>：</w:t>
      </w:r>
      <w:r>
        <w:rPr>
          <w:rFonts w:hint="eastAsia" w:ascii="仿宋_GB2312" w:eastAsia="仿宋_GB2312"/>
          <w:sz w:val="32"/>
          <w:szCs w:val="32"/>
        </w:rPr>
        <w:t>反映用于对个人和家庭的补助支出。</w:t>
      </w:r>
    </w:p>
    <w:p>
      <w:pPr>
        <w:pStyle w:val="3"/>
        <w:keepNext w:val="0"/>
        <w:keepLines w:val="0"/>
        <w:widowControl/>
        <w:suppressLineNumbers w:val="0"/>
        <w:rPr>
          <w:rFonts w:hint="eastAsia" w:ascii="仿宋_GB2312" w:eastAsia="仿宋_GB2312"/>
          <w:sz w:val="32"/>
          <w:szCs w:val="32"/>
        </w:rPr>
      </w:pPr>
      <w:r>
        <w:rPr>
          <w:rStyle w:val="6"/>
          <w:sz w:val="30"/>
          <w:szCs w:val="30"/>
        </w:rPr>
        <w:t>  （十七）其他资本性支出（支出经济分类科目类级）</w:t>
      </w:r>
      <w:r>
        <w:rPr>
          <w:sz w:val="30"/>
          <w:szCs w:val="30"/>
        </w:rPr>
        <w:t>：</w:t>
      </w:r>
      <w:r>
        <w:rPr>
          <w:rFonts w:hint="eastAsia" w:ascii="仿宋_GB2312" w:eastAsia="仿宋_GB2312"/>
          <w:sz w:val="32"/>
          <w:szCs w:val="32"/>
        </w:rPr>
        <w:t>反映非各级发展与改革部门集中安排的用于购置固定资产、战略性和应急性储备、土地和无形资产，以及构建基础设施、大型修缮和财政支持企业更新改造所发生的支出。</w:t>
      </w:r>
    </w:p>
    <w:p>
      <w:pPr>
        <w:pStyle w:val="3"/>
        <w:keepNext w:val="0"/>
        <w:keepLines w:val="0"/>
        <w:widowControl/>
        <w:suppressLineNumbers w:val="0"/>
        <w:rPr>
          <w:rStyle w:val="6"/>
          <w:rFonts w:hint="eastAsia"/>
          <w:sz w:val="30"/>
          <w:szCs w:val="30"/>
          <w:lang w:eastAsia="zh-CN"/>
        </w:rPr>
      </w:pPr>
      <w:r>
        <w:rPr>
          <w:rStyle w:val="6"/>
          <w:rFonts w:hint="eastAsia"/>
          <w:sz w:val="30"/>
          <w:szCs w:val="30"/>
          <w:lang w:eastAsia="zh-CN"/>
        </w:rPr>
        <w:t>七</w:t>
      </w:r>
      <w:r>
        <w:rPr>
          <w:rStyle w:val="6"/>
          <w:sz w:val="30"/>
          <w:szCs w:val="30"/>
        </w:rPr>
        <w:t>、</w:t>
      </w:r>
      <w:r>
        <w:rPr>
          <w:rStyle w:val="6"/>
          <w:rFonts w:hint="eastAsia"/>
          <w:sz w:val="30"/>
          <w:szCs w:val="30"/>
          <w:lang w:eastAsia="zh-CN"/>
        </w:rPr>
        <w:t>决算公开联系方式及信息反馈渠道</w:t>
      </w:r>
    </w:p>
    <w:p>
      <w:pPr>
        <w:pStyle w:val="3"/>
        <w:keepNext w:val="0"/>
        <w:keepLines w:val="0"/>
        <w:widowControl/>
        <w:suppressLineNumbers w:val="0"/>
        <w:rPr>
          <w:rFonts w:hint="default" w:ascii="仿宋_GB2312" w:eastAsia="仿宋_GB2312"/>
          <w:sz w:val="32"/>
          <w:szCs w:val="32"/>
          <w:lang w:val="en-US" w:eastAsia="zh-CN"/>
        </w:rPr>
      </w:pPr>
      <w:r>
        <w:rPr>
          <w:rStyle w:val="6"/>
          <w:rFonts w:hint="eastAsia"/>
          <w:sz w:val="30"/>
          <w:szCs w:val="30"/>
          <w:lang w:val="en-US" w:eastAsia="zh-CN"/>
        </w:rPr>
        <w:t xml:space="preserve">    </w:t>
      </w:r>
      <w:r>
        <w:rPr>
          <w:rFonts w:hint="eastAsia" w:ascii="仿宋_GB2312" w:eastAsia="仿宋_GB2312"/>
          <w:sz w:val="32"/>
          <w:szCs w:val="32"/>
          <w:lang w:val="en-US" w:eastAsia="zh-CN"/>
        </w:rPr>
        <w:t>本单位决算公开信息反馈和联系方式：胡亮023-61018009</w:t>
      </w:r>
    </w:p>
    <w:p>
      <w:pPr>
        <w:pStyle w:val="3"/>
        <w:keepNext w:val="0"/>
        <w:keepLines w:val="0"/>
        <w:widowControl/>
        <w:suppressLineNumbers w:val="0"/>
        <w:rPr>
          <w:rFonts w:hint="eastAsia" w:ascii="仿宋_GB2312" w:eastAsia="仿宋_GB2312"/>
          <w:sz w:val="32"/>
          <w:szCs w:val="32"/>
        </w:rPr>
      </w:pPr>
    </w:p>
    <w:p>
      <w:pPr>
        <w:pStyle w:val="3"/>
        <w:keepNext w:val="0"/>
        <w:keepLines w:val="0"/>
        <w:widowControl/>
        <w:suppressLineNumbers w:val="0"/>
        <w:rPr>
          <w:rFonts w:hint="eastAsia" w:ascii="仿宋_GB2312" w:eastAsia="仿宋_GB2312"/>
          <w:sz w:val="32"/>
          <w:szCs w:val="32"/>
        </w:rPr>
      </w:pPr>
      <w:r>
        <w:rPr>
          <w:rFonts w:hint="eastAsia" w:ascii="仿宋_GB2312" w:eastAsia="仿宋_GB2312"/>
          <w:sz w:val="32"/>
          <w:szCs w:val="32"/>
        </w:rPr>
        <w:t xml:space="preserve">  </w:t>
      </w:r>
    </w:p>
    <w:p>
      <w:pPr>
        <w:pStyle w:val="3"/>
        <w:keepNext w:val="0"/>
        <w:keepLines w:val="0"/>
        <w:widowControl/>
        <w:suppressLineNumbers w:val="0"/>
        <w:rPr>
          <w:rFonts w:hint="eastAsia" w:ascii="仿宋_GB2312" w:eastAsia="仿宋_GB2312"/>
          <w:sz w:val="32"/>
          <w:szCs w:val="32"/>
        </w:rPr>
      </w:pPr>
    </w:p>
    <w:sectPr>
      <w:pgSz w:w="11906" w:h="16838"/>
      <w:pgMar w:top="1440" w:right="1323" w:bottom="1440" w:left="112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E2EB4E"/>
    <w:multiLevelType w:val="singleLevel"/>
    <w:tmpl w:val="BAE2EB4E"/>
    <w:lvl w:ilvl="0" w:tentative="0">
      <w:start w:val="3"/>
      <w:numFmt w:val="chineseCounting"/>
      <w:suff w:val="nothing"/>
      <w:lvlText w:val="（%1）"/>
      <w:lvlJc w:val="left"/>
      <w:pPr>
        <w:ind w:left="435"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3E2EF2"/>
    <w:rsid w:val="061478AC"/>
    <w:rsid w:val="0E9E2E61"/>
    <w:rsid w:val="0EA33FC3"/>
    <w:rsid w:val="10073492"/>
    <w:rsid w:val="1076389D"/>
    <w:rsid w:val="12E627E0"/>
    <w:rsid w:val="15070391"/>
    <w:rsid w:val="1927337E"/>
    <w:rsid w:val="19EC4C3E"/>
    <w:rsid w:val="1AD33D56"/>
    <w:rsid w:val="1C986908"/>
    <w:rsid w:val="22574D2F"/>
    <w:rsid w:val="2476191D"/>
    <w:rsid w:val="28807481"/>
    <w:rsid w:val="2A7839AC"/>
    <w:rsid w:val="2F0D7A39"/>
    <w:rsid w:val="2F8A2386"/>
    <w:rsid w:val="2F8B0459"/>
    <w:rsid w:val="37485304"/>
    <w:rsid w:val="3B020A7E"/>
    <w:rsid w:val="3F3E2EF2"/>
    <w:rsid w:val="40015A88"/>
    <w:rsid w:val="44FA4FD1"/>
    <w:rsid w:val="4707745E"/>
    <w:rsid w:val="48102F69"/>
    <w:rsid w:val="49C75388"/>
    <w:rsid w:val="4FB327D8"/>
    <w:rsid w:val="50060BC2"/>
    <w:rsid w:val="521660BA"/>
    <w:rsid w:val="5A39739B"/>
    <w:rsid w:val="5C3E7C58"/>
    <w:rsid w:val="61125D03"/>
    <w:rsid w:val="63D0154F"/>
    <w:rsid w:val="7A6F4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qFormat/>
    <w:uiPriority w:val="39"/>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333333"/>
      <w:u w:val="none"/>
    </w:rPr>
  </w:style>
  <w:style w:type="character" w:styleId="8">
    <w:name w:val="Hyperlink"/>
    <w:basedOn w:val="5"/>
    <w:qFormat/>
    <w:uiPriority w:val="0"/>
    <w:rPr>
      <w:color w:val="333333"/>
      <w:u w:val="none"/>
    </w:rPr>
  </w:style>
  <w:style w:type="character" w:customStyle="1" w:styleId="9">
    <w:name w:val="15"/>
    <w:basedOn w:val="5"/>
    <w:qFormat/>
    <w:uiPriority w:val="0"/>
    <w:rPr>
      <w:rFonts w:hint="default" w:ascii="Times New Roman" w:hAnsi="Times New Roman" w:cs="Times New Roman"/>
      <w:b/>
    </w:rPr>
  </w:style>
  <w:style w:type="character" w:customStyle="1" w:styleId="10">
    <w:name w:val="yj-time"/>
    <w:basedOn w:val="5"/>
    <w:qFormat/>
    <w:uiPriority w:val="0"/>
    <w:rPr>
      <w:color w:val="AAAAAA"/>
      <w:sz w:val="18"/>
      <w:szCs w:val="18"/>
    </w:rPr>
  </w:style>
  <w:style w:type="character" w:customStyle="1" w:styleId="11">
    <w:name w:val="yj-time1"/>
    <w:basedOn w:val="5"/>
    <w:qFormat/>
    <w:uiPriority w:val="0"/>
    <w:rPr>
      <w:color w:val="AAAAAA"/>
      <w:sz w:val="18"/>
      <w:szCs w:val="18"/>
    </w:rPr>
  </w:style>
  <w:style w:type="character" w:customStyle="1" w:styleId="12">
    <w:name w:val="hover35"/>
    <w:basedOn w:val="5"/>
    <w:qFormat/>
    <w:uiPriority w:val="0"/>
    <w:rPr>
      <w:b/>
    </w:rPr>
  </w:style>
  <w:style w:type="character" w:customStyle="1" w:styleId="13">
    <w:name w:val="hover36"/>
    <w:basedOn w:val="5"/>
    <w:qFormat/>
    <w:uiPriority w:val="0"/>
    <w:rPr>
      <w:shd w:val="clear" w:fill="FF0000"/>
    </w:rPr>
  </w:style>
  <w:style w:type="character" w:customStyle="1" w:styleId="14">
    <w:name w:val="hover37"/>
    <w:basedOn w:val="5"/>
    <w:qFormat/>
    <w:uiPriority w:val="0"/>
    <w:rPr>
      <w:shd w:val="clear" w:fill="FF0000"/>
    </w:rPr>
  </w:style>
  <w:style w:type="character" w:customStyle="1" w:styleId="15">
    <w:name w:val="red"/>
    <w:basedOn w:val="5"/>
    <w:qFormat/>
    <w:uiPriority w:val="0"/>
    <w:rPr>
      <w:color w:val="E1211F"/>
    </w:rPr>
  </w:style>
  <w:style w:type="character" w:customStyle="1" w:styleId="16">
    <w:name w:val="red1"/>
    <w:basedOn w:val="5"/>
    <w:qFormat/>
    <w:uiPriority w:val="0"/>
    <w:rPr>
      <w:color w:val="E1211F"/>
    </w:rPr>
  </w:style>
  <w:style w:type="character" w:customStyle="1" w:styleId="17">
    <w:name w:val="red2"/>
    <w:basedOn w:val="5"/>
    <w:qFormat/>
    <w:uiPriority w:val="0"/>
    <w:rPr>
      <w:color w:val="E33938"/>
      <w:u w:val="single"/>
    </w:rPr>
  </w:style>
  <w:style w:type="character" w:customStyle="1" w:styleId="18">
    <w:name w:val="red3"/>
    <w:basedOn w:val="5"/>
    <w:qFormat/>
    <w:uiPriority w:val="0"/>
    <w:rPr>
      <w:color w:val="E1211F"/>
    </w:rPr>
  </w:style>
  <w:style w:type="character" w:customStyle="1" w:styleId="19">
    <w:name w:val="red4"/>
    <w:basedOn w:val="5"/>
    <w:qFormat/>
    <w:uiPriority w:val="0"/>
    <w:rPr>
      <w:color w:val="E1211F"/>
    </w:rPr>
  </w:style>
  <w:style w:type="character" w:customStyle="1" w:styleId="20">
    <w:name w:val="red5"/>
    <w:basedOn w:val="5"/>
    <w:qFormat/>
    <w:uiPriority w:val="0"/>
    <w:rPr>
      <w:color w:val="E1211F"/>
      <w:u w:val="single"/>
    </w:rPr>
  </w:style>
  <w:style w:type="character" w:customStyle="1" w:styleId="21">
    <w:name w:val="tit"/>
    <w:basedOn w:val="5"/>
    <w:qFormat/>
    <w:uiPriority w:val="0"/>
    <w:rPr>
      <w:b/>
      <w:color w:val="333333"/>
      <w:sz w:val="39"/>
      <w:szCs w:val="39"/>
    </w:rPr>
  </w:style>
  <w:style w:type="character" w:customStyle="1" w:styleId="22">
    <w:name w:val="yjl"/>
    <w:basedOn w:val="5"/>
    <w:qFormat/>
    <w:uiPriority w:val="0"/>
    <w:rPr>
      <w:color w:val="999999"/>
    </w:rPr>
  </w:style>
  <w:style w:type="character" w:customStyle="1" w:styleId="23">
    <w:name w:val="w100"/>
    <w:basedOn w:val="5"/>
    <w:qFormat/>
    <w:uiPriority w:val="0"/>
  </w:style>
  <w:style w:type="character" w:customStyle="1" w:styleId="24">
    <w:name w:val="yjr"/>
    <w:basedOn w:val="5"/>
    <w:qFormat/>
    <w:uiPriority w:val="0"/>
  </w:style>
  <w:style w:type="character" w:customStyle="1" w:styleId="25">
    <w:name w:val="tyhl"/>
    <w:basedOn w:val="5"/>
    <w:qFormat/>
    <w:uiPriority w:val="0"/>
    <w:rPr>
      <w:shd w:val="clear" w:fill="FFFFFF"/>
    </w:rPr>
  </w:style>
  <w:style w:type="character" w:customStyle="1" w:styleId="26">
    <w:name w:val="cur6"/>
    <w:basedOn w:val="5"/>
    <w:qFormat/>
    <w:uiPriority w:val="0"/>
    <w:rPr>
      <w:color w:val="3354A2"/>
    </w:rPr>
  </w:style>
  <w:style w:type="character" w:customStyle="1" w:styleId="27">
    <w:name w:val="cur7"/>
    <w:basedOn w:val="5"/>
    <w:qFormat/>
    <w:uiPriority w:val="0"/>
    <w:rPr>
      <w:shd w:val="clear" w:fill="FF0000"/>
    </w:rPr>
  </w:style>
  <w:style w:type="character" w:customStyle="1" w:styleId="28">
    <w:name w:val="cur8"/>
    <w:basedOn w:val="5"/>
    <w:qFormat/>
    <w:uiPriority w:val="0"/>
    <w:rPr>
      <w:shd w:val="clear" w:fill="84B5FF"/>
    </w:rPr>
  </w:style>
  <w:style w:type="character" w:customStyle="1" w:styleId="29">
    <w:name w:val="name"/>
    <w:basedOn w:val="5"/>
    <w:qFormat/>
    <w:uiPriority w:val="0"/>
    <w:rPr>
      <w:color w:val="2760B7"/>
    </w:rPr>
  </w:style>
  <w:style w:type="character" w:customStyle="1" w:styleId="30">
    <w:name w:val="posi_a"/>
    <w:basedOn w:val="5"/>
    <w:qFormat/>
    <w:uiPriority w:val="0"/>
    <w:rPr>
      <w:color w:val="666666"/>
      <w:sz w:val="21"/>
      <w:szCs w:val="21"/>
    </w:rPr>
  </w:style>
  <w:style w:type="character" w:customStyle="1" w:styleId="31">
    <w:name w:val="con4"/>
    <w:basedOn w:val="5"/>
    <w:qFormat/>
    <w:uiPriority w:val="0"/>
  </w:style>
  <w:style w:type="character" w:customStyle="1" w:styleId="32">
    <w:name w:val="yj-blue"/>
    <w:basedOn w:val="5"/>
    <w:qFormat/>
    <w:uiPriority w:val="0"/>
    <w:rPr>
      <w:b/>
      <w:color w:val="FFFFFF"/>
      <w:sz w:val="21"/>
      <w:szCs w:val="21"/>
      <w:shd w:val="clear" w:fill="1E84CB"/>
    </w:rPr>
  </w:style>
  <w:style w:type="character" w:customStyle="1" w:styleId="33">
    <w:name w:val="ban-dy"/>
    <w:basedOn w:val="5"/>
    <w:qFormat/>
    <w:uiPriority w:val="0"/>
    <w:rPr>
      <w:sz w:val="27"/>
      <w:szCs w:val="2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2020-09-02T07:29:00Z</dcterms:created>
  <dc:creator>Administrator</dc:creator>
  <cp:lastModifiedBy>Administrator</cp:lastModifiedBy>
  <dcterms:modified xsi:type="dcterms:W3CDTF">2023-07-13T01:26:53Z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