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90" w:lineRule="exact"/>
      </w:pPr>
      <w:bookmarkStart w:id="0" w:name="文号"/>
      <w:bookmarkEnd w:id="0"/>
      <w:r>
        <w:rPr>
          <w:rFonts w:eastAsia="方正大标宋简体"/>
          <w:spacing w:val="-6"/>
          <w:sz w:val="64"/>
          <w:szCs w:val="64"/>
        </w:rPr>
        <w:pict>
          <v:shape id="_x0000_s1026" o:spid="_x0000_s1026" o:spt="136" type="#_x0000_t136" style="position:absolute;left:0pt;margin-left:-1.5pt;margin-top:8pt;height:48pt;width:418.5pt;z-index:251660288;mso-width-relative:page;mso-height-relative:page;" fillcolor="#FF0000" filled="t" stroked="t" coordsize="21600,21600">
            <v:path/>
            <v:fill on="t" focussize="0,0"/>
            <v:stroke weight="0pt" color="#FF0000"/>
            <v:imagedata o:title=""/>
            <o:lock v:ext="edit"/>
            <v:textpath on="t" fitshape="t" fitpath="t" trim="t" xscale="f" string="重庆市万州区人民政府外事办公室" style="font-family:方正小标宋_GBK;font-size:44pt;v-text-align:center;v-text-spacing:78650f;"/>
          </v:shape>
        </w:pict>
      </w:r>
    </w:p>
    <w:p>
      <w:pPr>
        <w:pStyle w:val="3"/>
        <w:spacing w:line="590" w:lineRule="exact"/>
      </w:pPr>
    </w:p>
    <w:p>
      <w:pPr>
        <w:spacing w:line="590" w:lineRule="exact"/>
        <w:rPr>
          <w:rFonts w:ascii="方正小标宋_GBK" w:hAnsi="方正小标宋_GBK" w:eastAsia="方正小标宋_GBK" w:cs="方正小标宋_GBK"/>
          <w:sz w:val="44"/>
          <w:szCs w:val="44"/>
        </w:rPr>
      </w:pPr>
      <w:r>
        <w:rPr>
          <w:sz w:val="20"/>
        </w:rPr>
        <w:pict>
          <v:line id="_x0000_s1027" o:spid="_x0000_s1027" o:spt="20" style="position:absolute;left:0pt;margin-left:-21.9pt;margin-top:13.2pt;height:0pt;width:452.7pt;z-index:251659264;mso-width-relative:page;mso-height-relative:page;" stroked="t" coordsize="21600,21600" o:gfxdata="UEsDBAoAAAAAAIdO4kAAAAAAAAAAAAAAAAAEAAAAZHJzL1BLAwQUAAAACACHTuJAKPY5rNkAAAAJ&#10;AQAADwAAAGRycy9kb3ducmV2LnhtbE2PzU7DMBCE70h9B2uRuKDWSYiiKGRTqQgupBxoeQA33iZR&#10;43UUu388PUYc6HFnRzPflMuLGcSJJtdbRogXEQjixuqeW4Sv7ds8B+G8Yq0Gy4RwJQfLanZXqkLb&#10;M3/SaeNbEULYFQqh834spHRNR0a5hR2Jw29vJ6N8OKdW6kmdQ7gZZBJFmTSq59DQqZFeOmoOm6NB&#10;2K7r95yuq/T7o35cv7JODvU+QXy4j6NnEJ4u/t8Mv/gBHarAtLNH1k4MCPP0KaB7hCRLQQRDnsUZ&#10;iN2fIKtS3i6ofgBQSwMEFAAAAAgAh07iQNX5xXjhAQAAnQMAAA4AAABkcnMvZTJvRG9jLnhtbK1T&#10;zW4TMRC+I/EOlu9kN1EKdJVND03TC4JIlAeY+GfXwn+y3WzyErwAEjc4ceTO21Aeg7GTprRcqoo9&#10;zI49s9/M983s7GxrNNmIEJWzLR2PakqEZY4r27X0w9XyxWtKYgLLQTsrWroTkZ7Nnz+bDb4RE9c7&#10;zUUgCGJjM/iW9in5pqoi64WBOHJeWAxKFwwkPIau4gEGRDe6mtT1y2pwgfvgmIgRbxf7IJ0XfCkF&#10;S++kjCIR3VLsLRUbil1nW81n0HQBfK/YoQ14QhcGlMWiR6gFJCDXQf0DZRQLLjqZRsyZykmpmCgc&#10;kM24fsDmfQ9eFC4oTvRHmeL/g2VvN6tAFMfZUWLB4IhuPv/49enr759f0N58/0bGWaTBxwZzz+0q&#10;HE7Rr0JmvJXB5DdyIdsi7O4orNgmwvDy5NX0dHKK+rPbWHX3oQ8xXQpnSHZaqpXNnKGBzZuYsBim&#10;3qbka23J0NLpdHqS8QB3RmpI6BqPLBLO8eNVf5hGdFrxpdI6fxhDtz7XgWwAd2G5rPHJzBD+Xlqu&#10;tYDY7/NKaL8lvQB+YTlJO48qWVxnmjsxglOiBW5/9hAQmgRKPyYTS2uLHWRx93Jmb+34Dmdy7YPq&#10;ehSk6F9ycAdKv4d9zUv297kg3f1V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o9jms2QAAAAkB&#10;AAAPAAAAAAAAAAEAIAAAACIAAABkcnMvZG93bnJldi54bWxQSwECFAAUAAAACACHTuJA1fnFeOEB&#10;AACdAwAADgAAAAAAAAABACAAAAAoAQAAZHJzL2Uyb0RvYy54bWxQSwUGAAAAAAYABgBZAQAAewUA&#10;AAAA&#10;">
            <v:path arrowok="t"/>
            <v:fill focussize="0,0"/>
            <v:stroke weight="3.5pt" color="#FF0000" linestyle="thickThin"/>
            <v:imagedata o:title=""/>
            <o:lock v:ext="edit"/>
          </v:line>
        </w:pict>
      </w:r>
    </w:p>
    <w:p>
      <w:pPr>
        <w:pStyle w:val="7"/>
        <w:keepNext w:val="0"/>
        <w:keepLines w:val="0"/>
        <w:pageBreakBefore w:val="0"/>
        <w:shd w:val="clear" w:color="auto" w:fill="FFFFFF"/>
        <w:kinsoku/>
        <w:wordWrap/>
        <w:overflowPunct/>
        <w:topLinePunct w:val="0"/>
        <w:autoSpaceDN/>
        <w:bidi w:val="0"/>
        <w:spacing w:line="600" w:lineRule="exact"/>
        <w:jc w:val="center"/>
        <w:textAlignment w:val="auto"/>
        <w:rPr>
          <w:rFonts w:hint="default" w:ascii="Times New Roman" w:hAnsi="Times New Roman" w:eastAsia="方正小标宋_GBK"/>
          <w:color w:val="auto"/>
          <w:sz w:val="44"/>
          <w:szCs w:val="44"/>
        </w:rPr>
      </w:pPr>
      <w:r>
        <w:rPr>
          <w:rFonts w:hint="default" w:ascii="Times New Roman" w:hAnsi="Times New Roman" w:eastAsia="方正小标宋_GBK"/>
          <w:color w:val="auto"/>
          <w:sz w:val="44"/>
          <w:szCs w:val="44"/>
        </w:rPr>
        <w:t>重庆市万州区人民政府外事办公室</w:t>
      </w:r>
    </w:p>
    <w:p>
      <w:pPr>
        <w:pStyle w:val="7"/>
        <w:keepNext w:val="0"/>
        <w:keepLines w:val="0"/>
        <w:pageBreakBefore w:val="0"/>
        <w:shd w:val="clear" w:color="auto" w:fill="FFFFFF"/>
        <w:kinsoku/>
        <w:wordWrap/>
        <w:overflowPunct/>
        <w:topLinePunct w:val="0"/>
        <w:autoSpaceDN/>
        <w:bidi w:val="0"/>
        <w:spacing w:line="600" w:lineRule="exact"/>
        <w:jc w:val="center"/>
        <w:textAlignment w:val="auto"/>
        <w:rPr>
          <w:rFonts w:hint="default" w:ascii="Times New Roman" w:hAnsi="Times New Roman" w:eastAsia="方正小标宋_GBK"/>
          <w:color w:val="auto"/>
          <w:sz w:val="44"/>
          <w:szCs w:val="44"/>
        </w:rPr>
      </w:pPr>
      <w:r>
        <w:rPr>
          <w:rFonts w:hint="default" w:ascii="Times New Roman" w:hAnsi="Times New Roman" w:eastAsia="方正小标宋_GBK"/>
          <w:color w:val="auto"/>
          <w:sz w:val="44"/>
          <w:szCs w:val="44"/>
        </w:rPr>
        <w:t>2021年部门整体支出绩效评价报告</w:t>
      </w:r>
    </w:p>
    <w:p>
      <w:pPr>
        <w:pStyle w:val="7"/>
        <w:keepNext w:val="0"/>
        <w:keepLines w:val="0"/>
        <w:pageBreakBefore w:val="0"/>
        <w:shd w:val="clear" w:color="auto" w:fill="FFFFFF"/>
        <w:kinsoku/>
        <w:wordWrap/>
        <w:overflowPunct/>
        <w:topLinePunct w:val="0"/>
        <w:autoSpaceDN/>
        <w:bidi w:val="0"/>
        <w:spacing w:line="600" w:lineRule="exact"/>
        <w:textAlignment w:val="auto"/>
        <w:rPr>
          <w:rFonts w:hint="default" w:ascii="Times New Roman" w:hAnsi="Times New Roman" w:eastAsia="方正楷体_GBK"/>
          <w:color w:val="auto"/>
          <w:sz w:val="36"/>
          <w:szCs w:val="36"/>
        </w:rPr>
      </w:pPr>
      <w:r>
        <w:rPr>
          <w:rFonts w:hint="default" w:ascii="Times New Roman" w:hAnsi="Times New Roman" w:eastAsia="方正楷体_GBK"/>
          <w:color w:val="auto"/>
          <w:sz w:val="36"/>
          <w:szCs w:val="36"/>
        </w:rPr>
        <w:t> </w:t>
      </w:r>
    </w:p>
    <w:p>
      <w:pPr>
        <w:keepNext w:val="0"/>
        <w:keepLines w:val="0"/>
        <w:pageBreakBefore w:val="0"/>
        <w:widowControl/>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shd w:val="clear" w:color="auto" w:fill="FFFFFF"/>
        </w:rPr>
        <w:t>为深入推进预算绩效管理改革，规范部门财政支出，强化部门履职职能，切实提高财政资金使用效益，我办根据《重庆市万州区人民政府办公室关于印发贯彻全面实施预算绩效管理任务分解方案的通知》（万州府办发〔2019〕79号）的要求，</w:t>
      </w:r>
      <w:r>
        <w:rPr>
          <w:rFonts w:ascii="Times New Roman" w:hAnsi="Times New Roman" w:eastAsia="方正仿宋_GBK" w:cs="Times New Roman"/>
          <w:color w:val="auto"/>
          <w:sz w:val="32"/>
          <w:szCs w:val="32"/>
        </w:rPr>
        <w:t>按《万州区财政局关于开展2021年度部门整体绩效评价工作的通知》（万州财预发</w:t>
      </w:r>
      <w:r>
        <w:rPr>
          <w:rFonts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rPr>
        <w:t>2022</w:t>
      </w:r>
      <w:r>
        <w:rPr>
          <w:rFonts w:ascii="Times New Roman" w:hAnsi="Times New Roman" w:eastAsia="方正仿宋_GBK" w:cs="Times New Roman"/>
          <w:color w:val="auto"/>
          <w:sz w:val="32"/>
          <w:szCs w:val="32"/>
          <w:shd w:val="clear" w:color="auto" w:fill="FFFFFF"/>
        </w:rPr>
        <w:t>〕</w:t>
      </w:r>
      <w:r>
        <w:rPr>
          <w:rFonts w:ascii="Times New Roman" w:hAnsi="Times New Roman" w:eastAsia="方正仿宋_GBK" w:cs="Times New Roman"/>
          <w:color w:val="auto"/>
          <w:sz w:val="32"/>
          <w:szCs w:val="32"/>
        </w:rPr>
        <w:t>8号）文件精神，我办对2021年度部门预算整体支出绩效进行了全面综合评价。整体支出分基本支出和项目支出两部分，基本支出的评价重点是厉行节约保运转，降低行政运行成本；项目支出的评价重点是规范管理促发展，做到专款专用，提高资金使用效益。相关业务科室</w:t>
      </w:r>
      <w:r>
        <w:rPr>
          <w:rFonts w:hint="eastAsia" w:ascii="Times New Roman" w:hAnsi="Times New Roman" w:eastAsia="方正仿宋_GBK" w:cs="Times New Roman"/>
          <w:color w:val="auto"/>
          <w:sz w:val="32"/>
          <w:szCs w:val="32"/>
          <w:lang w:eastAsia="zh-CN"/>
        </w:rPr>
        <w:t>对</w:t>
      </w:r>
      <w:r>
        <w:rPr>
          <w:rFonts w:ascii="Times New Roman" w:hAnsi="Times New Roman" w:eastAsia="方正仿宋_GBK" w:cs="Times New Roman"/>
          <w:color w:val="auto"/>
          <w:sz w:val="32"/>
          <w:szCs w:val="32"/>
        </w:rPr>
        <w:t>我办2021年部门整体支出绩效</w:t>
      </w:r>
      <w:r>
        <w:rPr>
          <w:rFonts w:hint="eastAsia" w:ascii="Times New Roman" w:hAnsi="Times New Roman" w:eastAsia="方正仿宋_GBK" w:cs="Times New Roman"/>
          <w:color w:val="auto"/>
          <w:sz w:val="32"/>
          <w:szCs w:val="32"/>
          <w:lang w:eastAsia="zh-CN"/>
        </w:rPr>
        <w:t>进行</w:t>
      </w:r>
      <w:r>
        <w:rPr>
          <w:rFonts w:ascii="Times New Roman" w:hAnsi="Times New Roman" w:eastAsia="方正仿宋_GBK" w:cs="Times New Roman"/>
          <w:color w:val="auto"/>
          <w:sz w:val="32"/>
          <w:szCs w:val="32"/>
        </w:rPr>
        <w:t>全面综合自评</w:t>
      </w:r>
      <w:r>
        <w:rPr>
          <w:rFonts w:hint="eastAsia" w:ascii="Times New Roman" w:hAnsi="Times New Roman" w:eastAsia="方正仿宋_GBK" w:cs="Times New Roman"/>
          <w:color w:val="auto"/>
          <w:sz w:val="32"/>
          <w:szCs w:val="32"/>
          <w:lang w:eastAsia="zh-CN"/>
        </w:rPr>
        <w:t>，</w:t>
      </w:r>
      <w:r>
        <w:rPr>
          <w:rFonts w:ascii="Times New Roman" w:hAnsi="Times New Roman" w:eastAsia="方正仿宋_GBK" w:cs="Times New Roman"/>
          <w:color w:val="auto"/>
          <w:sz w:val="32"/>
          <w:szCs w:val="32"/>
        </w:rPr>
        <w:t>现将自评情况报告如下：</w:t>
      </w:r>
    </w:p>
    <w:p>
      <w:pPr>
        <w:pStyle w:val="7"/>
        <w:keepNext w:val="0"/>
        <w:keepLines w:val="0"/>
        <w:pageBreakBefore w:val="0"/>
        <w:widowControl/>
        <w:numPr>
          <w:ilvl w:val="0"/>
          <w:numId w:val="1"/>
        </w:numPr>
        <w:kinsoku/>
        <w:wordWrap/>
        <w:overflowPunct/>
        <w:topLinePunct w:val="0"/>
        <w:autoSpaceDE w:val="0"/>
        <w:autoSpaceDN/>
        <w:bidi w:val="0"/>
        <w:spacing w:line="600" w:lineRule="exact"/>
        <w:ind w:firstLine="640" w:firstLineChars="200"/>
        <w:jc w:val="both"/>
        <w:textAlignment w:val="auto"/>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单位基本情况</w:t>
      </w:r>
    </w:p>
    <w:p>
      <w:pPr>
        <w:pStyle w:val="7"/>
        <w:keepNext w:val="0"/>
        <w:keepLines w:val="0"/>
        <w:pageBreakBefore w:val="0"/>
        <w:widowControl/>
        <w:kinsoku/>
        <w:wordWrap/>
        <w:overflowPunct/>
        <w:topLinePunct w:val="0"/>
        <w:autoSpaceDE w:val="0"/>
        <w:autoSpaceDN/>
        <w:bidi w:val="0"/>
        <w:spacing w:line="600" w:lineRule="exact"/>
        <w:ind w:firstLine="640" w:firstLineChars="200"/>
        <w:jc w:val="both"/>
        <w:textAlignment w:val="auto"/>
        <w:rPr>
          <w:rFonts w:hint="default" w:ascii="Times New Roman" w:hAnsi="Times New Roman" w:eastAsia="方正楷体_GBK"/>
          <w:color w:val="auto"/>
          <w:sz w:val="32"/>
          <w:szCs w:val="32"/>
        </w:rPr>
      </w:pPr>
      <w:r>
        <w:rPr>
          <w:rFonts w:hint="default" w:ascii="Times New Roman" w:hAnsi="Times New Roman" w:eastAsia="方正楷体_GBK"/>
          <w:color w:val="auto"/>
          <w:sz w:val="32"/>
          <w:szCs w:val="32"/>
        </w:rPr>
        <w:t>（一）职能职责</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 xml:space="preserve">贯彻执行党和国家外事、港澳方针政策、法律法规以及市委、市政府，区委、区政府关于外事、港澳工作的决策部署。 </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2.</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牵头拟订本区对外交往合作总体规划，负责本区与国（境）外地区、国家及区域性国际组织的交往与联系，协助推动科技、文化等方面的交流与合作。</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3.</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负责重要外宾及港澳有关人士来访或进行公务活动的接待工作。统筹安排区领导外事活动。</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4.</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负责审核、报批和办理本区因公出国（境）任务和邀请国（境）外人员来访有关事宜。</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5.</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协调处置重大涉外案（事）件，协调海外领事保护工作。牵头协调管理本区社会组织涉外活动，配合管理境外非政府组织在万活动。协助报批在万举办的国际会议和重要国际活动。</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6.</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协助办理外国驻华领事机构及人员来万公务活动的管理和服务，指导本区单位与外国领馆的交往事宜。</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7.</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推动本区与港澳地区的科技、文化、人才引进的合作与交流。</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8.</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推动友好城市工作。</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9.</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负责机关党建工作。</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10.</w:t>
      </w:r>
      <w:r>
        <w:rPr>
          <w:rFonts w:hint="eastAsia" w:ascii="Times New Roman" w:hAnsi="Times New Roman" w:eastAsia="方正仿宋_GBK" w:cs="Times New Roman"/>
          <w:color w:val="auto"/>
          <w:sz w:val="32"/>
          <w:szCs w:val="32"/>
          <w:lang w:val="en-US" w:eastAsia="zh-CN"/>
        </w:rPr>
        <w:t xml:space="preserve"> </w:t>
      </w:r>
      <w:r>
        <w:rPr>
          <w:rFonts w:ascii="Times New Roman" w:hAnsi="Times New Roman" w:eastAsia="方正仿宋_GBK" w:cs="Times New Roman"/>
          <w:color w:val="auto"/>
          <w:sz w:val="32"/>
          <w:szCs w:val="32"/>
        </w:rPr>
        <w:t>完成区委、区政府交办的其他任务。</w:t>
      </w:r>
    </w:p>
    <w:p>
      <w:pPr>
        <w:keepNext w:val="0"/>
        <w:keepLines w:val="0"/>
        <w:pageBreakBefore w:val="0"/>
        <w:kinsoku/>
        <w:wordWrap/>
        <w:overflowPunct/>
        <w:topLinePunct w:val="0"/>
        <w:autoSpaceDN/>
        <w:bidi w:val="0"/>
        <w:spacing w:line="600" w:lineRule="exact"/>
        <w:ind w:firstLine="640" w:firstLineChars="200"/>
        <w:jc w:val="both"/>
        <w:textAlignment w:val="auto"/>
        <w:rPr>
          <w:rFonts w:ascii="方正楷体_GBK" w:hAnsi="方正楷体_GBK" w:eastAsia="方正楷体_GBK" w:cs="方正楷体_GBK"/>
          <w:color w:val="auto"/>
          <w:sz w:val="32"/>
          <w:szCs w:val="32"/>
        </w:rPr>
      </w:pPr>
      <w:r>
        <w:rPr>
          <w:rStyle w:val="10"/>
          <w:rFonts w:hint="eastAsia" w:ascii="方正楷体_GBK" w:hAnsi="方正楷体_GBK" w:eastAsia="方正楷体_GBK" w:cs="方正楷体_GBK"/>
          <w:b w:val="0"/>
          <w:color w:val="auto"/>
          <w:sz w:val="32"/>
          <w:szCs w:val="32"/>
        </w:rPr>
        <w:t>（二）机构设置</w:t>
      </w:r>
    </w:p>
    <w:p>
      <w:pPr>
        <w:pStyle w:val="7"/>
        <w:keepNext w:val="0"/>
        <w:keepLines w:val="0"/>
        <w:pageBreakBefore w:val="0"/>
        <w:widowControl/>
        <w:kinsoku/>
        <w:wordWrap/>
        <w:overflowPunct/>
        <w:topLinePunct w:val="0"/>
        <w:autoSpaceDE w:val="0"/>
        <w:autoSpaceDN/>
        <w:bidi w:val="0"/>
        <w:spacing w:line="600" w:lineRule="exact"/>
        <w:ind w:firstLine="640" w:firstLineChars="200"/>
        <w:jc w:val="both"/>
        <w:textAlignment w:val="auto"/>
        <w:rPr>
          <w:rFonts w:hint="default" w:ascii="Times New Roman" w:hAnsi="Times New Roman" w:eastAsia="方正仿宋_GBK"/>
          <w:color w:val="auto"/>
          <w:sz w:val="31"/>
          <w:szCs w:val="31"/>
          <w:shd w:val="clear" w:color="auto" w:fill="FFFFFF"/>
        </w:rPr>
      </w:pPr>
      <w:r>
        <w:rPr>
          <w:rFonts w:hint="default" w:ascii="Times New Roman" w:hAnsi="Times New Roman" w:eastAsia="方正仿宋_GBK"/>
          <w:color w:val="auto"/>
          <w:sz w:val="32"/>
          <w:szCs w:val="32"/>
        </w:rPr>
        <w:t>重庆市万州区人民政府外事办公室是区政府工作部门，为正处级单位，与区委外事工作委员会办公室（简称区委外办）合署办公。内设</w:t>
      </w:r>
      <w:r>
        <w:rPr>
          <w:rFonts w:hint="default" w:ascii="Times New Roman" w:hAnsi="Times New Roman" w:eastAsia="方正仿宋_GBK"/>
          <w:snapToGrid w:val="0"/>
          <w:color w:val="auto"/>
          <w:sz w:val="32"/>
          <w:szCs w:val="32"/>
        </w:rPr>
        <w:t>主任1名，副主任1名；科级领导职数3名，设</w:t>
      </w:r>
      <w:r>
        <w:rPr>
          <w:rFonts w:hint="default" w:ascii="Times New Roman" w:hAnsi="Times New Roman" w:eastAsia="方正仿宋_GBK"/>
          <w:color w:val="auto"/>
          <w:sz w:val="32"/>
          <w:szCs w:val="32"/>
        </w:rPr>
        <w:t>综合科、外事科、秘书科。</w:t>
      </w:r>
      <w:r>
        <w:rPr>
          <w:rFonts w:hint="default" w:ascii="Times New Roman" w:hAnsi="Times New Roman" w:eastAsia="方正仿宋_GBK"/>
          <w:color w:val="auto"/>
          <w:sz w:val="31"/>
          <w:szCs w:val="31"/>
          <w:shd w:val="clear" w:color="auto" w:fill="FFFFFF"/>
        </w:rPr>
        <w:t>截止到2021年12月31日，实有在编人数8名。</w:t>
      </w:r>
    </w:p>
    <w:p>
      <w:pPr>
        <w:pStyle w:val="7"/>
        <w:keepNext w:val="0"/>
        <w:keepLines w:val="0"/>
        <w:pageBreakBefore w:val="0"/>
        <w:widowControl/>
        <w:kinsoku/>
        <w:wordWrap/>
        <w:overflowPunct/>
        <w:topLinePunct w:val="0"/>
        <w:autoSpaceDE w:val="0"/>
        <w:autoSpaceDN/>
        <w:bidi w:val="0"/>
        <w:spacing w:line="600" w:lineRule="exact"/>
        <w:ind w:firstLine="640" w:firstLineChars="200"/>
        <w:jc w:val="both"/>
        <w:textAlignment w:val="auto"/>
        <w:rPr>
          <w:rStyle w:val="10"/>
          <w:rFonts w:hint="default" w:ascii="方正楷体_GBK" w:hAnsi="方正楷体_GBK" w:eastAsia="方正楷体_GBK" w:cs="方正楷体_GBK"/>
          <w:b w:val="0"/>
          <w:bCs/>
          <w:color w:val="auto"/>
          <w:sz w:val="32"/>
          <w:szCs w:val="32"/>
        </w:rPr>
      </w:pPr>
      <w:r>
        <w:rPr>
          <w:rStyle w:val="10"/>
          <w:rFonts w:ascii="方正楷体_GBK" w:hAnsi="方正楷体_GBK" w:eastAsia="方正楷体_GBK" w:cs="方正楷体_GBK"/>
          <w:b w:val="0"/>
          <w:bCs/>
          <w:color w:val="auto"/>
          <w:sz w:val="32"/>
          <w:szCs w:val="32"/>
        </w:rPr>
        <w:t>（三）部门整体支出规模、使用方向和主要内容、涉及范围</w:t>
      </w:r>
    </w:p>
    <w:p>
      <w:pPr>
        <w:keepNext w:val="0"/>
        <w:keepLines w:val="0"/>
        <w:pageBreakBefore w:val="0"/>
        <w:kinsoku/>
        <w:wordWrap/>
        <w:overflowPunct/>
        <w:topLinePunct w:val="0"/>
        <w:autoSpaceDN/>
        <w:bidi w:val="0"/>
        <w:adjustRightInd w:val="0"/>
        <w:snapToGrid w:val="0"/>
        <w:spacing w:line="600" w:lineRule="exact"/>
        <w:ind w:firstLine="640" w:firstLineChars="200"/>
        <w:jc w:val="both"/>
        <w:textAlignment w:val="auto"/>
        <w:rPr>
          <w:rFonts w:ascii="Times New Roman" w:hAnsi="Times New Roman" w:eastAsia="仿宋" w:cs="Times New Roman"/>
          <w:color w:val="auto"/>
          <w:sz w:val="30"/>
          <w:szCs w:val="30"/>
        </w:rPr>
      </w:pPr>
      <w:r>
        <w:rPr>
          <w:rFonts w:ascii="Times New Roman" w:hAnsi="Times New Roman" w:eastAsia="方正仿宋_GBK" w:cs="Times New Roman"/>
          <w:snapToGrid w:val="0"/>
          <w:color w:val="auto"/>
          <w:kern w:val="0"/>
          <w:sz w:val="32"/>
          <w:szCs w:val="32"/>
        </w:rPr>
        <w:t>本部门2021年度部门整体支出</w:t>
      </w:r>
      <w:r>
        <w:rPr>
          <w:rFonts w:ascii="Times New Roman" w:hAnsi="Times New Roman" w:eastAsia="方正仿宋_GBK" w:cs="Times New Roman"/>
          <w:color w:val="auto"/>
          <w:sz w:val="32"/>
          <w:szCs w:val="32"/>
        </w:rPr>
        <w:t>234.</w:t>
      </w:r>
      <w:r>
        <w:rPr>
          <w:rFonts w:hint="eastAsia" w:ascii="Times New Roman" w:hAnsi="Times New Roman" w:eastAsia="方正仿宋_GBK" w:cs="Times New Roman"/>
          <w:color w:val="auto"/>
          <w:sz w:val="32"/>
          <w:szCs w:val="32"/>
        </w:rPr>
        <w:t>99</w:t>
      </w:r>
      <w:r>
        <w:rPr>
          <w:rFonts w:ascii="Times New Roman" w:hAnsi="Times New Roman" w:eastAsia="方正仿宋_GBK" w:cs="Times New Roman"/>
          <w:snapToGrid w:val="0"/>
          <w:color w:val="auto"/>
          <w:kern w:val="0"/>
          <w:sz w:val="32"/>
          <w:szCs w:val="32"/>
        </w:rPr>
        <w:t>万元，主要用于财政供养人员基本支出开支及</w:t>
      </w:r>
      <w:r>
        <w:rPr>
          <w:rFonts w:ascii="Times New Roman" w:hAnsi="Times New Roman" w:eastAsia="方正仿宋_GBK" w:cs="Times New Roman"/>
          <w:color w:val="auto"/>
          <w:sz w:val="32"/>
          <w:szCs w:val="32"/>
        </w:rPr>
        <w:t>重要外宾及港澳有关人士来访或进行公务活动的接待、</w:t>
      </w:r>
      <w:r>
        <w:rPr>
          <w:rFonts w:ascii="Times New Roman" w:hAnsi="Times New Roman" w:eastAsia="方正仿宋_GBK" w:cs="Times New Roman"/>
          <w:snapToGrid w:val="0"/>
          <w:color w:val="auto"/>
          <w:kern w:val="0"/>
          <w:sz w:val="32"/>
          <w:szCs w:val="32"/>
        </w:rPr>
        <w:t>对外</w:t>
      </w:r>
      <w:r>
        <w:rPr>
          <w:rFonts w:ascii="Times New Roman" w:hAnsi="Times New Roman" w:eastAsia="方正仿宋_GBK" w:cs="Times New Roman"/>
          <w:color w:val="auto"/>
          <w:sz w:val="32"/>
          <w:szCs w:val="32"/>
        </w:rPr>
        <w:t>交往、统筹安排区领导外事</w:t>
      </w:r>
      <w:r>
        <w:rPr>
          <w:rFonts w:ascii="Times New Roman" w:hAnsi="Times New Roman" w:eastAsia="方正仿宋_GBK" w:cs="Times New Roman"/>
          <w:snapToGrid w:val="0"/>
          <w:color w:val="auto"/>
          <w:kern w:val="0"/>
          <w:sz w:val="32"/>
          <w:szCs w:val="32"/>
        </w:rPr>
        <w:t>活动及防境外新冠肺炎疫情输入等职能职责方面支出。</w:t>
      </w:r>
    </w:p>
    <w:p>
      <w:pPr>
        <w:keepNext w:val="0"/>
        <w:keepLines w:val="0"/>
        <w:pageBreakBefore w:val="0"/>
        <w:numPr>
          <w:ilvl w:val="0"/>
          <w:numId w:val="1"/>
        </w:numPr>
        <w:kinsoku/>
        <w:wordWrap/>
        <w:overflowPunct/>
        <w:topLinePunct w:val="0"/>
        <w:autoSpaceDN/>
        <w:bidi w:val="0"/>
        <w:spacing w:line="600" w:lineRule="exact"/>
        <w:ind w:firstLine="620" w:firstLineChars="200"/>
        <w:jc w:val="both"/>
        <w:textAlignment w:val="auto"/>
        <w:rPr>
          <w:rFonts w:ascii="Times New Roman" w:hAnsi="Times New Roman" w:eastAsia="方正黑体_GBK" w:cs="Times New Roman"/>
          <w:color w:val="auto"/>
          <w:sz w:val="31"/>
          <w:szCs w:val="31"/>
          <w:shd w:val="clear" w:color="auto" w:fill="FFFFFF"/>
        </w:rPr>
      </w:pPr>
      <w:r>
        <w:rPr>
          <w:rFonts w:ascii="Times New Roman" w:hAnsi="Times New Roman" w:eastAsia="方正黑体_GBK" w:cs="Times New Roman"/>
          <w:color w:val="auto"/>
          <w:sz w:val="31"/>
          <w:szCs w:val="31"/>
          <w:shd w:val="clear" w:color="auto" w:fill="FFFFFF"/>
        </w:rPr>
        <w:t>部门决算情况说明</w:t>
      </w:r>
    </w:p>
    <w:p>
      <w:pPr>
        <w:keepNext w:val="0"/>
        <w:keepLines w:val="0"/>
        <w:pageBreakBefore w:val="0"/>
        <w:kinsoku/>
        <w:wordWrap/>
        <w:overflowPunct/>
        <w:topLinePunct w:val="0"/>
        <w:autoSpaceDN/>
        <w:bidi w:val="0"/>
        <w:spacing w:line="600" w:lineRule="exact"/>
        <w:ind w:firstLine="320" w:firstLineChars="100"/>
        <w:jc w:val="both"/>
        <w:textAlignment w:val="auto"/>
        <w:rPr>
          <w:rFonts w:ascii="Times New Roman" w:hAnsi="Times New Roman" w:eastAsia="方正楷体_GBK" w:cs="Times New Roman"/>
          <w:color w:val="auto"/>
          <w:kern w:val="0"/>
          <w:sz w:val="32"/>
          <w:szCs w:val="32"/>
        </w:rPr>
      </w:pPr>
      <w:r>
        <w:rPr>
          <w:rFonts w:ascii="Times New Roman" w:hAnsi="Times New Roman" w:eastAsia="方正楷体_GBK" w:cs="Times New Roman"/>
          <w:color w:val="auto"/>
          <w:sz w:val="32"/>
          <w:szCs w:val="32"/>
          <w:shd w:val="clear" w:color="auto" w:fill="FFFFFF"/>
        </w:rPr>
        <w:t>（一）收入支出决算总体情况说明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2" w:firstLineChars="200"/>
        <w:jc w:val="both"/>
        <w:textAlignment w:val="auto"/>
        <w:rPr>
          <w:rFonts w:ascii="Times New Roman" w:hAnsi="Times New Roman" w:eastAsia="方正仿宋_GBK" w:cs="Times New Roman"/>
          <w:color w:val="auto"/>
          <w:sz w:val="32"/>
          <w:szCs w:val="32"/>
        </w:rPr>
      </w:pPr>
      <w:r>
        <w:rPr>
          <w:rStyle w:val="10"/>
          <w:rFonts w:hint="eastAsia" w:ascii="Times New Roman" w:hAnsi="Times New Roman" w:eastAsia="方正仿宋_GBK" w:cs="Times New Roman"/>
          <w:snapToGrid w:val="0"/>
          <w:color w:val="auto"/>
          <w:sz w:val="32"/>
          <w:szCs w:val="32"/>
          <w:lang w:val="en-US" w:eastAsia="zh-CN"/>
        </w:rPr>
        <w:t xml:space="preserve">1. </w:t>
      </w:r>
      <w:r>
        <w:rPr>
          <w:rStyle w:val="10"/>
          <w:rFonts w:ascii="Times New Roman" w:hAnsi="Times New Roman" w:eastAsia="方正仿宋_GBK" w:cs="Times New Roman"/>
          <w:snapToGrid w:val="0"/>
          <w:color w:val="auto"/>
          <w:sz w:val="32"/>
          <w:szCs w:val="32"/>
        </w:rPr>
        <w:t>总体情况。</w:t>
      </w:r>
      <w:r>
        <w:rPr>
          <w:rFonts w:ascii="Times New Roman" w:hAnsi="Times New Roman" w:eastAsia="方正仿宋_GBK" w:cs="Times New Roman"/>
          <w:color w:val="auto"/>
          <w:sz w:val="32"/>
          <w:szCs w:val="32"/>
        </w:rPr>
        <w:t>2021年度收入支出总体情况。2021年预算拨款收入234.</w:t>
      </w:r>
      <w:r>
        <w:rPr>
          <w:rFonts w:hint="eastAsia" w:ascii="Times New Roman" w:hAnsi="Times New Roman" w:eastAsia="方正仿宋_GBK" w:cs="Times New Roman"/>
          <w:color w:val="auto"/>
          <w:sz w:val="32"/>
          <w:szCs w:val="32"/>
        </w:rPr>
        <w:t>99</w:t>
      </w:r>
      <w:r>
        <w:rPr>
          <w:rFonts w:ascii="Times New Roman" w:hAnsi="Times New Roman" w:eastAsia="方正仿宋_GBK" w:cs="Times New Roman"/>
          <w:color w:val="auto"/>
          <w:sz w:val="32"/>
          <w:szCs w:val="32"/>
        </w:rPr>
        <w:t>万元，支出234.</w:t>
      </w:r>
      <w:r>
        <w:rPr>
          <w:rFonts w:hint="eastAsia" w:ascii="Times New Roman" w:hAnsi="Times New Roman" w:eastAsia="方正仿宋_GBK" w:cs="Times New Roman"/>
          <w:color w:val="auto"/>
          <w:sz w:val="32"/>
          <w:szCs w:val="32"/>
          <w:lang w:val="en-US" w:eastAsia="zh-CN"/>
        </w:rPr>
        <w:t>99</w:t>
      </w:r>
      <w:r>
        <w:rPr>
          <w:rFonts w:ascii="Times New Roman" w:hAnsi="Times New Roman" w:eastAsia="方正仿宋_GBK" w:cs="Times New Roman"/>
          <w:color w:val="auto"/>
          <w:sz w:val="32"/>
          <w:szCs w:val="32"/>
        </w:rPr>
        <w:t>万元。2021年度决算收入合计234.</w:t>
      </w:r>
      <w:r>
        <w:rPr>
          <w:rFonts w:hint="eastAsia" w:ascii="Times New Roman" w:hAnsi="Times New Roman" w:eastAsia="方正仿宋_GBK" w:cs="Times New Roman"/>
          <w:color w:val="auto"/>
          <w:sz w:val="32"/>
          <w:szCs w:val="32"/>
        </w:rPr>
        <w:t>99</w:t>
      </w:r>
      <w:r>
        <w:rPr>
          <w:rFonts w:ascii="Times New Roman" w:hAnsi="Times New Roman" w:eastAsia="方正仿宋_GBK" w:cs="Times New Roman"/>
          <w:color w:val="auto"/>
          <w:sz w:val="32"/>
          <w:szCs w:val="32"/>
        </w:rPr>
        <w:t>万元，较上年决算数增加8.</w:t>
      </w:r>
      <w:r>
        <w:rPr>
          <w:rFonts w:hint="eastAsia" w:ascii="Times New Roman" w:hAnsi="Times New Roman" w:eastAsia="方正仿宋_GBK" w:cs="Times New Roman"/>
          <w:color w:val="auto"/>
          <w:sz w:val="32"/>
          <w:szCs w:val="32"/>
        </w:rPr>
        <w:t>13</w:t>
      </w:r>
      <w:r>
        <w:rPr>
          <w:rFonts w:ascii="Times New Roman" w:hAnsi="Times New Roman" w:eastAsia="方正仿宋_GBK" w:cs="Times New Roman"/>
          <w:color w:val="auto"/>
          <w:sz w:val="32"/>
          <w:szCs w:val="32"/>
        </w:rPr>
        <w:t>万元，增长3.5</w:t>
      </w:r>
      <w:r>
        <w:rPr>
          <w:rFonts w:hint="eastAsia" w:ascii="Times New Roman" w:hAnsi="Times New Roman" w:eastAsia="方正仿宋_GBK" w:cs="Times New Roman"/>
          <w:color w:val="auto"/>
          <w:sz w:val="32"/>
          <w:szCs w:val="32"/>
        </w:rPr>
        <w:t>8</w:t>
      </w:r>
      <w:r>
        <w:rPr>
          <w:rFonts w:ascii="Times New Roman" w:hAnsi="Times New Roman" w:eastAsia="方正仿宋_GBK" w:cs="Times New Roman"/>
          <w:color w:val="auto"/>
          <w:sz w:val="32"/>
          <w:szCs w:val="32"/>
        </w:rPr>
        <w:t>%，主要原因是追加人员经费等。</w:t>
      </w:r>
      <w:r>
        <w:rPr>
          <w:rFonts w:ascii="Times New Roman" w:hAnsi="Times New Roman" w:eastAsia="方正仿宋_GBK" w:cs="Times New Roman"/>
          <w:color w:val="auto"/>
          <w:sz w:val="31"/>
          <w:szCs w:val="31"/>
          <w:shd w:val="clear" w:color="auto" w:fill="FFFFFF"/>
        </w:rPr>
        <w:t>本部门的收入总计包括收入合计、年初结转和结余，支出总计包括本年支出合计、结余分配、年末结转和结余。</w:t>
      </w:r>
    </w:p>
    <w:p>
      <w:pPr>
        <w:pStyle w:val="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default" w:ascii="Times New Roman" w:hAnsi="Times New Roman" w:eastAsia="方正仿宋_GBK"/>
          <w:color w:val="auto"/>
          <w:sz w:val="32"/>
          <w:szCs w:val="32"/>
        </w:rPr>
      </w:pPr>
      <w:r>
        <w:rPr>
          <w:rStyle w:val="10"/>
          <w:rFonts w:hint="eastAsia" w:ascii="Times New Roman" w:hAnsi="Times New Roman" w:eastAsia="方正仿宋_GBK"/>
          <w:snapToGrid w:val="0"/>
          <w:color w:val="auto"/>
          <w:sz w:val="32"/>
          <w:szCs w:val="32"/>
          <w:lang w:val="en-US" w:eastAsia="zh-CN"/>
        </w:rPr>
        <w:t xml:space="preserve">2. </w:t>
      </w:r>
      <w:r>
        <w:rPr>
          <w:rStyle w:val="10"/>
          <w:rFonts w:hint="default" w:ascii="Times New Roman" w:hAnsi="Times New Roman" w:eastAsia="方正仿宋_GBK"/>
          <w:snapToGrid w:val="0"/>
          <w:color w:val="auto"/>
          <w:sz w:val="32"/>
          <w:szCs w:val="32"/>
        </w:rPr>
        <w:t>收入情况。</w:t>
      </w:r>
      <w:r>
        <w:rPr>
          <w:rFonts w:hint="default" w:ascii="Times New Roman" w:hAnsi="Times New Roman" w:eastAsia="方正仿宋_GBK"/>
          <w:color w:val="auto"/>
          <w:sz w:val="32"/>
          <w:szCs w:val="32"/>
        </w:rPr>
        <w:t>2021年度收入情况。2021年度一般公共预算财政拨款收入234.</w:t>
      </w:r>
      <w:r>
        <w:rPr>
          <w:rFonts w:ascii="Times New Roman" w:hAnsi="Times New Roman" w:eastAsia="方正仿宋_GBK"/>
          <w:color w:val="auto"/>
          <w:sz w:val="32"/>
          <w:szCs w:val="32"/>
        </w:rPr>
        <w:t>99</w:t>
      </w:r>
      <w:r>
        <w:rPr>
          <w:rFonts w:hint="default" w:ascii="Times New Roman" w:hAnsi="Times New Roman" w:eastAsia="方正仿宋_GBK"/>
          <w:color w:val="auto"/>
          <w:sz w:val="32"/>
          <w:szCs w:val="32"/>
        </w:rPr>
        <w:t>万元，占总收入100%。其中：基本支出176.</w:t>
      </w:r>
      <w:r>
        <w:rPr>
          <w:rFonts w:ascii="Times New Roman" w:hAnsi="Times New Roman" w:eastAsia="方正仿宋_GBK"/>
          <w:color w:val="auto"/>
          <w:sz w:val="32"/>
          <w:szCs w:val="32"/>
        </w:rPr>
        <w:t>86</w:t>
      </w:r>
      <w:r>
        <w:rPr>
          <w:rFonts w:hint="default" w:ascii="Times New Roman" w:hAnsi="Times New Roman" w:eastAsia="方正仿宋_GBK"/>
          <w:color w:val="auto"/>
          <w:sz w:val="32"/>
          <w:szCs w:val="32"/>
        </w:rPr>
        <w:t>万元，占总支出75.2</w:t>
      </w:r>
      <w:r>
        <w:rPr>
          <w:rFonts w:ascii="Times New Roman" w:hAnsi="Times New Roman" w:eastAsia="方正仿宋_GBK"/>
          <w:color w:val="auto"/>
          <w:sz w:val="32"/>
          <w:szCs w:val="32"/>
        </w:rPr>
        <w:t>6</w:t>
      </w:r>
      <w:r>
        <w:rPr>
          <w:rFonts w:hint="default" w:ascii="Times New Roman" w:hAnsi="Times New Roman" w:eastAsia="方正仿宋_GBK"/>
          <w:color w:val="auto"/>
          <w:sz w:val="32"/>
          <w:szCs w:val="32"/>
        </w:rPr>
        <w:t>%；项目支出58.1</w:t>
      </w:r>
      <w:r>
        <w:rPr>
          <w:rFonts w:ascii="Times New Roman" w:hAnsi="Times New Roman" w:eastAsia="方正仿宋_GBK"/>
          <w:color w:val="auto"/>
          <w:sz w:val="32"/>
          <w:szCs w:val="32"/>
        </w:rPr>
        <w:t>3</w:t>
      </w:r>
      <w:r>
        <w:rPr>
          <w:rFonts w:hint="default" w:ascii="Times New Roman" w:hAnsi="Times New Roman" w:eastAsia="方正仿宋_GBK"/>
          <w:color w:val="auto"/>
          <w:sz w:val="32"/>
          <w:szCs w:val="32"/>
        </w:rPr>
        <w:t>万元，占总支出24.7</w:t>
      </w:r>
      <w:r>
        <w:rPr>
          <w:rFonts w:ascii="Times New Roman" w:hAnsi="Times New Roman" w:eastAsia="方正仿宋_GBK"/>
          <w:color w:val="auto"/>
          <w:sz w:val="32"/>
          <w:szCs w:val="32"/>
        </w:rPr>
        <w:t>4</w:t>
      </w:r>
      <w:r>
        <w:rPr>
          <w:rFonts w:hint="default" w:ascii="Times New Roman" w:hAnsi="Times New Roman" w:eastAsia="方正仿宋_GBK"/>
          <w:color w:val="auto"/>
          <w:sz w:val="32"/>
          <w:szCs w:val="32"/>
        </w:rPr>
        <w:t>%；结转结余0.</w:t>
      </w:r>
      <w:r>
        <w:rPr>
          <w:rFonts w:hint="eastAsia" w:ascii="Times New Roman" w:hAnsi="Times New Roman" w:eastAsia="方正仿宋_GBK"/>
          <w:color w:val="auto"/>
          <w:sz w:val="32"/>
          <w:szCs w:val="32"/>
          <w:lang w:val="en-US" w:eastAsia="zh-CN"/>
        </w:rPr>
        <w:t>11</w:t>
      </w:r>
      <w:r>
        <w:rPr>
          <w:rFonts w:hint="default" w:ascii="Times New Roman" w:hAnsi="Times New Roman" w:eastAsia="方正仿宋_GBK"/>
          <w:color w:val="auto"/>
          <w:sz w:val="32"/>
          <w:szCs w:val="32"/>
        </w:rPr>
        <w:t>万元，占总支出0.0</w:t>
      </w:r>
      <w:r>
        <w:rPr>
          <w:rFonts w:hint="eastAsia" w:ascii="Times New Roman" w:hAnsi="Times New Roman" w:eastAsia="方正仿宋_GBK"/>
          <w:color w:val="auto"/>
          <w:sz w:val="32"/>
          <w:szCs w:val="32"/>
          <w:lang w:val="en-US" w:eastAsia="zh-CN"/>
        </w:rPr>
        <w:t>0</w:t>
      </w:r>
      <w:r>
        <w:rPr>
          <w:rFonts w:hint="default" w:ascii="Times New Roman" w:hAnsi="Times New Roman" w:eastAsia="方正仿宋_GBK"/>
          <w:color w:val="auto"/>
          <w:sz w:val="32"/>
          <w:szCs w:val="32"/>
        </w:rPr>
        <w:t>%。</w:t>
      </w:r>
    </w:p>
    <w:p>
      <w:pPr>
        <w:pStyle w:val="7"/>
        <w:keepNext w:val="0"/>
        <w:keepLines w:val="0"/>
        <w:pageBreakBefore w:val="0"/>
        <w:shd w:val="clear" w:color="auto" w:fill="FFFFFF"/>
        <w:kinsoku/>
        <w:wordWrap/>
        <w:overflowPunct/>
        <w:topLinePunct w:val="0"/>
        <w:autoSpaceDN/>
        <w:bidi w:val="0"/>
        <w:spacing w:line="600" w:lineRule="exact"/>
        <w:ind w:firstLine="642" w:firstLineChars="200"/>
        <w:jc w:val="both"/>
        <w:textAlignment w:val="auto"/>
        <w:rPr>
          <w:rFonts w:hint="default" w:ascii="Times New Roman" w:hAnsi="Times New Roman" w:eastAsia="方正仿宋_GBK"/>
          <w:color w:val="auto"/>
          <w:sz w:val="32"/>
          <w:szCs w:val="32"/>
        </w:rPr>
      </w:pPr>
      <w:r>
        <w:rPr>
          <w:rStyle w:val="10"/>
          <w:rFonts w:hint="default" w:ascii="Times New Roman" w:hAnsi="Times New Roman" w:eastAsia="方正仿宋_GBK"/>
          <w:snapToGrid w:val="0"/>
          <w:color w:val="auto"/>
          <w:sz w:val="32"/>
          <w:szCs w:val="32"/>
        </w:rPr>
        <w:t>3</w:t>
      </w:r>
      <w:r>
        <w:rPr>
          <w:rStyle w:val="10"/>
          <w:rFonts w:hint="eastAsia" w:ascii="Times New Roman" w:hAnsi="Times New Roman" w:eastAsia="方正仿宋_GBK"/>
          <w:snapToGrid w:val="0"/>
          <w:color w:val="auto"/>
          <w:sz w:val="32"/>
          <w:szCs w:val="32"/>
          <w:lang w:val="en-US" w:eastAsia="zh-CN"/>
        </w:rPr>
        <w:t xml:space="preserve">. </w:t>
      </w:r>
      <w:r>
        <w:rPr>
          <w:rStyle w:val="10"/>
          <w:rFonts w:hint="default" w:ascii="Times New Roman" w:hAnsi="Times New Roman" w:eastAsia="方正仿宋_GBK"/>
          <w:snapToGrid w:val="0"/>
          <w:color w:val="auto"/>
          <w:sz w:val="32"/>
          <w:szCs w:val="32"/>
        </w:rPr>
        <w:t>支出情况。</w:t>
      </w:r>
      <w:r>
        <w:rPr>
          <w:rFonts w:hint="default" w:ascii="Times New Roman" w:hAnsi="Times New Roman" w:eastAsia="方正仿宋_GBK"/>
          <w:color w:val="auto"/>
          <w:sz w:val="32"/>
          <w:szCs w:val="32"/>
        </w:rPr>
        <w:t>2021年度支出情况。2021年度一般公共预算财政拨款支出234.</w:t>
      </w:r>
      <w:r>
        <w:rPr>
          <w:rFonts w:ascii="Times New Roman" w:hAnsi="Times New Roman" w:eastAsia="方正仿宋_GBK"/>
          <w:color w:val="auto"/>
          <w:sz w:val="32"/>
          <w:szCs w:val="32"/>
        </w:rPr>
        <w:t>99</w:t>
      </w:r>
      <w:r>
        <w:rPr>
          <w:rFonts w:hint="default" w:ascii="Times New Roman" w:hAnsi="Times New Roman" w:eastAsia="方正仿宋_GBK"/>
          <w:color w:val="auto"/>
          <w:sz w:val="32"/>
          <w:szCs w:val="32"/>
        </w:rPr>
        <w:t>万元，其中：基本支出176.</w:t>
      </w:r>
      <w:r>
        <w:rPr>
          <w:rFonts w:ascii="Times New Roman" w:hAnsi="Times New Roman" w:eastAsia="方正仿宋_GBK"/>
          <w:color w:val="auto"/>
          <w:sz w:val="32"/>
          <w:szCs w:val="32"/>
        </w:rPr>
        <w:t>86</w:t>
      </w:r>
      <w:r>
        <w:rPr>
          <w:rFonts w:hint="default" w:ascii="Times New Roman" w:hAnsi="Times New Roman" w:eastAsia="方正仿宋_GBK"/>
          <w:color w:val="auto"/>
          <w:sz w:val="32"/>
          <w:szCs w:val="32"/>
        </w:rPr>
        <w:t>万元，占总支出75.2</w:t>
      </w:r>
      <w:r>
        <w:rPr>
          <w:rFonts w:ascii="Times New Roman" w:hAnsi="Times New Roman" w:eastAsia="方正仿宋_GBK"/>
          <w:color w:val="auto"/>
          <w:sz w:val="32"/>
          <w:szCs w:val="32"/>
        </w:rPr>
        <w:t>6</w:t>
      </w:r>
      <w:r>
        <w:rPr>
          <w:rFonts w:hint="default" w:ascii="Times New Roman" w:hAnsi="Times New Roman" w:eastAsia="方正仿宋_GBK"/>
          <w:color w:val="auto"/>
          <w:sz w:val="32"/>
          <w:szCs w:val="32"/>
        </w:rPr>
        <w:t>%（人员经费153.</w:t>
      </w:r>
      <w:r>
        <w:rPr>
          <w:rFonts w:ascii="Times New Roman" w:hAnsi="Times New Roman" w:eastAsia="方正仿宋_GBK"/>
          <w:color w:val="auto"/>
          <w:sz w:val="32"/>
          <w:szCs w:val="32"/>
        </w:rPr>
        <w:t>71</w:t>
      </w:r>
      <w:r>
        <w:rPr>
          <w:rFonts w:hint="default" w:ascii="Times New Roman" w:hAnsi="Times New Roman" w:eastAsia="方正仿宋_GBK"/>
          <w:color w:val="auto"/>
          <w:sz w:val="32"/>
          <w:szCs w:val="32"/>
        </w:rPr>
        <w:t>万元，占基本支出86.9</w:t>
      </w:r>
      <w:r>
        <w:rPr>
          <w:rFonts w:ascii="Times New Roman" w:hAnsi="Times New Roman" w:eastAsia="方正仿宋_GBK"/>
          <w:color w:val="auto"/>
          <w:sz w:val="32"/>
          <w:szCs w:val="32"/>
        </w:rPr>
        <w:t>1</w:t>
      </w:r>
      <w:r>
        <w:rPr>
          <w:rFonts w:hint="default" w:ascii="Times New Roman" w:hAnsi="Times New Roman" w:eastAsia="方正仿宋_GBK"/>
          <w:color w:val="auto"/>
          <w:sz w:val="32"/>
          <w:szCs w:val="32"/>
        </w:rPr>
        <w:t>%；公用经费23.16万元，占基本支出13.1%）；项目支出58.1</w:t>
      </w:r>
      <w:r>
        <w:rPr>
          <w:rFonts w:ascii="Times New Roman" w:hAnsi="Times New Roman" w:eastAsia="方正仿宋_GBK"/>
          <w:color w:val="auto"/>
          <w:sz w:val="32"/>
          <w:szCs w:val="32"/>
        </w:rPr>
        <w:t>3</w:t>
      </w:r>
      <w:r>
        <w:rPr>
          <w:rFonts w:hint="default" w:ascii="Times New Roman" w:hAnsi="Times New Roman" w:eastAsia="方正仿宋_GBK"/>
          <w:color w:val="auto"/>
          <w:sz w:val="32"/>
          <w:szCs w:val="32"/>
        </w:rPr>
        <w:t>万元，占总支出24.7</w:t>
      </w:r>
      <w:r>
        <w:rPr>
          <w:rFonts w:ascii="Times New Roman" w:hAnsi="Times New Roman" w:eastAsia="方正仿宋_GBK"/>
          <w:color w:val="auto"/>
          <w:sz w:val="32"/>
          <w:szCs w:val="32"/>
        </w:rPr>
        <w:t>4</w:t>
      </w:r>
      <w:r>
        <w:rPr>
          <w:rFonts w:hint="default" w:ascii="Times New Roman" w:hAnsi="Times New Roman" w:eastAsia="方正仿宋_GBK"/>
          <w:color w:val="auto"/>
          <w:sz w:val="32"/>
          <w:szCs w:val="32"/>
        </w:rPr>
        <w:t>%；</w:t>
      </w:r>
    </w:p>
    <w:p>
      <w:pPr>
        <w:pStyle w:val="7"/>
        <w:keepNext w:val="0"/>
        <w:keepLines w:val="0"/>
        <w:pageBreakBefore w:val="0"/>
        <w:shd w:val="clear" w:color="auto" w:fill="FFFFFF"/>
        <w:kinsoku/>
        <w:wordWrap/>
        <w:overflowPunct/>
        <w:topLinePunct w:val="0"/>
        <w:autoSpaceDN/>
        <w:bidi w:val="0"/>
        <w:spacing w:line="600" w:lineRule="exact"/>
        <w:ind w:firstLine="642" w:firstLineChars="200"/>
        <w:jc w:val="both"/>
        <w:textAlignment w:val="auto"/>
        <w:rPr>
          <w:rStyle w:val="10"/>
          <w:rFonts w:hint="default" w:ascii="Times New Roman" w:hAnsi="Times New Roman" w:eastAsia="方正仿宋_GBK"/>
          <w:color w:val="auto"/>
          <w:sz w:val="31"/>
          <w:szCs w:val="31"/>
          <w:shd w:val="clear" w:color="auto" w:fill="FFFFFF"/>
        </w:rPr>
      </w:pPr>
      <w:r>
        <w:rPr>
          <w:rStyle w:val="10"/>
          <w:rFonts w:hint="default" w:ascii="Times New Roman" w:hAnsi="Times New Roman" w:eastAsia="方正仿宋_GBK"/>
          <w:snapToGrid w:val="0"/>
          <w:color w:val="auto"/>
          <w:sz w:val="32"/>
          <w:szCs w:val="32"/>
        </w:rPr>
        <w:t>4</w:t>
      </w:r>
      <w:r>
        <w:rPr>
          <w:rStyle w:val="10"/>
          <w:rFonts w:hint="eastAsia" w:ascii="Times New Roman" w:hAnsi="Times New Roman" w:eastAsia="方正仿宋_GBK"/>
          <w:snapToGrid w:val="0"/>
          <w:color w:val="auto"/>
          <w:sz w:val="32"/>
          <w:szCs w:val="32"/>
          <w:lang w:val="en-US" w:eastAsia="zh-CN"/>
        </w:rPr>
        <w:t xml:space="preserve">. </w:t>
      </w:r>
      <w:r>
        <w:rPr>
          <w:rStyle w:val="10"/>
          <w:rFonts w:hint="default" w:ascii="Times New Roman" w:hAnsi="Times New Roman" w:eastAsia="方正仿宋_GBK"/>
          <w:snapToGrid w:val="0"/>
          <w:color w:val="auto"/>
          <w:sz w:val="32"/>
          <w:szCs w:val="32"/>
        </w:rPr>
        <w:t>结转结余情况。</w:t>
      </w:r>
      <w:r>
        <w:rPr>
          <w:rStyle w:val="10"/>
          <w:rFonts w:hint="default" w:ascii="Times New Roman" w:hAnsi="Times New Roman" w:eastAsia="方正仿宋_GBK"/>
          <w:b w:val="0"/>
          <w:bCs/>
          <w:snapToGrid w:val="0"/>
          <w:color w:val="auto"/>
          <w:sz w:val="32"/>
          <w:szCs w:val="32"/>
        </w:rPr>
        <w:t>2</w:t>
      </w:r>
      <w:r>
        <w:rPr>
          <w:rFonts w:hint="default" w:ascii="Times New Roman" w:hAnsi="Times New Roman" w:eastAsia="方正仿宋_GBK"/>
          <w:bCs/>
          <w:color w:val="auto"/>
          <w:sz w:val="32"/>
          <w:szCs w:val="32"/>
        </w:rPr>
        <w:t>021</w:t>
      </w:r>
      <w:r>
        <w:rPr>
          <w:rFonts w:hint="default" w:ascii="Times New Roman" w:hAnsi="Times New Roman" w:eastAsia="方正仿宋_GBK"/>
          <w:color w:val="auto"/>
          <w:sz w:val="32"/>
          <w:szCs w:val="32"/>
        </w:rPr>
        <w:t>年度结转结余0.00万元，占总支出0.00%。</w:t>
      </w:r>
      <w:r>
        <w:rPr>
          <w:rStyle w:val="10"/>
          <w:rFonts w:hint="default" w:ascii="Times New Roman" w:hAnsi="Times New Roman" w:eastAsia="方正仿宋_GBK"/>
          <w:color w:val="auto"/>
          <w:sz w:val="31"/>
          <w:szCs w:val="31"/>
          <w:shd w:val="clear" w:color="auto" w:fill="FFFFFF"/>
        </w:rPr>
        <w:t>  </w:t>
      </w:r>
    </w:p>
    <w:p>
      <w:pPr>
        <w:pStyle w:val="7"/>
        <w:keepNext w:val="0"/>
        <w:keepLines w:val="0"/>
        <w:pageBreakBefore w:val="0"/>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eastAsia="方正楷体_GBK"/>
          <w:color w:val="auto"/>
          <w:sz w:val="31"/>
          <w:szCs w:val="31"/>
          <w:shd w:val="clear" w:color="auto" w:fill="FFFFFF"/>
        </w:rPr>
      </w:pPr>
      <w:r>
        <w:rPr>
          <w:rFonts w:hint="default" w:ascii="Times New Roman" w:hAnsi="Times New Roman" w:eastAsia="方正楷体_GBK"/>
          <w:color w:val="auto"/>
          <w:sz w:val="31"/>
          <w:szCs w:val="31"/>
          <w:shd w:val="clear" w:color="auto" w:fill="FFFFFF"/>
        </w:rPr>
        <w:t>（二）财政拨款收入支出决算总体情况说明</w:t>
      </w:r>
    </w:p>
    <w:p>
      <w:pPr>
        <w:pStyle w:val="7"/>
        <w:keepNext w:val="0"/>
        <w:keepLines w:val="0"/>
        <w:pageBreakBefore w:val="0"/>
        <w:kinsoku/>
        <w:wordWrap/>
        <w:overflowPunct/>
        <w:topLinePunct w:val="0"/>
        <w:autoSpaceDN/>
        <w:bidi w:val="0"/>
        <w:spacing w:line="600" w:lineRule="exact"/>
        <w:ind w:firstLine="642" w:firstLineChars="200"/>
        <w:jc w:val="both"/>
        <w:textAlignment w:val="auto"/>
        <w:rPr>
          <w:rFonts w:hint="default" w:ascii="方正仿宋_GBK" w:hAnsi="方正仿宋_GBK" w:eastAsia="方正仿宋_GBK" w:cs="方正仿宋_GBK"/>
          <w:color w:val="auto"/>
          <w:sz w:val="32"/>
          <w:szCs w:val="32"/>
        </w:rPr>
      </w:pPr>
      <w:r>
        <w:rPr>
          <w:rStyle w:val="10"/>
          <w:rFonts w:hint="default" w:ascii="Times New Roman" w:hAnsi="Times New Roman" w:eastAsia="方正仿宋_GBK"/>
          <w:snapToGrid w:val="0"/>
          <w:color w:val="auto"/>
          <w:sz w:val="32"/>
          <w:szCs w:val="32"/>
        </w:rPr>
        <w:t>1．收入情况。</w:t>
      </w:r>
      <w:r>
        <w:rPr>
          <w:rFonts w:hint="default" w:ascii="Times New Roman" w:hAnsi="Times New Roman" w:eastAsia="方正仿宋_GBK"/>
          <w:color w:val="auto"/>
          <w:sz w:val="32"/>
          <w:szCs w:val="32"/>
        </w:rPr>
        <w:t>2021年度收入情况。2021年度一般公共预算财政拨款收入234.</w:t>
      </w:r>
      <w:r>
        <w:rPr>
          <w:rFonts w:ascii="Times New Roman" w:hAnsi="Times New Roman" w:eastAsia="方正仿宋_GBK"/>
          <w:color w:val="auto"/>
          <w:sz w:val="32"/>
          <w:szCs w:val="32"/>
        </w:rPr>
        <w:t>99</w:t>
      </w:r>
      <w:r>
        <w:rPr>
          <w:rFonts w:hint="default" w:ascii="Times New Roman" w:hAnsi="Times New Roman" w:eastAsia="方正仿宋_GBK"/>
          <w:color w:val="auto"/>
          <w:sz w:val="32"/>
          <w:szCs w:val="32"/>
        </w:rPr>
        <w:t>万元，占总收入100%。其中：基本支出176.</w:t>
      </w:r>
      <w:r>
        <w:rPr>
          <w:rFonts w:ascii="Times New Roman" w:hAnsi="Times New Roman" w:eastAsia="方正仿宋_GBK"/>
          <w:color w:val="auto"/>
          <w:sz w:val="32"/>
          <w:szCs w:val="32"/>
        </w:rPr>
        <w:t>86</w:t>
      </w:r>
      <w:r>
        <w:rPr>
          <w:rFonts w:hint="default" w:ascii="Times New Roman" w:hAnsi="Times New Roman" w:eastAsia="方正仿宋_GBK"/>
          <w:color w:val="auto"/>
          <w:sz w:val="32"/>
          <w:szCs w:val="32"/>
        </w:rPr>
        <w:t>万元，占总支出</w:t>
      </w:r>
      <w:r>
        <w:rPr>
          <w:rFonts w:ascii="Times New Roman" w:hAnsi="Times New Roman" w:eastAsia="方正仿宋_GBK"/>
          <w:color w:val="auto"/>
          <w:sz w:val="32"/>
          <w:szCs w:val="32"/>
        </w:rPr>
        <w:t>75.26</w:t>
      </w:r>
      <w:r>
        <w:rPr>
          <w:rFonts w:hint="default" w:ascii="Times New Roman" w:hAnsi="Times New Roman" w:eastAsia="方正仿宋_GBK"/>
          <w:color w:val="auto"/>
          <w:sz w:val="32"/>
          <w:szCs w:val="32"/>
        </w:rPr>
        <w:t>%；项目支出58.1</w:t>
      </w:r>
      <w:r>
        <w:rPr>
          <w:rFonts w:ascii="Times New Roman" w:hAnsi="Times New Roman" w:eastAsia="方正仿宋_GBK"/>
          <w:color w:val="auto"/>
          <w:sz w:val="32"/>
          <w:szCs w:val="32"/>
        </w:rPr>
        <w:t>3</w:t>
      </w:r>
      <w:r>
        <w:rPr>
          <w:rFonts w:hint="default" w:ascii="Times New Roman" w:hAnsi="Times New Roman" w:eastAsia="方正仿宋_GBK"/>
          <w:color w:val="auto"/>
          <w:sz w:val="32"/>
          <w:szCs w:val="32"/>
        </w:rPr>
        <w:t>万元，占总支出</w:t>
      </w:r>
      <w:r>
        <w:rPr>
          <w:rFonts w:ascii="Times New Roman" w:hAnsi="Times New Roman" w:eastAsia="方正仿宋_GBK"/>
          <w:color w:val="auto"/>
          <w:sz w:val="32"/>
          <w:szCs w:val="32"/>
        </w:rPr>
        <w:t>24.74</w:t>
      </w:r>
      <w:r>
        <w:rPr>
          <w:rFonts w:hint="default" w:ascii="Times New Roman" w:hAnsi="Times New Roman" w:eastAsia="方正仿宋_GBK"/>
          <w:color w:val="auto"/>
          <w:sz w:val="32"/>
          <w:szCs w:val="32"/>
        </w:rPr>
        <w:t>%；结转结余0.00万元，占总支出0.00%。较上年决算数增加8.</w:t>
      </w:r>
      <w:r>
        <w:rPr>
          <w:rFonts w:hint="eastAsia" w:ascii="Times New Roman" w:hAnsi="Times New Roman" w:eastAsia="方正仿宋_GBK"/>
          <w:color w:val="auto"/>
          <w:sz w:val="32"/>
          <w:szCs w:val="32"/>
          <w:lang w:val="en-US" w:eastAsia="zh-CN"/>
        </w:rPr>
        <w:t>24</w:t>
      </w:r>
      <w:r>
        <w:rPr>
          <w:rFonts w:hint="default" w:ascii="Times New Roman" w:hAnsi="Times New Roman" w:eastAsia="方正仿宋_GBK"/>
          <w:color w:val="auto"/>
          <w:sz w:val="32"/>
          <w:szCs w:val="32"/>
        </w:rPr>
        <w:t>万元，增长</w:t>
      </w:r>
      <w:r>
        <w:rPr>
          <w:rFonts w:ascii="Times New Roman" w:hAnsi="Times New Roman" w:eastAsia="方正仿宋_GBK"/>
          <w:color w:val="auto"/>
          <w:sz w:val="32"/>
          <w:szCs w:val="32"/>
        </w:rPr>
        <w:t>3.</w:t>
      </w:r>
      <w:r>
        <w:rPr>
          <w:rFonts w:hint="eastAsia" w:ascii="Times New Roman" w:hAnsi="Times New Roman" w:eastAsia="方正仿宋_GBK"/>
          <w:color w:val="auto"/>
          <w:sz w:val="32"/>
          <w:szCs w:val="32"/>
          <w:lang w:val="en-US" w:eastAsia="zh-CN"/>
        </w:rPr>
        <w:t>63</w:t>
      </w:r>
      <w:r>
        <w:rPr>
          <w:rFonts w:hint="default" w:ascii="Times New Roman" w:hAnsi="Times New Roman" w:eastAsia="方正仿宋_GBK"/>
          <w:color w:val="auto"/>
          <w:sz w:val="32"/>
          <w:szCs w:val="32"/>
        </w:rPr>
        <w:t>%，主要原因是追加人员经费等。较年初预算数增加31.38万元，增长</w:t>
      </w:r>
      <w:r>
        <w:rPr>
          <w:rFonts w:ascii="Times New Roman" w:hAnsi="Times New Roman" w:eastAsia="方正仿宋_GBK"/>
          <w:color w:val="auto"/>
          <w:sz w:val="32"/>
          <w:szCs w:val="32"/>
        </w:rPr>
        <w:t>15.47</w:t>
      </w:r>
      <w:r>
        <w:rPr>
          <w:rFonts w:hint="default" w:ascii="Times New Roman" w:hAnsi="Times New Roman" w:eastAsia="方正仿宋_GBK"/>
          <w:color w:val="auto"/>
          <w:sz w:val="32"/>
          <w:szCs w:val="32"/>
        </w:rPr>
        <w:t>%。主要原因是年中追加安排2020年目标考核奖28.07万元，应休未休带薪年休假资金5.82万元，以及养老保险0.05万元，由于预算口径变化，追减预算收入2.56万元。</w:t>
      </w:r>
      <w:r>
        <w:rPr>
          <w:rFonts w:ascii="方正仿宋_GBK" w:hAnsi="方正仿宋_GBK" w:eastAsia="方正仿宋_GBK" w:cs="方正仿宋_GBK"/>
          <w:color w:val="auto"/>
          <w:sz w:val="32"/>
          <w:szCs w:val="32"/>
        </w:rPr>
        <w:t>年初财政拨款结转和结余0.11万元。</w:t>
      </w:r>
    </w:p>
    <w:p>
      <w:pPr>
        <w:pStyle w:val="7"/>
        <w:keepNext w:val="0"/>
        <w:keepLines w:val="0"/>
        <w:pageBreakBefore w:val="0"/>
        <w:kinsoku/>
        <w:wordWrap/>
        <w:overflowPunct/>
        <w:topLinePunct w:val="0"/>
        <w:autoSpaceDN/>
        <w:bidi w:val="0"/>
        <w:spacing w:line="600" w:lineRule="exact"/>
        <w:ind w:firstLine="642" w:firstLineChars="200"/>
        <w:jc w:val="both"/>
        <w:textAlignment w:val="auto"/>
        <w:rPr>
          <w:rFonts w:hint="default" w:ascii="方正仿宋_GBK" w:hAnsi="方正仿宋_GBK" w:eastAsia="方正仿宋_GBK" w:cs="方正仿宋_GBK"/>
          <w:color w:val="auto"/>
          <w:sz w:val="32"/>
          <w:szCs w:val="32"/>
        </w:rPr>
      </w:pPr>
      <w:r>
        <w:rPr>
          <w:rStyle w:val="10"/>
          <w:rFonts w:hint="default" w:ascii="Times New Roman" w:hAnsi="Times New Roman" w:eastAsia="方正仿宋_GBK"/>
          <w:snapToGrid w:val="0"/>
          <w:color w:val="auto"/>
          <w:sz w:val="32"/>
          <w:szCs w:val="32"/>
        </w:rPr>
        <w:t>2．支出情况。</w:t>
      </w:r>
      <w:r>
        <w:rPr>
          <w:rFonts w:hint="default" w:ascii="Times New Roman" w:hAnsi="Times New Roman" w:eastAsia="方正仿宋_GBK"/>
          <w:color w:val="auto"/>
          <w:sz w:val="32"/>
          <w:szCs w:val="32"/>
        </w:rPr>
        <w:t>2021年度支出情况。2021年度一般公共预算财政拨款支出234.</w:t>
      </w:r>
      <w:r>
        <w:rPr>
          <w:rFonts w:ascii="Times New Roman" w:hAnsi="Times New Roman" w:eastAsia="方正仿宋_GBK"/>
          <w:color w:val="auto"/>
          <w:sz w:val="32"/>
          <w:szCs w:val="32"/>
        </w:rPr>
        <w:t>99</w:t>
      </w:r>
      <w:r>
        <w:rPr>
          <w:rFonts w:hint="default" w:ascii="Times New Roman" w:hAnsi="Times New Roman" w:eastAsia="方正仿宋_GBK"/>
          <w:color w:val="auto"/>
          <w:sz w:val="32"/>
          <w:szCs w:val="32"/>
        </w:rPr>
        <w:t>万元，其中：基本支出176.</w:t>
      </w:r>
      <w:r>
        <w:rPr>
          <w:rFonts w:ascii="Times New Roman" w:hAnsi="Times New Roman" w:eastAsia="方正仿宋_GBK"/>
          <w:color w:val="auto"/>
          <w:sz w:val="32"/>
          <w:szCs w:val="32"/>
        </w:rPr>
        <w:t>86</w:t>
      </w:r>
      <w:r>
        <w:rPr>
          <w:rFonts w:hint="default" w:ascii="Times New Roman" w:hAnsi="Times New Roman" w:eastAsia="方正仿宋_GBK"/>
          <w:color w:val="auto"/>
          <w:sz w:val="32"/>
          <w:szCs w:val="32"/>
        </w:rPr>
        <w:t>万元，占总支出75.2</w:t>
      </w:r>
      <w:r>
        <w:rPr>
          <w:rFonts w:ascii="Times New Roman" w:hAnsi="Times New Roman" w:eastAsia="方正仿宋_GBK"/>
          <w:color w:val="auto"/>
          <w:sz w:val="32"/>
          <w:szCs w:val="32"/>
        </w:rPr>
        <w:t>6</w:t>
      </w:r>
      <w:r>
        <w:rPr>
          <w:rFonts w:hint="default" w:ascii="Times New Roman" w:hAnsi="Times New Roman" w:eastAsia="方正仿宋_GBK"/>
          <w:color w:val="auto"/>
          <w:sz w:val="32"/>
          <w:szCs w:val="32"/>
        </w:rPr>
        <w:t>%（人员经费153.</w:t>
      </w:r>
      <w:r>
        <w:rPr>
          <w:rFonts w:ascii="Times New Roman" w:hAnsi="Times New Roman" w:eastAsia="方正仿宋_GBK"/>
          <w:color w:val="auto"/>
          <w:sz w:val="32"/>
          <w:szCs w:val="32"/>
        </w:rPr>
        <w:t>71</w:t>
      </w:r>
      <w:r>
        <w:rPr>
          <w:rFonts w:hint="default" w:ascii="Times New Roman" w:hAnsi="Times New Roman" w:eastAsia="方正仿宋_GBK"/>
          <w:color w:val="auto"/>
          <w:sz w:val="32"/>
          <w:szCs w:val="32"/>
        </w:rPr>
        <w:t>万元，占基本支出86.9</w:t>
      </w:r>
      <w:r>
        <w:rPr>
          <w:rFonts w:ascii="Times New Roman" w:hAnsi="Times New Roman" w:eastAsia="方正仿宋_GBK"/>
          <w:color w:val="auto"/>
          <w:sz w:val="32"/>
          <w:szCs w:val="32"/>
        </w:rPr>
        <w:t>1</w:t>
      </w:r>
      <w:r>
        <w:rPr>
          <w:rFonts w:hint="default" w:ascii="Times New Roman" w:hAnsi="Times New Roman" w:eastAsia="方正仿宋_GBK"/>
          <w:color w:val="auto"/>
          <w:sz w:val="32"/>
          <w:szCs w:val="32"/>
        </w:rPr>
        <w:t>%；公用经费23.16万元，占基本支出13.1%）；项目支出58.1</w:t>
      </w:r>
      <w:r>
        <w:rPr>
          <w:rFonts w:ascii="Times New Roman" w:hAnsi="Times New Roman" w:eastAsia="方正仿宋_GBK"/>
          <w:color w:val="auto"/>
          <w:sz w:val="32"/>
          <w:szCs w:val="32"/>
        </w:rPr>
        <w:t>3</w:t>
      </w:r>
      <w:r>
        <w:rPr>
          <w:rFonts w:hint="default" w:ascii="Times New Roman" w:hAnsi="Times New Roman" w:eastAsia="方正仿宋_GBK"/>
          <w:color w:val="auto"/>
          <w:sz w:val="32"/>
          <w:szCs w:val="32"/>
        </w:rPr>
        <w:t>万元，占总支出</w:t>
      </w:r>
      <w:r>
        <w:rPr>
          <w:rFonts w:ascii="Times New Roman" w:hAnsi="Times New Roman" w:eastAsia="方正仿宋_GBK"/>
          <w:color w:val="auto"/>
          <w:sz w:val="32"/>
          <w:szCs w:val="32"/>
        </w:rPr>
        <w:t>24.74</w:t>
      </w:r>
      <w:r>
        <w:rPr>
          <w:rFonts w:hint="default" w:ascii="Times New Roman" w:hAnsi="Times New Roman" w:eastAsia="方正仿宋_GBK"/>
          <w:color w:val="auto"/>
          <w:sz w:val="32"/>
          <w:szCs w:val="32"/>
        </w:rPr>
        <w:t>%。较上年决算数增加8.</w:t>
      </w:r>
      <w:r>
        <w:rPr>
          <w:rFonts w:ascii="Times New Roman" w:hAnsi="Times New Roman" w:eastAsia="方正仿宋_GBK"/>
          <w:color w:val="auto"/>
          <w:sz w:val="32"/>
          <w:szCs w:val="32"/>
        </w:rPr>
        <w:t>13</w:t>
      </w:r>
      <w:r>
        <w:rPr>
          <w:rFonts w:hint="default" w:ascii="Times New Roman" w:hAnsi="Times New Roman" w:eastAsia="方正仿宋_GBK"/>
          <w:color w:val="auto"/>
          <w:sz w:val="32"/>
          <w:szCs w:val="32"/>
        </w:rPr>
        <w:t>万元，增长3.5</w:t>
      </w:r>
      <w:r>
        <w:rPr>
          <w:rFonts w:ascii="Times New Roman" w:hAnsi="Times New Roman" w:eastAsia="方正仿宋_GBK"/>
          <w:color w:val="auto"/>
          <w:sz w:val="32"/>
          <w:szCs w:val="32"/>
        </w:rPr>
        <w:t>8</w:t>
      </w:r>
      <w:r>
        <w:rPr>
          <w:rFonts w:hint="default" w:ascii="Times New Roman" w:hAnsi="Times New Roman" w:eastAsia="方正仿宋_GBK"/>
          <w:color w:val="auto"/>
          <w:sz w:val="32"/>
          <w:szCs w:val="32"/>
        </w:rPr>
        <w:t>%，主要原因是追加人员经费等。较年初预算数增加31.</w:t>
      </w:r>
      <w:r>
        <w:rPr>
          <w:rFonts w:hint="eastAsia" w:ascii="Times New Roman" w:hAnsi="Times New Roman" w:eastAsia="方正仿宋_GBK"/>
          <w:color w:val="auto"/>
          <w:sz w:val="32"/>
          <w:szCs w:val="32"/>
          <w:lang w:val="en-US" w:eastAsia="zh-CN"/>
        </w:rPr>
        <w:t>49</w:t>
      </w:r>
      <w:r>
        <w:rPr>
          <w:rFonts w:hint="default" w:ascii="Times New Roman" w:hAnsi="Times New Roman" w:eastAsia="方正仿宋_GBK"/>
          <w:color w:val="auto"/>
          <w:sz w:val="32"/>
          <w:szCs w:val="32"/>
        </w:rPr>
        <w:t>万元，增长15.4</w:t>
      </w:r>
      <w:r>
        <w:rPr>
          <w:rFonts w:hint="eastAsia" w:ascii="Times New Roman" w:hAnsi="Times New Roman" w:eastAsia="方正仿宋_GBK"/>
          <w:color w:val="auto"/>
          <w:sz w:val="32"/>
          <w:szCs w:val="32"/>
          <w:lang w:val="en-US" w:eastAsia="zh-CN"/>
        </w:rPr>
        <w:t>7</w:t>
      </w:r>
      <w:r>
        <w:rPr>
          <w:rFonts w:hint="default" w:ascii="Times New Roman" w:hAnsi="Times New Roman" w:eastAsia="方正仿宋_GBK"/>
          <w:color w:val="auto"/>
          <w:sz w:val="32"/>
          <w:szCs w:val="32"/>
        </w:rPr>
        <w:t>%。主要原因是年中追加安排2020年目标考核奖28.07万元，应休未休带薪年休假资金5.82万元，以及养老保险0.05万元，由于预算口径变化，追减预算收入2.56万元。</w:t>
      </w:r>
      <w:r>
        <w:rPr>
          <w:rFonts w:ascii="方正仿宋_GBK" w:hAnsi="方正仿宋_GBK" w:eastAsia="方正仿宋_GBK" w:cs="方正仿宋_GBK"/>
          <w:color w:val="auto"/>
          <w:sz w:val="32"/>
          <w:szCs w:val="32"/>
        </w:rPr>
        <w:t>此外，年初财政拨款结转和结余0.11万元。</w:t>
      </w:r>
    </w:p>
    <w:p>
      <w:pPr>
        <w:pStyle w:val="7"/>
        <w:keepNext w:val="0"/>
        <w:keepLines w:val="0"/>
        <w:pageBreakBefore w:val="0"/>
        <w:shd w:val="clear" w:color="auto" w:fill="FFFFFF"/>
        <w:kinsoku/>
        <w:wordWrap/>
        <w:overflowPunct/>
        <w:topLinePunct w:val="0"/>
        <w:autoSpaceDN/>
        <w:bidi w:val="0"/>
        <w:spacing w:line="600" w:lineRule="exact"/>
        <w:ind w:firstLine="642" w:firstLineChars="200"/>
        <w:jc w:val="both"/>
        <w:textAlignment w:val="auto"/>
        <w:rPr>
          <w:rStyle w:val="10"/>
          <w:rFonts w:hint="default" w:ascii="Times New Roman" w:hAnsi="Times New Roman" w:eastAsia="方正仿宋_GBK"/>
          <w:color w:val="auto"/>
          <w:sz w:val="31"/>
          <w:szCs w:val="31"/>
          <w:shd w:val="clear" w:color="auto" w:fill="FFFFFF"/>
        </w:rPr>
      </w:pPr>
      <w:r>
        <w:rPr>
          <w:rStyle w:val="10"/>
          <w:rFonts w:hint="default" w:ascii="Times New Roman" w:hAnsi="Times New Roman" w:eastAsia="方正仿宋_GBK"/>
          <w:snapToGrid w:val="0"/>
          <w:color w:val="auto"/>
          <w:sz w:val="32"/>
          <w:szCs w:val="32"/>
        </w:rPr>
        <w:t>3．结转结余情况。</w:t>
      </w:r>
      <w:r>
        <w:rPr>
          <w:rStyle w:val="10"/>
          <w:rFonts w:hint="default" w:ascii="Times New Roman" w:hAnsi="Times New Roman" w:eastAsia="方正仿宋_GBK"/>
          <w:b w:val="0"/>
          <w:bCs/>
          <w:snapToGrid w:val="0"/>
          <w:color w:val="auto"/>
          <w:sz w:val="32"/>
          <w:szCs w:val="32"/>
        </w:rPr>
        <w:t>2</w:t>
      </w:r>
      <w:r>
        <w:rPr>
          <w:rFonts w:hint="default" w:ascii="Times New Roman" w:hAnsi="Times New Roman" w:eastAsia="方正仿宋_GBK"/>
          <w:bCs/>
          <w:color w:val="auto"/>
          <w:sz w:val="32"/>
          <w:szCs w:val="32"/>
        </w:rPr>
        <w:t>021</w:t>
      </w:r>
      <w:r>
        <w:rPr>
          <w:rFonts w:hint="default" w:ascii="Times New Roman" w:hAnsi="Times New Roman" w:eastAsia="方正仿宋_GBK"/>
          <w:color w:val="auto"/>
          <w:sz w:val="32"/>
          <w:szCs w:val="32"/>
        </w:rPr>
        <w:t>年度结转结余0.00万元，占总支出0.00%。</w:t>
      </w:r>
      <w:r>
        <w:rPr>
          <w:rStyle w:val="10"/>
          <w:rFonts w:hint="default" w:ascii="Times New Roman" w:hAnsi="Times New Roman" w:eastAsia="方正仿宋_GBK"/>
          <w:color w:val="auto"/>
          <w:sz w:val="31"/>
          <w:szCs w:val="31"/>
          <w:shd w:val="clear" w:color="auto" w:fill="FFFFFF"/>
        </w:rPr>
        <w:t> </w:t>
      </w:r>
    </w:p>
    <w:p>
      <w:pPr>
        <w:pStyle w:val="7"/>
        <w:keepNext w:val="0"/>
        <w:keepLines w:val="0"/>
        <w:pageBreakBefore w:val="0"/>
        <w:widowControl/>
        <w:shd w:val="clear" w:color="auto" w:fill="FFFFFF"/>
        <w:kinsoku/>
        <w:wordWrap/>
        <w:overflowPunct/>
        <w:topLinePunct w:val="0"/>
        <w:autoSpaceDN/>
        <w:bidi w:val="0"/>
        <w:spacing w:line="600" w:lineRule="exact"/>
        <w:ind w:firstLine="642" w:firstLineChars="200"/>
        <w:jc w:val="both"/>
        <w:textAlignment w:val="auto"/>
        <w:rPr>
          <w:rFonts w:hint="default" w:ascii="Times New Roman" w:hAnsi="Times New Roman" w:eastAsia="方正仿宋_GBK"/>
          <w:color w:val="auto"/>
          <w:sz w:val="31"/>
          <w:szCs w:val="31"/>
          <w:shd w:val="clear" w:color="auto" w:fill="FFFFFF"/>
        </w:rPr>
      </w:pPr>
      <w:r>
        <w:rPr>
          <w:rStyle w:val="10"/>
          <w:rFonts w:hint="default" w:ascii="Times New Roman" w:hAnsi="Times New Roman" w:eastAsia="方正仿宋_GBK"/>
          <w:snapToGrid w:val="0"/>
          <w:color w:val="auto"/>
          <w:sz w:val="32"/>
          <w:szCs w:val="32"/>
        </w:rPr>
        <w:t>4.</w:t>
      </w:r>
      <w:r>
        <w:rPr>
          <w:rStyle w:val="10"/>
          <w:rFonts w:hint="eastAsia" w:ascii="Times New Roman" w:hAnsi="Times New Roman" w:eastAsia="方正仿宋_GBK"/>
          <w:snapToGrid w:val="0"/>
          <w:color w:val="auto"/>
          <w:sz w:val="32"/>
          <w:szCs w:val="32"/>
          <w:lang w:val="en-US" w:eastAsia="zh-CN"/>
        </w:rPr>
        <w:t xml:space="preserve"> </w:t>
      </w:r>
      <w:r>
        <w:rPr>
          <w:rStyle w:val="10"/>
          <w:rFonts w:hint="default" w:ascii="Times New Roman" w:hAnsi="Times New Roman" w:eastAsia="方正仿宋_GBK"/>
          <w:snapToGrid w:val="0"/>
          <w:color w:val="auto"/>
          <w:sz w:val="32"/>
          <w:szCs w:val="32"/>
        </w:rPr>
        <w:t>比较情况。</w:t>
      </w:r>
      <w:r>
        <w:rPr>
          <w:rFonts w:hint="default" w:ascii="Times New Roman" w:hAnsi="Times New Roman" w:eastAsia="方正仿宋_GBK"/>
          <w:color w:val="auto"/>
          <w:sz w:val="31"/>
          <w:szCs w:val="31"/>
          <w:shd w:val="clear" w:color="auto" w:fill="FFFFFF"/>
        </w:rPr>
        <w:t>本部门2021年度财政拨款支出主要用于以下几个方面：</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Times New Roman" w:hAnsi="Times New Roman" w:eastAsia="方正仿宋_GBK" w:cs="Times New Roman"/>
          <w:color w:val="auto"/>
          <w:sz w:val="32"/>
          <w:szCs w:val="32"/>
          <w:lang w:eastAsia="zh-CN"/>
        </w:rPr>
      </w:pPr>
      <w:r>
        <w:rPr>
          <w:rFonts w:hint="eastAsia" w:ascii="Times New Roman" w:hAnsi="Times New Roman" w:eastAsia="方正仿宋_GBK" w:cs="Times New Roman"/>
          <w:color w:val="auto"/>
          <w:sz w:val="32"/>
          <w:szCs w:val="32"/>
          <w:lang w:eastAsia="zh-CN"/>
        </w:rPr>
        <w:t>（</w:t>
      </w:r>
      <w:r>
        <w:rPr>
          <w:rFonts w:hint="eastAsia" w:ascii="Times New Roman" w:hAnsi="Times New Roman" w:eastAsia="方正仿宋_GBK" w:cs="Times New Roman"/>
          <w:color w:val="auto"/>
          <w:sz w:val="32"/>
          <w:szCs w:val="32"/>
          <w:lang w:val="en-US" w:eastAsia="zh-CN"/>
        </w:rPr>
        <w:t>1</w:t>
      </w:r>
      <w:r>
        <w:rPr>
          <w:rFonts w:hint="eastAsia"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rPr>
        <w:t>一般公共服务支出203.21万元，占86.48%，较年初预算数增加31.4</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万元，增长1</w:t>
      </w:r>
      <w:r>
        <w:rPr>
          <w:rFonts w:hint="default" w:ascii="Times New Roman" w:hAnsi="Times New Roman" w:eastAsia="方正仿宋_GBK" w:cs="Times New Roman"/>
          <w:color w:val="auto"/>
          <w:sz w:val="32"/>
          <w:szCs w:val="32"/>
          <w:lang w:val="en-US" w:eastAsia="zh-CN"/>
        </w:rPr>
        <w:t>8.3</w:t>
      </w:r>
      <w:r>
        <w:rPr>
          <w:rFonts w:hint="default" w:ascii="Times New Roman" w:hAnsi="Times New Roman" w:eastAsia="方正仿宋_GBK" w:cs="Times New Roman"/>
          <w:color w:val="auto"/>
          <w:sz w:val="32"/>
          <w:szCs w:val="32"/>
        </w:rPr>
        <w:t>%，主要原因是年中追加安排2020目标考核奖及带薪年休假资金</w:t>
      </w:r>
      <w:r>
        <w:rPr>
          <w:rFonts w:hint="eastAsia" w:ascii="Times New Roman" w:hAnsi="Times New Roman" w:eastAsia="方正仿宋_GBK" w:cs="Times New Roman"/>
          <w:color w:val="auto"/>
          <w:sz w:val="32"/>
          <w:szCs w:val="32"/>
          <w:lang w:eastAsia="zh-CN"/>
        </w:rPr>
        <w:t>。</w:t>
      </w:r>
    </w:p>
    <w:p>
      <w:pPr>
        <w:keepNext w:val="0"/>
        <w:keepLines w:val="0"/>
        <w:pageBreakBefore w:val="0"/>
        <w:kinsoku/>
        <w:wordWrap/>
        <w:overflowPunct/>
        <w:topLinePunct w:val="0"/>
        <w:autoSpaceDN/>
        <w:bidi w:val="0"/>
        <w:snapToGrid w:val="0"/>
        <w:spacing w:line="600" w:lineRule="exact"/>
        <w:ind w:firstLine="465" w:firstLineChars="15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1"/>
          <w:szCs w:val="31"/>
          <w:shd w:val="clear" w:color="auto" w:fill="FFFFFF"/>
        </w:rPr>
        <w:t>（2）</w:t>
      </w:r>
      <w:r>
        <w:rPr>
          <w:rFonts w:ascii="Times New Roman" w:hAnsi="Times New Roman" w:eastAsia="方正仿宋_GBK" w:cs="Times New Roman"/>
          <w:color w:val="auto"/>
          <w:sz w:val="32"/>
          <w:szCs w:val="32"/>
        </w:rPr>
        <w:t>社会保障与就业支出16.12万元，占6.</w:t>
      </w:r>
      <w:r>
        <w:rPr>
          <w:rFonts w:hint="eastAsia" w:ascii="Times New Roman" w:hAnsi="Times New Roman" w:eastAsia="方正仿宋_GBK" w:cs="Times New Roman"/>
          <w:color w:val="auto"/>
          <w:sz w:val="32"/>
          <w:szCs w:val="32"/>
        </w:rPr>
        <w:t>9</w:t>
      </w:r>
      <w:r>
        <w:rPr>
          <w:rFonts w:ascii="Times New Roman" w:hAnsi="Times New Roman" w:eastAsia="方正仿宋_GBK" w:cs="Times New Roman"/>
          <w:color w:val="auto"/>
          <w:sz w:val="32"/>
          <w:szCs w:val="32"/>
        </w:rPr>
        <w:t>%，较年初预算数增加0.05万元，增长0.03%，主要原因是年中追加安排养老保险。</w:t>
      </w:r>
    </w:p>
    <w:p>
      <w:pPr>
        <w:keepNext w:val="0"/>
        <w:keepLines w:val="0"/>
        <w:pageBreakBefore w:val="0"/>
        <w:kinsoku/>
        <w:wordWrap/>
        <w:overflowPunct/>
        <w:topLinePunct w:val="0"/>
        <w:autoSpaceDN/>
        <w:bidi w:val="0"/>
        <w:snapToGrid w:val="0"/>
        <w:spacing w:line="600" w:lineRule="exact"/>
        <w:ind w:firstLine="62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1"/>
          <w:szCs w:val="31"/>
          <w:shd w:val="clear" w:color="auto" w:fill="FFFFFF"/>
        </w:rPr>
        <w:t>（3）</w:t>
      </w:r>
      <w:r>
        <w:rPr>
          <w:rFonts w:ascii="Times New Roman" w:hAnsi="Times New Roman" w:eastAsia="方正仿宋_GBK" w:cs="Times New Roman"/>
          <w:color w:val="auto"/>
          <w:sz w:val="32"/>
          <w:szCs w:val="32"/>
        </w:rPr>
        <w:t>卫生健康支出7.73万元，占3.29%，与年初预算一致</w:t>
      </w:r>
      <w:r>
        <w:rPr>
          <w:rFonts w:ascii="Times New Roman" w:hAnsi="Times New Roman" w:eastAsia="方正仿宋_GBK" w:cs="Times New Roman"/>
          <w:color w:val="auto"/>
          <w:sz w:val="31"/>
          <w:szCs w:val="31"/>
          <w:shd w:val="clear" w:color="auto" w:fill="FFFFFF"/>
        </w:rPr>
        <w:t>无变化</w:t>
      </w:r>
      <w:r>
        <w:rPr>
          <w:rFonts w:ascii="Times New Roman" w:hAnsi="Times New Roman" w:eastAsia="方正仿宋_GBK" w:cs="Times New Roman"/>
          <w:color w:val="auto"/>
          <w:sz w:val="32"/>
          <w:szCs w:val="32"/>
        </w:rPr>
        <w:t>。</w:t>
      </w:r>
    </w:p>
    <w:p>
      <w:pPr>
        <w:keepNext w:val="0"/>
        <w:keepLines w:val="0"/>
        <w:pageBreakBefore w:val="0"/>
        <w:kinsoku/>
        <w:wordWrap/>
        <w:overflowPunct/>
        <w:topLinePunct w:val="0"/>
        <w:autoSpaceDN/>
        <w:bidi w:val="0"/>
        <w:snapToGrid w:val="0"/>
        <w:spacing w:line="600" w:lineRule="exact"/>
        <w:ind w:firstLine="620" w:firstLineChars="200"/>
        <w:jc w:val="both"/>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1"/>
          <w:szCs w:val="31"/>
          <w:shd w:val="clear" w:color="auto" w:fill="FFFFFF"/>
        </w:rPr>
        <w:t>（4）</w:t>
      </w:r>
      <w:r>
        <w:rPr>
          <w:rFonts w:ascii="Times New Roman" w:hAnsi="Times New Roman" w:eastAsia="方正仿宋_GBK" w:cs="Times New Roman"/>
          <w:color w:val="auto"/>
          <w:sz w:val="32"/>
          <w:szCs w:val="32"/>
        </w:rPr>
        <w:t>住房保障支出7.93万元，占3.3</w:t>
      </w:r>
      <w:r>
        <w:rPr>
          <w:rFonts w:hint="eastAsia" w:ascii="Times New Roman" w:hAnsi="Times New Roman" w:eastAsia="方正仿宋_GBK" w:cs="Times New Roman"/>
          <w:color w:val="auto"/>
          <w:sz w:val="32"/>
          <w:szCs w:val="32"/>
        </w:rPr>
        <w:t>7</w:t>
      </w:r>
      <w:r>
        <w:rPr>
          <w:rFonts w:ascii="Times New Roman" w:hAnsi="Times New Roman" w:eastAsia="方正仿宋_GBK" w:cs="Times New Roman"/>
          <w:color w:val="auto"/>
          <w:sz w:val="32"/>
          <w:szCs w:val="32"/>
        </w:rPr>
        <w:t>%，与年初预算一致</w:t>
      </w:r>
      <w:r>
        <w:rPr>
          <w:rFonts w:ascii="Times New Roman" w:hAnsi="Times New Roman" w:eastAsia="方正仿宋_GBK" w:cs="Times New Roman"/>
          <w:color w:val="auto"/>
          <w:sz w:val="31"/>
          <w:szCs w:val="31"/>
          <w:shd w:val="clear" w:color="auto" w:fill="FFFFFF"/>
        </w:rPr>
        <w:t>无变化</w:t>
      </w:r>
      <w:r>
        <w:rPr>
          <w:rFonts w:ascii="Times New Roman" w:hAnsi="Times New Roman" w:eastAsia="方正仿宋_GBK" w:cs="Times New Roman"/>
          <w:color w:val="auto"/>
          <w:sz w:val="32"/>
          <w:szCs w:val="32"/>
        </w:rPr>
        <w:t>。</w:t>
      </w:r>
    </w:p>
    <w:p>
      <w:pPr>
        <w:keepNext w:val="0"/>
        <w:keepLines w:val="0"/>
        <w:pageBreakBefore w:val="0"/>
        <w:kinsoku/>
        <w:wordWrap/>
        <w:overflowPunct/>
        <w:topLinePunct w:val="0"/>
        <w:autoSpaceDN/>
        <w:bidi w:val="0"/>
        <w:snapToGrid w:val="0"/>
        <w:spacing w:line="600" w:lineRule="exact"/>
        <w:ind w:firstLine="620" w:firstLineChars="200"/>
        <w:jc w:val="both"/>
        <w:textAlignment w:val="auto"/>
        <w:rPr>
          <w:rFonts w:ascii="Times New Roman" w:hAnsi="Times New Roman" w:eastAsia="微软雅黑" w:cs="Times New Roman"/>
          <w:color w:val="auto"/>
          <w:sz w:val="19"/>
          <w:szCs w:val="19"/>
        </w:rPr>
      </w:pPr>
      <w:r>
        <w:rPr>
          <w:rFonts w:ascii="Times New Roman" w:hAnsi="Times New Roman" w:eastAsia="方正仿宋_GBK" w:cs="Times New Roman"/>
          <w:color w:val="auto"/>
          <w:sz w:val="31"/>
          <w:szCs w:val="31"/>
          <w:shd w:val="clear" w:color="auto" w:fill="FFFFFF"/>
        </w:rPr>
        <w:t>（5）</w:t>
      </w:r>
      <w:r>
        <w:rPr>
          <w:rFonts w:ascii="Times New Roman" w:hAnsi="Times New Roman" w:eastAsia="方正仿宋_GBK" w:cs="Times New Roman"/>
          <w:color w:val="auto"/>
          <w:sz w:val="32"/>
          <w:szCs w:val="32"/>
        </w:rPr>
        <w:t>由于预算口径变化，追减预算收入2.56万元。</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color w:val="auto"/>
          <w:sz w:val="24"/>
          <w:szCs w:val="24"/>
        </w:rPr>
      </w:pPr>
      <w:r>
        <w:rPr>
          <w:rFonts w:hint="default" w:ascii="Times New Roman" w:hAnsi="Times New Roman" w:eastAsia="方正楷体_GBK"/>
          <w:color w:val="auto"/>
          <w:sz w:val="31"/>
          <w:szCs w:val="31"/>
          <w:shd w:val="clear" w:color="auto" w:fill="FFFFFF"/>
        </w:rPr>
        <w:t>（三）一般公共预算财政拨款基本支出决算情况说明</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eastAsia="方正仿宋_GBK"/>
          <w:color w:val="auto"/>
          <w:sz w:val="31"/>
          <w:szCs w:val="31"/>
          <w:shd w:val="clear" w:color="auto" w:fill="FFFFFF"/>
        </w:rPr>
      </w:pPr>
      <w:r>
        <w:rPr>
          <w:rFonts w:hint="default" w:ascii="Times New Roman" w:hAnsi="Times New Roman" w:eastAsia="方正仿宋_GBK"/>
          <w:color w:val="auto"/>
          <w:sz w:val="31"/>
          <w:szCs w:val="31"/>
          <w:shd w:val="clear" w:color="auto" w:fill="FFFFFF"/>
        </w:rPr>
        <w:t>本部门2021年度一般公共财政拨款基本支出176.86万元。其中：人员经费153.71万元，较上年决算数增加20.77万元，增</w:t>
      </w:r>
      <w:r>
        <w:rPr>
          <w:rFonts w:hint="default" w:ascii="Times New Roman" w:hAnsi="Times New Roman" w:eastAsia="方正仿宋_GBK"/>
          <w:color w:val="auto"/>
          <w:sz w:val="32"/>
          <w:szCs w:val="32"/>
        </w:rPr>
        <w:t>长</w:t>
      </w:r>
      <w:r>
        <w:rPr>
          <w:rFonts w:hint="default" w:ascii="Times New Roman" w:hAnsi="Times New Roman" w:eastAsia="方正仿宋_GBK"/>
          <w:color w:val="auto"/>
          <w:sz w:val="31"/>
          <w:szCs w:val="31"/>
          <w:shd w:val="clear" w:color="auto" w:fill="FFFFFF"/>
        </w:rPr>
        <w:t>15.6</w:t>
      </w:r>
      <w:r>
        <w:rPr>
          <w:rFonts w:ascii="Times New Roman" w:hAnsi="Times New Roman" w:eastAsia="方正仿宋_GBK"/>
          <w:color w:val="auto"/>
          <w:sz w:val="31"/>
          <w:szCs w:val="31"/>
          <w:shd w:val="clear" w:color="auto" w:fill="FFFFFF"/>
        </w:rPr>
        <w:t>2</w:t>
      </w:r>
      <w:r>
        <w:rPr>
          <w:rFonts w:hint="default" w:ascii="Times New Roman" w:hAnsi="Times New Roman" w:eastAsia="方正仿宋_GBK"/>
          <w:color w:val="auto"/>
          <w:sz w:val="31"/>
          <w:szCs w:val="31"/>
          <w:shd w:val="clear" w:color="auto" w:fill="FFFFFF"/>
        </w:rPr>
        <w:t>%，</w:t>
      </w:r>
      <w:r>
        <w:rPr>
          <w:rFonts w:hint="default" w:ascii="Times New Roman" w:hAnsi="Times New Roman" w:eastAsia="方正仿宋_GBK"/>
          <w:color w:val="auto"/>
          <w:sz w:val="32"/>
          <w:szCs w:val="32"/>
        </w:rPr>
        <w:t>主要原因是：2021年中追加安排2020度目标考核奖及</w:t>
      </w:r>
      <w:r>
        <w:rPr>
          <w:rFonts w:hint="default" w:ascii="Times New Roman" w:hAnsi="Times New Roman" w:eastAsia="方正仿宋_GBK"/>
          <w:color w:val="auto"/>
          <w:sz w:val="31"/>
          <w:szCs w:val="31"/>
          <w:shd w:val="clear" w:color="auto" w:fill="FFFFFF"/>
        </w:rPr>
        <w:t>人员经费</w:t>
      </w:r>
      <w:r>
        <w:rPr>
          <w:rFonts w:hint="default" w:ascii="Times New Roman" w:hAnsi="Times New Roman" w:eastAsia="方正仿宋_GBK"/>
          <w:color w:val="auto"/>
          <w:sz w:val="32"/>
          <w:szCs w:val="32"/>
        </w:rPr>
        <w:t>等</w:t>
      </w:r>
      <w:r>
        <w:rPr>
          <w:rFonts w:hint="default" w:ascii="Times New Roman" w:hAnsi="Times New Roman" w:eastAsia="方正仿宋_GBK"/>
          <w:color w:val="auto"/>
          <w:sz w:val="31"/>
          <w:szCs w:val="31"/>
          <w:shd w:val="clear" w:color="auto" w:fill="FFFFFF"/>
        </w:rPr>
        <w:t>。人员经费用途主要包括基本工资、津贴补贴、奖金、社会保障缴费、绩效工资、其他工资福利支出、遗属生活补助、医疗费、住房公积金。公用经费23.16万元，较上年决算数减少9.94万元，减少30.03%，主要原因是：2021年</w:t>
      </w:r>
      <w:r>
        <w:rPr>
          <w:rFonts w:hint="default" w:ascii="Times New Roman" w:hAnsi="Times New Roman" w:eastAsia="方正仿宋_GBK"/>
          <w:bCs/>
          <w:color w:val="auto"/>
          <w:sz w:val="32"/>
          <w:szCs w:val="32"/>
        </w:rPr>
        <w:t>预算口径变化，差旅费减少</w:t>
      </w:r>
      <w:r>
        <w:rPr>
          <w:rFonts w:hint="default" w:ascii="Times New Roman" w:hAnsi="Times New Roman" w:eastAsia="方正仿宋_GBK"/>
          <w:color w:val="auto"/>
          <w:sz w:val="31"/>
          <w:szCs w:val="31"/>
          <w:shd w:val="clear" w:color="auto" w:fill="FFFFFF"/>
        </w:rPr>
        <w:t>。公用经费用途主要包括办公费、印刷费、水费、电费、邮电费、咨询费、手续费、差旅费、维修费、会议费、培训费、公务接待费、劳务费、工会经费、福利费、公务车运行维护费、其他商品和服务支出。</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color w:val="auto"/>
          <w:sz w:val="24"/>
          <w:szCs w:val="24"/>
        </w:rPr>
      </w:pPr>
      <w:r>
        <w:rPr>
          <w:rFonts w:hint="default" w:ascii="Times New Roman" w:hAnsi="Times New Roman" w:eastAsia="方正楷体_GBK"/>
          <w:color w:val="auto"/>
          <w:sz w:val="31"/>
          <w:szCs w:val="31"/>
          <w:shd w:val="clear" w:color="auto" w:fill="FFFFFF"/>
        </w:rPr>
        <w:t>（四）政府性基金预算收支决算情况说明。</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color w:val="auto"/>
          <w:sz w:val="24"/>
          <w:szCs w:val="24"/>
        </w:rPr>
      </w:pPr>
      <w:r>
        <w:rPr>
          <w:rFonts w:hint="default" w:ascii="Times New Roman" w:hAnsi="Times New Roman" w:eastAsia="方正仿宋_GBK"/>
          <w:color w:val="auto"/>
          <w:sz w:val="31"/>
          <w:szCs w:val="31"/>
          <w:shd w:val="clear" w:color="auto" w:fill="FFFFFF"/>
        </w:rPr>
        <w:t>2021年度本单位无政府性基金预算财政拨款收支。</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eastAsia="方正楷体_GBK"/>
          <w:color w:val="auto"/>
          <w:sz w:val="31"/>
          <w:szCs w:val="31"/>
          <w:shd w:val="clear" w:color="auto" w:fill="FFFFFF"/>
        </w:rPr>
      </w:pPr>
      <w:r>
        <w:rPr>
          <w:rFonts w:hint="default" w:ascii="Times New Roman" w:hAnsi="Times New Roman" w:eastAsia="方正楷体_GBK"/>
          <w:color w:val="auto"/>
          <w:sz w:val="31"/>
          <w:szCs w:val="31"/>
          <w:shd w:val="clear" w:color="auto" w:fill="FFFFFF"/>
        </w:rPr>
        <w:t>（五）国有资本经营预算财政拨款支出决算情况说明</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color w:val="auto"/>
          <w:sz w:val="24"/>
          <w:szCs w:val="24"/>
        </w:rPr>
      </w:pPr>
      <w:r>
        <w:rPr>
          <w:rFonts w:hint="default" w:ascii="Times New Roman" w:hAnsi="Times New Roman" w:eastAsia="方正仿宋_GBK"/>
          <w:color w:val="auto"/>
          <w:sz w:val="31"/>
          <w:szCs w:val="31"/>
          <w:shd w:val="clear" w:color="auto" w:fill="FFFFFF"/>
        </w:rPr>
        <w:t>2021年度本单位无</w:t>
      </w:r>
      <w:r>
        <w:rPr>
          <w:rStyle w:val="10"/>
          <w:rFonts w:hint="default" w:ascii="Times New Roman" w:hAnsi="Times New Roman" w:eastAsia="方正仿宋_GBK"/>
          <w:b w:val="0"/>
          <w:color w:val="auto"/>
          <w:sz w:val="31"/>
          <w:szCs w:val="31"/>
          <w:shd w:val="clear" w:color="auto" w:fill="FFFFFF"/>
        </w:rPr>
        <w:t>国有资本经营预算财政拨款支出。</w:t>
      </w:r>
    </w:p>
    <w:p>
      <w:pPr>
        <w:pStyle w:val="7"/>
        <w:keepNext w:val="0"/>
        <w:keepLines w:val="0"/>
        <w:pageBreakBefore w:val="0"/>
        <w:shd w:val="clear" w:color="auto" w:fill="FFFFFF"/>
        <w:kinsoku/>
        <w:wordWrap/>
        <w:overflowPunct/>
        <w:topLinePunct w:val="0"/>
        <w:autoSpaceDN/>
        <w:bidi w:val="0"/>
        <w:spacing w:line="600" w:lineRule="exact"/>
        <w:ind w:firstLine="620" w:firstLineChars="200"/>
        <w:jc w:val="both"/>
        <w:textAlignment w:val="auto"/>
        <w:rPr>
          <w:rStyle w:val="10"/>
          <w:rFonts w:hint="default" w:ascii="Times New Roman" w:hAnsi="Times New Roman" w:eastAsia="方正仿宋_GBK"/>
          <w:color w:val="auto"/>
          <w:sz w:val="31"/>
          <w:szCs w:val="31"/>
          <w:shd w:val="clear" w:color="auto" w:fill="FFFFFF"/>
        </w:rPr>
      </w:pPr>
      <w:r>
        <w:rPr>
          <w:rFonts w:hint="default" w:ascii="Times New Roman" w:hAnsi="Times New Roman" w:eastAsia="方正黑体_GBK"/>
          <w:color w:val="auto"/>
          <w:sz w:val="31"/>
          <w:szCs w:val="31"/>
          <w:shd w:val="clear" w:color="auto" w:fill="FFFFFF"/>
        </w:rPr>
        <w:t>三、</w:t>
      </w:r>
      <w:r>
        <w:rPr>
          <w:rFonts w:hint="eastAsia" w:ascii="Times New Roman" w:hAnsi="Times New Roman" w:eastAsia="方正黑体_GBK"/>
          <w:color w:val="auto"/>
          <w:sz w:val="31"/>
          <w:szCs w:val="31"/>
          <w:shd w:val="clear" w:color="auto" w:fill="FFFFFF"/>
          <w:lang w:eastAsia="zh-CN"/>
        </w:rPr>
        <w:t>“三公”</w:t>
      </w:r>
      <w:r>
        <w:rPr>
          <w:rFonts w:hint="default" w:ascii="Times New Roman" w:hAnsi="Times New Roman" w:eastAsia="方正黑体_GBK"/>
          <w:color w:val="auto"/>
          <w:sz w:val="31"/>
          <w:szCs w:val="31"/>
          <w:shd w:val="clear" w:color="auto" w:fill="FFFFFF"/>
        </w:rPr>
        <w:t>经费情况说明</w:t>
      </w:r>
    </w:p>
    <w:p>
      <w:pPr>
        <w:pStyle w:val="7"/>
        <w:keepNext w:val="0"/>
        <w:keepLines w:val="0"/>
        <w:pageBreakBefore w:val="0"/>
        <w:widowControl/>
        <w:shd w:val="clear" w:color="auto" w:fill="FFFFFF"/>
        <w:kinsoku/>
        <w:wordWrap/>
        <w:overflowPunct/>
        <w:topLinePunct w:val="0"/>
        <w:autoSpaceDN/>
        <w:bidi w:val="0"/>
        <w:spacing w:line="600" w:lineRule="exact"/>
        <w:ind w:firstLine="619"/>
        <w:jc w:val="both"/>
        <w:textAlignment w:val="auto"/>
        <w:rPr>
          <w:rFonts w:hint="default" w:ascii="方正楷体_GBK" w:hAnsi="方正楷体_GBK" w:eastAsia="方正楷体_GBK" w:cs="方正楷体_GBK"/>
          <w:bCs/>
          <w:color w:val="auto"/>
          <w:sz w:val="19"/>
          <w:szCs w:val="19"/>
        </w:rPr>
      </w:pPr>
      <w:r>
        <w:rPr>
          <w:rStyle w:val="10"/>
          <w:rFonts w:ascii="方正楷体_GBK" w:hAnsi="方正楷体_GBK" w:eastAsia="方正楷体_GBK" w:cs="方正楷体_GBK"/>
          <w:b w:val="0"/>
          <w:bCs/>
          <w:color w:val="auto"/>
          <w:sz w:val="32"/>
          <w:szCs w:val="32"/>
          <w:shd w:val="clear" w:color="auto" w:fill="FFFFFF"/>
        </w:rPr>
        <w:t>（一）</w:t>
      </w:r>
      <w:r>
        <w:rPr>
          <w:rStyle w:val="10"/>
          <w:rFonts w:hint="eastAsia" w:ascii="方正楷体_GBK" w:hAnsi="方正楷体_GBK" w:eastAsia="方正楷体_GBK" w:cs="方正楷体_GBK"/>
          <w:b w:val="0"/>
          <w:bCs/>
          <w:color w:val="auto"/>
          <w:sz w:val="32"/>
          <w:szCs w:val="32"/>
          <w:shd w:val="clear" w:color="auto" w:fill="FFFFFF"/>
          <w:lang w:eastAsia="zh-CN"/>
        </w:rPr>
        <w:t>“三公”</w:t>
      </w:r>
      <w:r>
        <w:rPr>
          <w:rStyle w:val="10"/>
          <w:rFonts w:ascii="方正楷体_GBK" w:hAnsi="方正楷体_GBK" w:eastAsia="方正楷体_GBK" w:cs="方正楷体_GBK"/>
          <w:b w:val="0"/>
          <w:bCs/>
          <w:color w:val="auto"/>
          <w:sz w:val="32"/>
          <w:szCs w:val="32"/>
          <w:shd w:val="clear" w:color="auto" w:fill="FFFFFF"/>
        </w:rPr>
        <w:t>经费支出总体情况说明</w:t>
      </w:r>
    </w:p>
    <w:p>
      <w:pPr>
        <w:keepNext w:val="0"/>
        <w:keepLines w:val="0"/>
        <w:pageBreakBefore w:val="0"/>
        <w:kinsoku/>
        <w:wordWrap/>
        <w:overflowPunct/>
        <w:topLinePunct w:val="0"/>
        <w:autoSpaceDN/>
        <w:bidi w:val="0"/>
        <w:spacing w:line="600" w:lineRule="exact"/>
        <w:ind w:firstLine="640" w:firstLineChars="200"/>
        <w:jc w:val="both"/>
        <w:textAlignment w:val="auto"/>
        <w:rPr>
          <w:rFonts w:ascii="Times New Roman" w:hAnsi="Times New Roman" w:eastAsia="方正仿宋_GBK" w:cs="Times New Roman"/>
          <w:color w:val="auto"/>
          <w:sz w:val="31"/>
          <w:szCs w:val="31"/>
          <w:shd w:val="clear" w:color="auto" w:fill="FFFFFF"/>
        </w:rPr>
      </w:pPr>
      <w:bookmarkStart w:id="1" w:name="page11"/>
      <w:bookmarkEnd w:id="1"/>
      <w:r>
        <w:rPr>
          <w:rFonts w:hint="eastAsia" w:ascii="Times New Roman" w:hAnsi="Times New Roman" w:eastAsia="方正仿宋_GBK" w:cs="Times New Roman"/>
          <w:color w:val="auto"/>
          <w:sz w:val="32"/>
          <w:szCs w:val="32"/>
          <w:lang w:eastAsia="zh-CN"/>
        </w:rPr>
        <w:t>“三公”</w:t>
      </w:r>
      <w:r>
        <w:rPr>
          <w:rFonts w:ascii="Times New Roman" w:hAnsi="Times New Roman" w:eastAsia="方正仿宋_GBK" w:cs="Times New Roman"/>
          <w:color w:val="auto"/>
          <w:sz w:val="32"/>
          <w:szCs w:val="32"/>
        </w:rPr>
        <w:t>经费（公务接待费）预算数为</w:t>
      </w:r>
      <w:r>
        <w:rPr>
          <w:rFonts w:hint="eastAsia" w:ascii="Times New Roman" w:hAnsi="Times New Roman" w:eastAsia="方正仿宋_GBK" w:cs="Times New Roman"/>
          <w:color w:val="auto"/>
          <w:sz w:val="32"/>
          <w:szCs w:val="32"/>
        </w:rPr>
        <w:t>7</w:t>
      </w:r>
      <w:r>
        <w:rPr>
          <w:rFonts w:ascii="Times New Roman" w:hAnsi="Times New Roman" w:eastAsia="方正仿宋_GBK" w:cs="Times New Roman"/>
          <w:color w:val="auto"/>
          <w:sz w:val="32"/>
          <w:szCs w:val="32"/>
        </w:rPr>
        <w:t>万元。外事接待和因公出国（境）费用未纳入。2021年度</w:t>
      </w:r>
      <w:r>
        <w:rPr>
          <w:rFonts w:hint="eastAsia" w:ascii="Times New Roman" w:hAnsi="Times New Roman" w:eastAsia="方正仿宋_GBK" w:cs="Times New Roman"/>
          <w:color w:val="auto"/>
          <w:sz w:val="32"/>
          <w:szCs w:val="32"/>
          <w:lang w:eastAsia="zh-CN"/>
        </w:rPr>
        <w:t>“三公”</w:t>
      </w:r>
      <w:r>
        <w:rPr>
          <w:rFonts w:ascii="Times New Roman" w:hAnsi="Times New Roman" w:eastAsia="方正仿宋_GBK" w:cs="Times New Roman"/>
          <w:color w:val="auto"/>
          <w:sz w:val="32"/>
          <w:szCs w:val="32"/>
        </w:rPr>
        <w:t>经费支出共计5.35万元，与去年相比减少6.6</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万元。减幅55.27%。其中：公务接待费3.2</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万元（含外事接待费），人均接待费226.00元。公务车运行维护费2.1</w:t>
      </w: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万元。车均运行维护费2.1</w:t>
      </w:r>
      <w:r>
        <w:rPr>
          <w:rFonts w:hint="eastAsia" w:ascii="Times New Roman" w:hAnsi="Times New Roman" w:eastAsia="方正仿宋_GBK" w:cs="Times New Roman"/>
          <w:color w:val="auto"/>
          <w:sz w:val="32"/>
          <w:szCs w:val="32"/>
        </w:rPr>
        <w:t>4</w:t>
      </w:r>
      <w:r>
        <w:rPr>
          <w:rFonts w:ascii="Times New Roman" w:hAnsi="Times New Roman" w:eastAsia="方正仿宋_GBK" w:cs="Times New Roman"/>
          <w:color w:val="auto"/>
          <w:sz w:val="32"/>
          <w:szCs w:val="32"/>
        </w:rPr>
        <w:t>万元；年度减少原因主要是：一是我办认真贯彻落实厉行节约要求，按照只减不增的要求从严控制</w:t>
      </w:r>
      <w:r>
        <w:rPr>
          <w:rFonts w:hint="eastAsia" w:ascii="Times New Roman" w:hAnsi="Times New Roman" w:eastAsia="方正仿宋_GBK" w:cs="Times New Roman"/>
          <w:color w:val="auto"/>
          <w:sz w:val="32"/>
          <w:szCs w:val="32"/>
          <w:lang w:eastAsia="zh-CN"/>
        </w:rPr>
        <w:t>“三公”</w:t>
      </w:r>
      <w:r>
        <w:rPr>
          <w:rFonts w:ascii="Times New Roman" w:hAnsi="Times New Roman" w:eastAsia="方正仿宋_GBK" w:cs="Times New Roman"/>
          <w:color w:val="auto"/>
          <w:sz w:val="32"/>
          <w:szCs w:val="32"/>
        </w:rPr>
        <w:t>经费；二是严格按</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重庆市党政机关外宾接待经费管理办法</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渝财行</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2014</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44号</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的通知执行，始终坚持勤俭办外事的原则；三是受全球新</w:t>
      </w:r>
      <w:r>
        <w:rPr>
          <w:rFonts w:hint="eastAsia" w:ascii="Times New Roman" w:hAnsi="Times New Roman" w:eastAsia="方正仿宋_GBK" w:cs="Times New Roman"/>
          <w:color w:val="auto"/>
          <w:sz w:val="32"/>
          <w:szCs w:val="32"/>
        </w:rPr>
        <w:t>冠</w:t>
      </w:r>
      <w:r>
        <w:rPr>
          <w:rFonts w:ascii="Times New Roman" w:hAnsi="Times New Roman" w:eastAsia="方正仿宋_GBK" w:cs="Times New Roman"/>
          <w:color w:val="auto"/>
          <w:sz w:val="32"/>
          <w:szCs w:val="32"/>
        </w:rPr>
        <w:t>疫情影响，对外交往、外事接待支出同去年相比有较大幅度减少；四是制定公务用车管理制度，实行公务车使用审批制度、定点维修、定点加油</w:t>
      </w:r>
      <w:r>
        <w:rPr>
          <w:rFonts w:ascii="Times New Roman" w:hAnsi="Times New Roman" w:eastAsia="方正仿宋_GBK" w:cs="Times New Roman"/>
          <w:color w:val="auto"/>
          <w:sz w:val="32"/>
        </w:rPr>
        <w:t>；</w:t>
      </w:r>
      <w:r>
        <w:rPr>
          <w:rFonts w:ascii="Times New Roman" w:hAnsi="Times New Roman" w:eastAsia="方正仿宋_GBK" w:cs="Times New Roman"/>
          <w:color w:val="auto"/>
          <w:sz w:val="31"/>
          <w:szCs w:val="31"/>
          <w:shd w:val="clear" w:color="auto" w:fill="FFFFFF"/>
        </w:rPr>
        <w:t>降低公务车运行成本。</w:t>
      </w:r>
    </w:p>
    <w:p>
      <w:pPr>
        <w:pStyle w:val="7"/>
        <w:keepNext w:val="0"/>
        <w:keepLines w:val="0"/>
        <w:pageBreakBefore w:val="0"/>
        <w:widowControl/>
        <w:numPr>
          <w:ilvl w:val="0"/>
          <w:numId w:val="2"/>
        </w:numPr>
        <w:shd w:val="clear" w:color="auto" w:fill="FFFFFF"/>
        <w:kinsoku/>
        <w:wordWrap/>
        <w:overflowPunct/>
        <w:topLinePunct w:val="0"/>
        <w:autoSpaceDN/>
        <w:bidi w:val="0"/>
        <w:spacing w:line="600" w:lineRule="exact"/>
        <w:ind w:firstLine="645"/>
        <w:jc w:val="both"/>
        <w:textAlignment w:val="auto"/>
        <w:rPr>
          <w:rFonts w:hint="default" w:ascii="Times New Roman" w:hAnsi="Times New Roman" w:eastAsia="方正楷体_GBK"/>
          <w:color w:val="auto"/>
          <w:sz w:val="31"/>
          <w:szCs w:val="31"/>
          <w:shd w:val="clear" w:color="auto" w:fill="FFFFFF"/>
        </w:rPr>
      </w:pPr>
      <w:r>
        <w:rPr>
          <w:rFonts w:hint="eastAsia" w:ascii="Times New Roman" w:hAnsi="Times New Roman" w:eastAsia="方正楷体_GBK"/>
          <w:color w:val="auto"/>
          <w:sz w:val="31"/>
          <w:szCs w:val="31"/>
          <w:shd w:val="clear" w:color="auto" w:fill="FFFFFF"/>
          <w:lang w:eastAsia="zh-CN"/>
        </w:rPr>
        <w:t>“三公”</w:t>
      </w:r>
      <w:r>
        <w:rPr>
          <w:rFonts w:hint="default" w:ascii="Times New Roman" w:hAnsi="Times New Roman" w:eastAsia="方正楷体_GBK"/>
          <w:color w:val="auto"/>
          <w:sz w:val="31"/>
          <w:szCs w:val="31"/>
          <w:shd w:val="clear" w:color="auto" w:fill="FFFFFF"/>
        </w:rPr>
        <w:t>经费分项支出情况</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color w:val="auto"/>
          <w:sz w:val="24"/>
          <w:szCs w:val="24"/>
        </w:rPr>
      </w:pPr>
      <w:r>
        <w:rPr>
          <w:rFonts w:hint="default" w:ascii="Times New Roman" w:hAnsi="Times New Roman" w:eastAsia="方正仿宋_GBK"/>
          <w:color w:val="auto"/>
          <w:sz w:val="31"/>
          <w:szCs w:val="31"/>
          <w:shd w:val="clear" w:color="auto" w:fill="FFFFFF"/>
        </w:rPr>
        <w:t>2021年度本部门因公出国（境）费用0万元，本单位2021年度未发生因公出国（境）费用。费用支出较年初预算增加0万元，与上年持平。较上年支出数增加0万元，与上年持平。</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仿宋_GBK"/>
          <w:color w:val="auto"/>
          <w:sz w:val="31"/>
          <w:szCs w:val="31"/>
          <w:shd w:val="clear" w:color="auto" w:fill="FFFFFF"/>
        </w:rPr>
        <w:t>公务车购置费0万元，费用支出较年初预算数无增长，主要原因是本单位2021年无公务车购置费的预算。较上年支出数增加0万元，与上年持平。</w:t>
      </w:r>
    </w:p>
    <w:p>
      <w:pPr>
        <w:keepNext w:val="0"/>
        <w:keepLines w:val="0"/>
        <w:pageBreakBefore w:val="0"/>
        <w:kinsoku/>
        <w:wordWrap/>
        <w:overflowPunct/>
        <w:topLinePunct w:val="0"/>
        <w:autoSpaceDN/>
        <w:bidi w:val="0"/>
        <w:spacing w:line="600" w:lineRule="exact"/>
        <w:ind w:firstLine="620" w:firstLineChars="200"/>
        <w:jc w:val="both"/>
        <w:textAlignment w:val="auto"/>
        <w:rPr>
          <w:rFonts w:ascii="Times New Roman" w:hAnsi="Times New Roman" w:eastAsia="方正仿宋_GBK" w:cs="Times New Roman"/>
          <w:color w:val="auto"/>
          <w:sz w:val="31"/>
          <w:szCs w:val="31"/>
          <w:shd w:val="clear" w:color="auto" w:fill="FFFFFF"/>
        </w:rPr>
      </w:pPr>
      <w:r>
        <w:rPr>
          <w:rFonts w:ascii="Times New Roman" w:hAnsi="Times New Roman" w:eastAsia="方正仿宋_GBK" w:cs="Times New Roman"/>
          <w:color w:val="auto"/>
          <w:sz w:val="31"/>
          <w:szCs w:val="31"/>
          <w:shd w:val="clear" w:color="auto" w:fill="FFFFFF"/>
        </w:rPr>
        <w:t>公务车运行维护费2.1</w:t>
      </w:r>
      <w:r>
        <w:rPr>
          <w:rFonts w:hint="eastAsia" w:ascii="Times New Roman" w:hAnsi="Times New Roman" w:eastAsia="方正仿宋_GBK" w:cs="Times New Roman"/>
          <w:color w:val="auto"/>
          <w:sz w:val="31"/>
          <w:szCs w:val="31"/>
          <w:shd w:val="clear" w:color="auto" w:fill="FFFFFF"/>
        </w:rPr>
        <w:t>4</w:t>
      </w:r>
      <w:r>
        <w:rPr>
          <w:rFonts w:ascii="Times New Roman" w:hAnsi="Times New Roman" w:eastAsia="方正仿宋_GBK" w:cs="Times New Roman"/>
          <w:color w:val="auto"/>
          <w:sz w:val="31"/>
          <w:szCs w:val="31"/>
          <w:shd w:val="clear" w:color="auto" w:fill="FFFFFF"/>
        </w:rPr>
        <w:t>万元，主要用于机要文件交换、市内因公出行、财政业务检查等工作所需车辆的燃料费、维修费、过桥过路费、保险费等。费用支出较年初预算数减少0.8</w:t>
      </w:r>
      <w:r>
        <w:rPr>
          <w:rFonts w:hint="eastAsia" w:ascii="Times New Roman" w:hAnsi="Times New Roman" w:eastAsia="方正仿宋_GBK" w:cs="Times New Roman"/>
          <w:color w:val="auto"/>
          <w:sz w:val="31"/>
          <w:szCs w:val="31"/>
          <w:shd w:val="clear" w:color="auto" w:fill="FFFFFF"/>
        </w:rPr>
        <w:t>6</w:t>
      </w:r>
      <w:r>
        <w:rPr>
          <w:rFonts w:ascii="Times New Roman" w:hAnsi="Times New Roman" w:eastAsia="方正仿宋_GBK" w:cs="Times New Roman"/>
          <w:color w:val="auto"/>
          <w:sz w:val="31"/>
          <w:szCs w:val="31"/>
          <w:shd w:val="clear" w:color="auto" w:fill="FFFFFF"/>
        </w:rPr>
        <w:t>万元，下降</w:t>
      </w:r>
      <w:r>
        <w:rPr>
          <w:rFonts w:hint="eastAsia" w:ascii="Times New Roman" w:hAnsi="Times New Roman" w:eastAsia="方正仿宋_GBK" w:cs="Times New Roman"/>
          <w:color w:val="auto"/>
          <w:sz w:val="31"/>
          <w:szCs w:val="31"/>
          <w:shd w:val="clear" w:color="auto" w:fill="FFFFFF"/>
        </w:rPr>
        <w:t>28.66</w:t>
      </w:r>
      <w:r>
        <w:rPr>
          <w:rFonts w:ascii="Times New Roman" w:hAnsi="Times New Roman" w:eastAsia="方正仿宋_GBK" w:cs="Times New Roman"/>
          <w:color w:val="auto"/>
          <w:sz w:val="31"/>
          <w:szCs w:val="31"/>
          <w:shd w:val="clear" w:color="auto" w:fill="FFFFFF"/>
        </w:rPr>
        <w:t>%，主要原因是</w:t>
      </w:r>
      <w:r>
        <w:rPr>
          <w:rFonts w:ascii="Times New Roman" w:hAnsi="Times New Roman" w:eastAsia="方正仿宋_GBK" w:cs="Times New Roman"/>
          <w:color w:val="auto"/>
          <w:sz w:val="32"/>
          <w:szCs w:val="32"/>
        </w:rPr>
        <w:t>制定公务用车管理制度，实行公务车使用审批制度、定点维修、定点加油</w:t>
      </w:r>
      <w:r>
        <w:rPr>
          <w:rFonts w:ascii="Times New Roman" w:hAnsi="Times New Roman" w:eastAsia="方正仿宋_GBK" w:cs="Times New Roman"/>
          <w:color w:val="auto"/>
          <w:sz w:val="32"/>
        </w:rPr>
        <w:t>；</w:t>
      </w:r>
      <w:r>
        <w:rPr>
          <w:rFonts w:ascii="Times New Roman" w:hAnsi="Times New Roman" w:eastAsia="方正仿宋_GBK" w:cs="Times New Roman"/>
          <w:color w:val="auto"/>
          <w:sz w:val="31"/>
          <w:szCs w:val="31"/>
          <w:shd w:val="clear" w:color="auto" w:fill="FFFFFF"/>
        </w:rPr>
        <w:t>降低公务车运行成本。较上年支出数减少0.8</w:t>
      </w:r>
      <w:r>
        <w:rPr>
          <w:rFonts w:hint="eastAsia" w:ascii="Times New Roman" w:hAnsi="Times New Roman" w:eastAsia="方正仿宋_GBK" w:cs="Times New Roman"/>
          <w:color w:val="auto"/>
          <w:sz w:val="31"/>
          <w:szCs w:val="31"/>
          <w:shd w:val="clear" w:color="auto" w:fill="FFFFFF"/>
        </w:rPr>
        <w:t>1</w:t>
      </w:r>
      <w:r>
        <w:rPr>
          <w:rFonts w:ascii="Times New Roman" w:hAnsi="Times New Roman" w:eastAsia="方正仿宋_GBK" w:cs="Times New Roman"/>
          <w:color w:val="auto"/>
          <w:sz w:val="31"/>
          <w:szCs w:val="31"/>
          <w:shd w:val="clear" w:color="auto" w:fill="FFFFFF"/>
        </w:rPr>
        <w:t>万元，减少27.</w:t>
      </w:r>
      <w:r>
        <w:rPr>
          <w:rFonts w:hint="eastAsia" w:ascii="Times New Roman" w:hAnsi="Times New Roman" w:eastAsia="方正仿宋_GBK" w:cs="Times New Roman"/>
          <w:color w:val="auto"/>
          <w:sz w:val="31"/>
          <w:szCs w:val="31"/>
          <w:shd w:val="clear" w:color="auto" w:fill="FFFFFF"/>
        </w:rPr>
        <w:t>46</w:t>
      </w:r>
      <w:r>
        <w:rPr>
          <w:rFonts w:ascii="Times New Roman" w:hAnsi="Times New Roman" w:eastAsia="方正仿宋_GBK" w:cs="Times New Roman"/>
          <w:color w:val="auto"/>
          <w:sz w:val="31"/>
          <w:szCs w:val="31"/>
          <w:shd w:val="clear" w:color="auto" w:fill="FFFFFF"/>
        </w:rPr>
        <w:t>%。 </w:t>
      </w:r>
    </w:p>
    <w:p>
      <w:pPr>
        <w:keepNext w:val="0"/>
        <w:keepLines w:val="0"/>
        <w:pageBreakBefore w:val="0"/>
        <w:kinsoku/>
        <w:wordWrap/>
        <w:overflowPunct/>
        <w:topLinePunct w:val="0"/>
        <w:autoSpaceDN/>
        <w:bidi w:val="0"/>
        <w:spacing w:line="600" w:lineRule="exact"/>
        <w:ind w:firstLine="620" w:firstLineChars="200"/>
        <w:jc w:val="both"/>
        <w:textAlignment w:val="auto"/>
        <w:rPr>
          <w:rFonts w:ascii="Times New Roman" w:hAnsi="Times New Roman" w:eastAsia="方正仿宋_GBK" w:cs="Times New Roman"/>
          <w:color w:val="auto"/>
          <w:sz w:val="32"/>
        </w:rPr>
      </w:pPr>
      <w:r>
        <w:rPr>
          <w:rFonts w:ascii="Times New Roman" w:hAnsi="Times New Roman" w:eastAsia="方正仿宋_GBK" w:cs="Times New Roman"/>
          <w:color w:val="auto"/>
          <w:sz w:val="31"/>
          <w:szCs w:val="31"/>
          <w:shd w:val="clear" w:color="auto" w:fill="FFFFFF"/>
        </w:rPr>
        <w:t>公务接待费3.2</w:t>
      </w:r>
      <w:r>
        <w:rPr>
          <w:rFonts w:hint="eastAsia" w:ascii="Times New Roman" w:hAnsi="Times New Roman" w:eastAsia="方正仿宋_GBK" w:cs="Times New Roman"/>
          <w:color w:val="auto"/>
          <w:sz w:val="31"/>
          <w:szCs w:val="31"/>
          <w:shd w:val="clear" w:color="auto" w:fill="FFFFFF"/>
        </w:rPr>
        <w:t>1</w:t>
      </w:r>
      <w:r>
        <w:rPr>
          <w:rFonts w:ascii="Times New Roman" w:hAnsi="Times New Roman" w:eastAsia="方正仿宋_GBK" w:cs="Times New Roman"/>
          <w:color w:val="auto"/>
          <w:sz w:val="31"/>
          <w:szCs w:val="31"/>
          <w:shd w:val="clear" w:color="auto" w:fill="FFFFFF"/>
        </w:rPr>
        <w:t>万元，主要用于</w:t>
      </w:r>
      <w:r>
        <w:rPr>
          <w:rFonts w:ascii="Times New Roman" w:hAnsi="Times New Roman" w:eastAsia="方正仿宋_GBK" w:cs="Times New Roman"/>
          <w:color w:val="auto"/>
          <w:sz w:val="32"/>
          <w:szCs w:val="32"/>
        </w:rPr>
        <w:t>重要外宾及港澳有关人士来访或进行公务活动及</w:t>
      </w:r>
      <w:r>
        <w:rPr>
          <w:rFonts w:ascii="Times New Roman" w:hAnsi="Times New Roman" w:eastAsia="方正仿宋_GBK" w:cs="Times New Roman"/>
          <w:color w:val="auto"/>
          <w:sz w:val="31"/>
          <w:szCs w:val="31"/>
          <w:shd w:val="clear" w:color="auto" w:fill="FFFFFF"/>
        </w:rPr>
        <w:t>国内公务接待发生的支出。费用支出较上年减少5.79万元，下</w:t>
      </w:r>
      <w:r>
        <w:rPr>
          <w:rFonts w:ascii="Times New Roman" w:hAnsi="Times New Roman" w:eastAsia="方正仿宋_GBK" w:cs="Times New Roman"/>
          <w:color w:val="auto"/>
          <w:sz w:val="32"/>
        </w:rPr>
        <w:t>降64.</w:t>
      </w:r>
      <w:r>
        <w:rPr>
          <w:rFonts w:hint="eastAsia" w:ascii="Times New Roman" w:hAnsi="Times New Roman" w:eastAsia="方正仿宋_GBK" w:cs="Times New Roman"/>
          <w:color w:val="auto"/>
          <w:sz w:val="32"/>
        </w:rPr>
        <w:t>33</w:t>
      </w:r>
      <w:r>
        <w:rPr>
          <w:rFonts w:ascii="Times New Roman" w:hAnsi="Times New Roman" w:eastAsia="方正仿宋_GBK" w:cs="Times New Roman"/>
          <w:color w:val="auto"/>
          <w:sz w:val="32"/>
        </w:rPr>
        <w:t>%，一是我办认真贯彻落实厉行节约要求，按照只减不增的要求从严控制</w:t>
      </w:r>
      <w:r>
        <w:rPr>
          <w:rFonts w:hint="eastAsia" w:ascii="Times New Roman" w:hAnsi="Times New Roman" w:eastAsia="方正仿宋_GBK" w:cs="Times New Roman"/>
          <w:color w:val="auto"/>
          <w:sz w:val="32"/>
          <w:lang w:eastAsia="zh-CN"/>
        </w:rPr>
        <w:t>“三公”</w:t>
      </w:r>
      <w:r>
        <w:rPr>
          <w:rFonts w:ascii="Times New Roman" w:hAnsi="Times New Roman" w:eastAsia="方正仿宋_GBK" w:cs="Times New Roman"/>
          <w:color w:val="auto"/>
          <w:sz w:val="32"/>
        </w:rPr>
        <w:t>经费；二是强化公务接待支出管理，严格遵守公务接待开支范围和开支标准，严格控制陪餐人数，三是严格按</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重庆市党政机关外宾接待经费管理办法</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渝财行</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2014</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44号</w:t>
      </w:r>
      <w:r>
        <w:rPr>
          <w:rFonts w:hint="eastAsia" w:ascii="Times New Roman" w:hAnsi="Times New Roman" w:eastAsia="方正仿宋_GBK" w:cs="Times New Roman"/>
          <w:color w:val="auto"/>
          <w:sz w:val="32"/>
        </w:rPr>
        <w:t>）</w:t>
      </w:r>
      <w:r>
        <w:rPr>
          <w:rFonts w:ascii="Times New Roman" w:hAnsi="Times New Roman" w:eastAsia="方正仿宋_GBK" w:cs="Times New Roman"/>
          <w:color w:val="auto"/>
          <w:sz w:val="32"/>
        </w:rPr>
        <w:t>的通知执行，始终坚持勤俭办外事的原则；四是受全球新</w:t>
      </w:r>
      <w:r>
        <w:rPr>
          <w:rFonts w:hint="eastAsia" w:ascii="Times New Roman" w:hAnsi="Times New Roman" w:eastAsia="方正仿宋_GBK" w:cs="Times New Roman"/>
          <w:color w:val="auto"/>
          <w:sz w:val="32"/>
        </w:rPr>
        <w:t>冠</w:t>
      </w:r>
      <w:r>
        <w:rPr>
          <w:rFonts w:ascii="Times New Roman" w:hAnsi="Times New Roman" w:eastAsia="方正仿宋_GBK" w:cs="Times New Roman"/>
          <w:color w:val="auto"/>
          <w:sz w:val="32"/>
        </w:rPr>
        <w:t>疫情影响，对外交往、外事接待支出同去年相比有较大幅度减少。</w:t>
      </w:r>
    </w:p>
    <w:p>
      <w:pPr>
        <w:keepNext w:val="0"/>
        <w:keepLines w:val="0"/>
        <w:pageBreakBefore w:val="0"/>
        <w:kinsoku/>
        <w:wordWrap/>
        <w:overflowPunct/>
        <w:topLinePunct w:val="0"/>
        <w:autoSpaceDN/>
        <w:bidi w:val="0"/>
        <w:spacing w:line="600" w:lineRule="exact"/>
        <w:ind w:firstLine="640" w:firstLineChars="200"/>
        <w:jc w:val="both"/>
        <w:textAlignment w:val="auto"/>
        <w:rPr>
          <w:rFonts w:hint="eastAsia" w:ascii="方正楷体_GBK" w:hAnsi="方正楷体_GBK" w:eastAsia="方正楷体_GBK" w:cs="方正楷体_GBK"/>
          <w:color w:val="auto"/>
          <w:sz w:val="32"/>
        </w:rPr>
      </w:pPr>
      <w:r>
        <w:rPr>
          <w:rFonts w:hint="eastAsia" w:ascii="方正楷体_GBK" w:hAnsi="方正楷体_GBK" w:eastAsia="方正楷体_GBK" w:cs="方正楷体_GBK"/>
          <w:color w:val="auto"/>
          <w:sz w:val="32"/>
        </w:rPr>
        <w:t>（三）</w:t>
      </w:r>
      <w:r>
        <w:rPr>
          <w:rFonts w:hint="eastAsia" w:ascii="方正楷体_GBK" w:hAnsi="方正楷体_GBK" w:eastAsia="方正楷体_GBK" w:cs="方正楷体_GBK"/>
          <w:color w:val="auto"/>
          <w:sz w:val="32"/>
          <w:lang w:eastAsia="zh-CN"/>
        </w:rPr>
        <w:t>“三公”</w:t>
      </w:r>
      <w:r>
        <w:rPr>
          <w:rFonts w:hint="eastAsia" w:ascii="方正楷体_GBK" w:hAnsi="方正楷体_GBK" w:eastAsia="方正楷体_GBK" w:cs="方正楷体_GBK"/>
          <w:color w:val="auto"/>
          <w:sz w:val="32"/>
        </w:rPr>
        <w:t>经费实物量情况</w:t>
      </w:r>
    </w:p>
    <w:p>
      <w:pPr>
        <w:keepNext w:val="0"/>
        <w:keepLines w:val="0"/>
        <w:pageBreakBefore w:val="0"/>
        <w:kinsoku/>
        <w:wordWrap/>
        <w:overflowPunct/>
        <w:topLinePunct w:val="0"/>
        <w:autoSpaceDN/>
        <w:bidi w:val="0"/>
        <w:spacing w:line="600" w:lineRule="exact"/>
        <w:ind w:firstLine="640" w:firstLineChars="200"/>
        <w:jc w:val="both"/>
        <w:textAlignment w:val="auto"/>
        <w:rPr>
          <w:rFonts w:hint="default" w:ascii="Times New Roman" w:hAnsi="Times New Roman"/>
          <w:color w:val="auto"/>
          <w:sz w:val="24"/>
          <w:szCs w:val="24"/>
        </w:rPr>
      </w:pPr>
      <w:r>
        <w:rPr>
          <w:rFonts w:hint="default" w:ascii="Times New Roman" w:hAnsi="Times New Roman" w:eastAsia="方正仿宋_GBK" w:cs="Times New Roman"/>
          <w:color w:val="auto"/>
          <w:sz w:val="32"/>
        </w:rPr>
        <w:t>2021年度本部门因公出国（境）共计0个团组，0人；公</w:t>
      </w:r>
      <w:r>
        <w:rPr>
          <w:rFonts w:hint="default" w:ascii="Times New Roman" w:hAnsi="Times New Roman" w:eastAsia="方正仿宋_GBK"/>
          <w:color w:val="auto"/>
          <w:sz w:val="31"/>
          <w:szCs w:val="31"/>
          <w:shd w:val="clear" w:color="auto" w:fill="FFFFFF"/>
        </w:rPr>
        <w:t>务用车购置0辆，公务车保有量为1辆；国内公务接待6批次142人，其中：国内外事接待4批次，86人；国（境）外公务接待0批次，0人；2020年本部门</w:t>
      </w:r>
      <w:r>
        <w:rPr>
          <w:rFonts w:hint="default" w:ascii="Times New Roman" w:hAnsi="Times New Roman" w:eastAsia="方正仿宋_GBK"/>
          <w:color w:val="auto"/>
          <w:sz w:val="32"/>
          <w:szCs w:val="32"/>
        </w:rPr>
        <w:t>人均接待费226.00元</w:t>
      </w:r>
      <w:r>
        <w:rPr>
          <w:rFonts w:hint="default" w:ascii="Times New Roman" w:hAnsi="Times New Roman" w:eastAsia="方正仿宋_GBK"/>
          <w:color w:val="auto"/>
          <w:sz w:val="31"/>
          <w:szCs w:val="31"/>
          <w:shd w:val="clear" w:color="auto" w:fill="FFFFFF"/>
        </w:rPr>
        <w:t>；车均购置费0.00万元；车均维护费2.1</w:t>
      </w:r>
      <w:r>
        <w:rPr>
          <w:rFonts w:ascii="Times New Roman" w:hAnsi="Times New Roman" w:eastAsia="方正仿宋_GBK"/>
          <w:color w:val="auto"/>
          <w:sz w:val="31"/>
          <w:szCs w:val="31"/>
          <w:shd w:val="clear" w:color="auto" w:fill="FFFFFF"/>
        </w:rPr>
        <w:t>4</w:t>
      </w:r>
      <w:r>
        <w:rPr>
          <w:rFonts w:hint="default" w:ascii="Times New Roman" w:hAnsi="Times New Roman" w:eastAsia="方正仿宋_GBK"/>
          <w:color w:val="auto"/>
          <w:sz w:val="31"/>
          <w:szCs w:val="31"/>
          <w:shd w:val="clear" w:color="auto" w:fill="FFFFFF"/>
        </w:rPr>
        <w:t>万元。</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黑体_GBK"/>
          <w:color w:val="auto"/>
          <w:sz w:val="31"/>
          <w:szCs w:val="31"/>
          <w:shd w:val="clear" w:color="auto" w:fill="FFFFFF"/>
        </w:rPr>
        <w:t>四、其他需要说明的事项</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楷体_GBK"/>
          <w:color w:val="auto"/>
          <w:sz w:val="31"/>
          <w:szCs w:val="31"/>
          <w:shd w:val="clear" w:color="auto" w:fill="FFFFFF"/>
        </w:rPr>
        <w:t>（一）机关运行经费情况说明。</w:t>
      </w:r>
      <w:r>
        <w:rPr>
          <w:rFonts w:hint="default" w:ascii="Times New Roman" w:hAnsi="Times New Roman" w:eastAsia="方正仿宋_GBK"/>
          <w:color w:val="auto"/>
          <w:sz w:val="31"/>
          <w:szCs w:val="31"/>
          <w:shd w:val="clear" w:color="auto" w:fill="FFFFFF"/>
        </w:rPr>
        <w:t>2021年度本单位机关运行经费支出23.16万元，比2020年度减少9.94万元，下降30.03%，主要原因是2021年</w:t>
      </w:r>
      <w:r>
        <w:rPr>
          <w:rFonts w:hint="default" w:ascii="Times New Roman" w:hAnsi="Times New Roman" w:eastAsia="方正仿宋_GBK"/>
          <w:bCs/>
          <w:color w:val="auto"/>
          <w:sz w:val="32"/>
          <w:szCs w:val="32"/>
        </w:rPr>
        <w:t>预算口径变化，差旅费减少</w:t>
      </w:r>
      <w:r>
        <w:rPr>
          <w:rFonts w:hint="default" w:ascii="Times New Roman" w:hAnsi="Times New Roman" w:eastAsia="方正仿宋_GBK"/>
          <w:color w:val="auto"/>
          <w:sz w:val="31"/>
          <w:szCs w:val="31"/>
          <w:shd w:val="clear" w:color="auto" w:fill="FFFFFF"/>
        </w:rPr>
        <w:t>。机关运行经费主要用于办公费、水电费、物管费、邮电费、差旅费、工会经费、福利费、公务车运行维护费、其他交通费用等。</w:t>
      </w:r>
    </w:p>
    <w:p>
      <w:pPr>
        <w:keepNext w:val="0"/>
        <w:keepLines w:val="0"/>
        <w:pageBreakBefore w:val="0"/>
        <w:kinsoku/>
        <w:wordWrap/>
        <w:overflowPunct/>
        <w:topLinePunct w:val="0"/>
        <w:autoSpaceDN/>
        <w:bidi w:val="0"/>
        <w:snapToGrid w:val="0"/>
        <w:spacing w:line="600" w:lineRule="exact"/>
        <w:ind w:firstLine="620" w:firstLineChars="200"/>
        <w:jc w:val="both"/>
        <w:textAlignment w:val="auto"/>
        <w:rPr>
          <w:rFonts w:ascii="Times New Roman" w:hAnsi="Times New Roman" w:eastAsia="微软雅黑" w:cs="Times New Roman"/>
          <w:color w:val="auto"/>
          <w:sz w:val="24"/>
        </w:rPr>
      </w:pPr>
      <w:r>
        <w:rPr>
          <w:rFonts w:ascii="Times New Roman" w:hAnsi="Times New Roman" w:eastAsia="方正仿宋_GBK" w:cs="Times New Roman"/>
          <w:color w:val="auto"/>
          <w:sz w:val="31"/>
          <w:szCs w:val="31"/>
          <w:shd w:val="clear" w:color="auto" w:fill="FFFFFF"/>
        </w:rPr>
        <w:t>本年度培训费支出3.70万元，较上年决算数减少0.52万元，下降</w:t>
      </w:r>
      <w:r>
        <w:rPr>
          <w:rFonts w:hint="eastAsia" w:ascii="Times New Roman" w:hAnsi="Times New Roman" w:eastAsia="方正仿宋_GBK" w:cs="Times New Roman"/>
          <w:color w:val="auto"/>
          <w:sz w:val="31"/>
          <w:szCs w:val="31"/>
          <w:shd w:val="clear" w:color="auto" w:fill="FFFFFF"/>
        </w:rPr>
        <w:t>16.35</w:t>
      </w:r>
      <w:r>
        <w:rPr>
          <w:rFonts w:ascii="Times New Roman" w:hAnsi="Times New Roman" w:eastAsia="方正仿宋_GBK" w:cs="Times New Roman"/>
          <w:color w:val="auto"/>
          <w:sz w:val="31"/>
          <w:szCs w:val="31"/>
          <w:shd w:val="clear" w:color="auto" w:fill="FFFFFF"/>
        </w:rPr>
        <w:t>%，主要原因是受新冠疫情的影响，因公出国（境）前及</w:t>
      </w:r>
      <w:r>
        <w:rPr>
          <w:rFonts w:ascii="Times New Roman" w:hAnsi="Times New Roman" w:eastAsia="方正仿宋_GBK" w:cs="Times New Roman"/>
          <w:color w:val="auto"/>
          <w:sz w:val="32"/>
          <w:szCs w:val="32"/>
        </w:rPr>
        <w:t>海外领事保护宣传培训略有减少。</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楷体_GBK"/>
          <w:color w:val="auto"/>
          <w:sz w:val="31"/>
          <w:szCs w:val="31"/>
          <w:shd w:val="clear" w:color="auto" w:fill="FFFFFF"/>
        </w:rPr>
        <w:t>（二）国有资产占用情况说明。</w:t>
      </w:r>
      <w:r>
        <w:rPr>
          <w:rFonts w:hint="default" w:ascii="Times New Roman" w:hAnsi="Times New Roman" w:eastAsia="方正仿宋_GBK"/>
          <w:color w:val="auto"/>
          <w:sz w:val="31"/>
          <w:szCs w:val="31"/>
          <w:shd w:val="clear" w:color="auto" w:fill="FFFFFF"/>
        </w:rPr>
        <w:t>截至2021年12月31日，本部门共有车辆1辆。其中：副部（省）级及以上领导用车0辆，主要领导干部用车0辆，机要通信用车1辆，应急保障用车0辆，执法执勤用车0辆，特种专业技术用车0辆，离退休干部用车0辆，其他用车0辆。单价50万元（含）以上通用设备0台（套），单价100万元（含）以上专用设备0台（套）。</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eastAsia="方正楷体_GBK"/>
          <w:color w:val="auto"/>
          <w:sz w:val="31"/>
          <w:szCs w:val="31"/>
          <w:shd w:val="clear" w:color="auto" w:fill="FFFFFF"/>
        </w:rPr>
      </w:pPr>
      <w:r>
        <w:rPr>
          <w:rFonts w:hint="default" w:ascii="Times New Roman" w:hAnsi="Times New Roman" w:eastAsia="方正楷体_GBK"/>
          <w:color w:val="auto"/>
          <w:sz w:val="31"/>
          <w:szCs w:val="31"/>
          <w:shd w:val="clear" w:color="auto" w:fill="FFFFFF"/>
        </w:rPr>
        <w:t>（三）政府采购支出情况说明。</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仿宋_GBK"/>
          <w:color w:val="auto"/>
          <w:sz w:val="32"/>
          <w:szCs w:val="32"/>
          <w:shd w:val="clear" w:color="auto" w:fill="FFFFFF"/>
        </w:rPr>
        <w:t>2021年度本部门政府采购支出总额5.5</w:t>
      </w:r>
      <w:r>
        <w:rPr>
          <w:rFonts w:ascii="Times New Roman" w:hAnsi="Times New Roman" w:eastAsia="方正仿宋_GBK"/>
          <w:color w:val="auto"/>
          <w:sz w:val="32"/>
          <w:szCs w:val="32"/>
          <w:shd w:val="clear" w:color="auto" w:fill="FFFFFF"/>
        </w:rPr>
        <w:t>1</w:t>
      </w:r>
      <w:r>
        <w:rPr>
          <w:rFonts w:hint="default" w:ascii="Times New Roman" w:hAnsi="Times New Roman" w:eastAsia="方正仿宋_GBK"/>
          <w:color w:val="auto"/>
          <w:sz w:val="32"/>
          <w:szCs w:val="32"/>
          <w:shd w:val="clear" w:color="auto" w:fill="FFFFFF"/>
        </w:rPr>
        <w:t>万元，其中：</w:t>
      </w:r>
      <w:r>
        <w:rPr>
          <w:rFonts w:hint="default" w:ascii="Times New Roman" w:hAnsi="Times New Roman" w:eastAsia="方正仿宋_GBK"/>
          <w:bCs/>
          <w:color w:val="auto"/>
          <w:sz w:val="32"/>
          <w:szCs w:val="32"/>
        </w:rPr>
        <w:t>政府采购货物金额5.5</w:t>
      </w:r>
      <w:r>
        <w:rPr>
          <w:rFonts w:ascii="Times New Roman" w:hAnsi="Times New Roman" w:eastAsia="方正仿宋_GBK"/>
          <w:bCs/>
          <w:color w:val="auto"/>
          <w:sz w:val="32"/>
          <w:szCs w:val="32"/>
        </w:rPr>
        <w:t>1</w:t>
      </w:r>
      <w:r>
        <w:rPr>
          <w:rFonts w:hint="default" w:ascii="Times New Roman" w:hAnsi="Times New Roman" w:eastAsia="方正仿宋_GBK"/>
          <w:bCs/>
          <w:color w:val="auto"/>
          <w:sz w:val="32"/>
          <w:szCs w:val="32"/>
        </w:rPr>
        <w:t>万元，</w:t>
      </w:r>
      <w:r>
        <w:rPr>
          <w:rFonts w:hint="default" w:ascii="Times New Roman" w:hAnsi="Times New Roman" w:eastAsia="方正仿宋_GBK"/>
          <w:color w:val="auto"/>
          <w:sz w:val="32"/>
          <w:szCs w:val="32"/>
          <w:shd w:val="clear" w:color="auto" w:fill="FFFFFF"/>
        </w:rPr>
        <w:t>占政府采购支出总额的100%，</w:t>
      </w:r>
      <w:r>
        <w:rPr>
          <w:rFonts w:hint="default" w:ascii="Times New Roman" w:hAnsi="Times New Roman" w:eastAsia="方正仿宋_GBK"/>
          <w:bCs/>
          <w:color w:val="auto"/>
          <w:sz w:val="32"/>
          <w:szCs w:val="32"/>
        </w:rPr>
        <w:t>用于购买办公设备。</w:t>
      </w:r>
    </w:p>
    <w:p>
      <w:pPr>
        <w:pStyle w:val="7"/>
        <w:keepNext w:val="0"/>
        <w:keepLines w:val="0"/>
        <w:pageBreakBefore w:val="0"/>
        <w:widowControl/>
        <w:shd w:val="clear" w:color="auto" w:fill="FFFFFF"/>
        <w:kinsoku/>
        <w:wordWrap/>
        <w:overflowPunct/>
        <w:topLinePunct w:val="0"/>
        <w:autoSpaceDN/>
        <w:bidi w:val="0"/>
        <w:spacing w:line="600" w:lineRule="exact"/>
        <w:ind w:firstLine="645"/>
        <w:jc w:val="both"/>
        <w:textAlignment w:val="auto"/>
        <w:rPr>
          <w:rFonts w:hint="default" w:ascii="Times New Roman" w:hAnsi="Times New Roman"/>
          <w:color w:val="auto"/>
          <w:sz w:val="24"/>
          <w:szCs w:val="24"/>
        </w:rPr>
      </w:pPr>
      <w:r>
        <w:rPr>
          <w:rFonts w:hint="default" w:ascii="Times New Roman" w:hAnsi="Times New Roman" w:eastAsia="方正黑体_GBK"/>
          <w:color w:val="auto"/>
          <w:sz w:val="31"/>
          <w:szCs w:val="31"/>
          <w:shd w:val="clear" w:color="auto" w:fill="FFFFFF"/>
        </w:rPr>
        <w:t>五、预算绩效管理情况说明</w:t>
      </w:r>
    </w:p>
    <w:p>
      <w:pPr>
        <w:keepNext w:val="0"/>
        <w:keepLines w:val="0"/>
        <w:pageBreakBefore w:val="0"/>
        <w:kinsoku/>
        <w:wordWrap/>
        <w:overflowPunct/>
        <w:topLinePunct w:val="0"/>
        <w:autoSpaceDN/>
        <w:bidi w:val="0"/>
        <w:spacing w:line="600" w:lineRule="exact"/>
        <w:ind w:firstLine="620" w:firstLineChars="200"/>
        <w:jc w:val="both"/>
        <w:textAlignment w:val="auto"/>
        <w:rPr>
          <w:rFonts w:ascii="Times New Roman" w:hAnsi="Times New Roman" w:eastAsia="方正楷体_GBK" w:cs="Times New Roman"/>
          <w:color w:val="auto"/>
          <w:sz w:val="31"/>
          <w:szCs w:val="31"/>
          <w:shd w:val="clear" w:color="auto" w:fill="FFFFFF"/>
        </w:rPr>
      </w:pPr>
      <w:r>
        <w:rPr>
          <w:rFonts w:ascii="Times New Roman" w:hAnsi="Times New Roman" w:eastAsia="方正楷体_GBK" w:cs="Times New Roman"/>
          <w:color w:val="auto"/>
          <w:sz w:val="31"/>
          <w:szCs w:val="31"/>
          <w:shd w:val="clear" w:color="auto" w:fill="FFFFFF"/>
        </w:rPr>
        <w:t>（一）预算绩效管理工作开展情况</w:t>
      </w:r>
    </w:p>
    <w:p>
      <w:pPr>
        <w:keepNext w:val="0"/>
        <w:keepLines w:val="0"/>
        <w:pageBreakBefore w:val="0"/>
        <w:kinsoku/>
        <w:wordWrap/>
        <w:overflowPunct/>
        <w:topLinePunct w:val="0"/>
        <w:autoSpaceDN/>
        <w:bidi w:val="0"/>
        <w:spacing w:line="600" w:lineRule="exact"/>
        <w:ind w:firstLine="620" w:firstLineChars="200"/>
        <w:jc w:val="both"/>
        <w:textAlignment w:val="auto"/>
        <w:rPr>
          <w:rFonts w:ascii="Times New Roman" w:hAnsi="Times New Roman" w:eastAsia="方正仿宋_GBK" w:cs="Times New Roman"/>
          <w:color w:val="auto"/>
          <w:sz w:val="31"/>
          <w:szCs w:val="31"/>
          <w:shd w:val="clear" w:color="auto" w:fill="FFFFFF"/>
        </w:rPr>
      </w:pPr>
      <w:r>
        <w:rPr>
          <w:rFonts w:ascii="Times New Roman" w:hAnsi="Times New Roman" w:eastAsia="方正仿宋_GBK" w:cs="Times New Roman"/>
          <w:color w:val="auto"/>
          <w:sz w:val="31"/>
          <w:szCs w:val="31"/>
          <w:shd w:val="clear" w:color="auto" w:fill="FFFFFF"/>
        </w:rPr>
        <w:t>根据预算绩效管理要求，我单位对</w:t>
      </w:r>
      <w:r>
        <w:rPr>
          <w:rFonts w:hint="eastAsia" w:ascii="Times New Roman" w:hAnsi="Times New Roman" w:eastAsia="方正仿宋_GBK" w:cs="Times New Roman"/>
          <w:color w:val="auto"/>
          <w:sz w:val="31"/>
          <w:szCs w:val="31"/>
          <w:shd w:val="clear" w:color="auto" w:fill="FFFFFF"/>
        </w:rPr>
        <w:t>2</w:t>
      </w:r>
      <w:r>
        <w:rPr>
          <w:rFonts w:ascii="Times New Roman" w:hAnsi="Times New Roman" w:eastAsia="方正仿宋_GBK" w:cs="Times New Roman"/>
          <w:color w:val="auto"/>
          <w:sz w:val="31"/>
          <w:szCs w:val="31"/>
          <w:shd w:val="clear" w:color="auto" w:fill="FFFFFF"/>
        </w:rPr>
        <w:t>个项目开展了绩效自评，项目名称是：2021年度外事经费</w:t>
      </w:r>
      <w:r>
        <w:rPr>
          <w:rFonts w:hint="eastAsia" w:ascii="Times New Roman" w:hAnsi="Times New Roman" w:eastAsia="方正仿宋_GBK" w:cs="Times New Roman"/>
          <w:color w:val="auto"/>
          <w:sz w:val="31"/>
          <w:szCs w:val="31"/>
          <w:shd w:val="clear" w:color="auto" w:fill="FFFFFF"/>
        </w:rPr>
        <w:t>及2021年度对外交流接待费</w:t>
      </w:r>
      <w:r>
        <w:rPr>
          <w:rFonts w:ascii="Times New Roman" w:hAnsi="Times New Roman" w:eastAsia="方正仿宋_GBK" w:cs="Times New Roman"/>
          <w:color w:val="auto"/>
          <w:sz w:val="31"/>
          <w:szCs w:val="31"/>
          <w:shd w:val="clear" w:color="auto" w:fill="FFFFFF"/>
        </w:rPr>
        <w:t>，涉及资金</w:t>
      </w:r>
      <w:r>
        <w:rPr>
          <w:rFonts w:hint="eastAsia" w:ascii="Times New Roman" w:hAnsi="Times New Roman" w:eastAsia="方正仿宋_GBK" w:cs="Times New Roman"/>
          <w:color w:val="auto"/>
          <w:sz w:val="31"/>
          <w:szCs w:val="31"/>
          <w:shd w:val="clear" w:color="auto" w:fill="FFFFFF"/>
        </w:rPr>
        <w:t>58.13</w:t>
      </w:r>
      <w:r>
        <w:rPr>
          <w:rFonts w:ascii="Times New Roman" w:hAnsi="Times New Roman" w:eastAsia="方正仿宋_GBK" w:cs="Times New Roman"/>
          <w:color w:val="auto"/>
          <w:sz w:val="31"/>
          <w:szCs w:val="31"/>
          <w:shd w:val="clear" w:color="auto" w:fill="FFFFFF"/>
        </w:rPr>
        <w:t>万元。从评价情况来看，区政府外办始终坚持专款专用、量入为出的原则，对项目资金的使用范围、使用额度进行了合理分配、严格控制。通过上述项目资金的投入和使用，推动</w:t>
      </w:r>
      <w:r>
        <w:rPr>
          <w:rFonts w:hint="eastAsia" w:ascii="Times New Roman" w:hAnsi="Times New Roman" w:eastAsia="方正仿宋_GBK" w:cs="Times New Roman"/>
          <w:color w:val="auto"/>
          <w:sz w:val="31"/>
          <w:szCs w:val="31"/>
          <w:shd w:val="clear" w:color="auto" w:fill="FFFFFF"/>
        </w:rPr>
        <w:t>了</w:t>
      </w:r>
      <w:r>
        <w:rPr>
          <w:rFonts w:ascii="Times New Roman" w:hAnsi="Times New Roman" w:eastAsia="方正仿宋_GBK" w:cs="Times New Roman"/>
          <w:color w:val="auto"/>
          <w:sz w:val="31"/>
          <w:szCs w:val="31"/>
          <w:shd w:val="clear" w:color="auto" w:fill="FFFFFF"/>
        </w:rPr>
        <w:t>全区对外交往合作发展，切实服务全区大局，助推全区经济社会发展。</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方正楷体_GBK" w:hAnsi="方正楷体_GBK" w:eastAsia="方正楷体_GBK" w:cs="方正楷体_GBK"/>
          <w:color w:val="auto"/>
          <w:sz w:val="31"/>
          <w:szCs w:val="31"/>
          <w:shd w:val="clear" w:color="auto" w:fill="FFFFFF"/>
        </w:rPr>
      </w:pPr>
      <w:r>
        <w:rPr>
          <w:rFonts w:ascii="方正楷体_GBK" w:hAnsi="方正楷体_GBK" w:eastAsia="方正楷体_GBK" w:cs="方正楷体_GBK"/>
          <w:color w:val="auto"/>
          <w:sz w:val="31"/>
          <w:szCs w:val="31"/>
          <w:shd w:val="clear" w:color="auto" w:fill="FFFFFF"/>
        </w:rPr>
        <w:t>（二）绩效自评结果</w:t>
      </w:r>
    </w:p>
    <w:p>
      <w:pPr>
        <w:pStyle w:val="7"/>
        <w:keepNext w:val="0"/>
        <w:keepLines w:val="0"/>
        <w:pageBreakBefore w:val="0"/>
        <w:widowControl/>
        <w:shd w:val="clear" w:color="auto" w:fill="FFFFFF"/>
        <w:kinsoku/>
        <w:wordWrap/>
        <w:overflowPunct/>
        <w:topLinePunct w:val="0"/>
        <w:autoSpaceDN/>
        <w:bidi w:val="0"/>
        <w:spacing w:line="600" w:lineRule="exact"/>
        <w:ind w:firstLine="622" w:firstLineChars="200"/>
        <w:jc w:val="both"/>
        <w:textAlignment w:val="auto"/>
        <w:rPr>
          <w:rFonts w:hint="default" w:ascii="方正仿宋_GBK" w:hAnsi="方正仿宋_GBK" w:eastAsia="方正仿宋_GBK" w:cs="方正仿宋_GBK"/>
          <w:b/>
          <w:bCs/>
          <w:color w:val="auto"/>
          <w:sz w:val="31"/>
          <w:szCs w:val="31"/>
          <w:shd w:val="clear" w:color="auto" w:fill="FFFFFF"/>
        </w:rPr>
      </w:pPr>
      <w:r>
        <w:rPr>
          <w:rFonts w:ascii="方正仿宋_GBK" w:hAnsi="方正仿宋_GBK" w:eastAsia="方正仿宋_GBK" w:cs="方正仿宋_GBK"/>
          <w:b/>
          <w:bCs/>
          <w:color w:val="auto"/>
          <w:sz w:val="31"/>
          <w:szCs w:val="31"/>
          <w:shd w:val="clear" w:color="auto" w:fill="FFFFFF"/>
        </w:rPr>
        <w:t>1.</w:t>
      </w:r>
      <w:r>
        <w:rPr>
          <w:rFonts w:hint="eastAsia" w:ascii="方正仿宋_GBK" w:hAnsi="方正仿宋_GBK" w:eastAsia="方正仿宋_GBK" w:cs="方正仿宋_GBK"/>
          <w:b/>
          <w:bCs/>
          <w:color w:val="auto"/>
          <w:sz w:val="31"/>
          <w:szCs w:val="31"/>
          <w:shd w:val="clear" w:color="auto" w:fill="FFFFFF"/>
          <w:lang w:val="en-US" w:eastAsia="zh-CN"/>
        </w:rPr>
        <w:t xml:space="preserve"> </w:t>
      </w:r>
      <w:r>
        <w:rPr>
          <w:rFonts w:ascii="方正仿宋_GBK" w:hAnsi="方正仿宋_GBK" w:eastAsia="方正仿宋_GBK" w:cs="方正仿宋_GBK"/>
          <w:b/>
          <w:bCs/>
          <w:color w:val="auto"/>
          <w:sz w:val="31"/>
          <w:szCs w:val="31"/>
          <w:shd w:val="clear" w:color="auto" w:fill="FFFFFF"/>
        </w:rPr>
        <w:t>绩效目标自评表</w:t>
      </w:r>
    </w:p>
    <w:p>
      <w:pPr>
        <w:pStyle w:val="7"/>
        <w:keepNext w:val="0"/>
        <w:keepLines w:val="0"/>
        <w:pageBreakBefore w:val="0"/>
        <w:widowControl/>
        <w:shd w:val="clear" w:color="auto" w:fill="FFFFFF"/>
        <w:kinsoku/>
        <w:wordWrap/>
        <w:overflowPunct/>
        <w:topLinePunct w:val="0"/>
        <w:autoSpaceDN/>
        <w:bidi w:val="0"/>
        <w:spacing w:line="600" w:lineRule="exact"/>
        <w:ind w:firstLine="620" w:firstLineChars="200"/>
        <w:jc w:val="both"/>
        <w:textAlignment w:val="auto"/>
        <w:rPr>
          <w:rFonts w:hint="default" w:ascii="Times New Roman" w:hAnsi="Times New Roman" w:eastAsia="方正仿宋_GBK"/>
          <w:color w:val="auto"/>
          <w:sz w:val="31"/>
          <w:szCs w:val="31"/>
          <w:shd w:val="clear" w:color="auto" w:fill="FFFFFF"/>
        </w:rPr>
      </w:pPr>
      <w:r>
        <w:rPr>
          <w:rFonts w:hint="default" w:ascii="Times New Roman" w:hAnsi="Times New Roman" w:eastAsia="方正黑体_GBK"/>
          <w:color w:val="auto"/>
          <w:sz w:val="31"/>
          <w:szCs w:val="31"/>
          <w:shd w:val="clear" w:color="auto" w:fill="FFFFFF"/>
        </w:rPr>
        <w:t>20</w:t>
      </w:r>
      <w:r>
        <w:rPr>
          <w:rFonts w:hint="default" w:ascii="Times New Roman" w:hAnsi="Times New Roman" w:eastAsia="方正仿宋_GBK"/>
          <w:color w:val="auto"/>
          <w:sz w:val="31"/>
          <w:szCs w:val="31"/>
          <w:shd w:val="clear" w:color="auto" w:fill="FFFFFF"/>
        </w:rPr>
        <w:t>21年度外事经费</w:t>
      </w:r>
      <w:r>
        <w:rPr>
          <w:rFonts w:ascii="Times New Roman" w:hAnsi="Times New Roman" w:eastAsia="方正仿宋_GBK"/>
          <w:color w:val="auto"/>
          <w:sz w:val="31"/>
          <w:szCs w:val="31"/>
          <w:shd w:val="clear" w:color="auto" w:fill="FFFFFF"/>
        </w:rPr>
        <w:t>及2021年度对外交流接待费</w:t>
      </w:r>
      <w:r>
        <w:rPr>
          <w:rFonts w:hint="default" w:ascii="Times New Roman" w:hAnsi="Times New Roman" w:eastAsia="方正仿宋_GBK"/>
          <w:color w:val="auto"/>
          <w:sz w:val="31"/>
          <w:szCs w:val="31"/>
          <w:shd w:val="clear" w:color="auto" w:fill="FFFFFF"/>
        </w:rPr>
        <w:t>绩效目标自评综述：国内外事接待4批次，86人；境外返万人员运输租赁车辆次数</w:t>
      </w:r>
      <w:r>
        <w:rPr>
          <w:rFonts w:ascii="Times New Roman" w:hAnsi="Times New Roman" w:eastAsia="方正仿宋_GBK"/>
          <w:color w:val="auto"/>
          <w:sz w:val="31"/>
          <w:szCs w:val="31"/>
          <w:shd w:val="clear" w:color="auto" w:fill="FFFFFF"/>
        </w:rPr>
        <w:t>44</w:t>
      </w:r>
      <w:r>
        <w:rPr>
          <w:rFonts w:hint="default" w:ascii="Times New Roman" w:hAnsi="Times New Roman" w:eastAsia="方正仿宋_GBK"/>
          <w:color w:val="auto"/>
          <w:sz w:val="31"/>
          <w:szCs w:val="31"/>
          <w:shd w:val="clear" w:color="auto" w:fill="FFFFFF"/>
        </w:rPr>
        <w:t>次，7</w:t>
      </w:r>
      <w:r>
        <w:rPr>
          <w:rFonts w:ascii="Times New Roman" w:hAnsi="Times New Roman" w:eastAsia="方正仿宋_GBK"/>
          <w:color w:val="auto"/>
          <w:sz w:val="31"/>
          <w:szCs w:val="31"/>
          <w:shd w:val="clear" w:color="auto" w:fill="FFFFFF"/>
        </w:rPr>
        <w:t>4</w:t>
      </w:r>
      <w:r>
        <w:rPr>
          <w:rFonts w:hint="default" w:ascii="Times New Roman" w:hAnsi="Times New Roman" w:eastAsia="方正仿宋_GBK"/>
          <w:color w:val="auto"/>
          <w:sz w:val="31"/>
          <w:szCs w:val="31"/>
          <w:shd w:val="clear" w:color="auto" w:fill="FFFFFF"/>
        </w:rPr>
        <w:t>人；新发展国际友城1个</w:t>
      </w:r>
      <w:r>
        <w:rPr>
          <w:rFonts w:ascii="Times New Roman" w:hAnsi="Times New Roman" w:eastAsia="方正仿宋_GBK"/>
          <w:color w:val="auto"/>
          <w:sz w:val="31"/>
          <w:szCs w:val="31"/>
          <w:shd w:val="clear" w:color="auto" w:fill="FFFFFF"/>
        </w:rPr>
        <w:t>，</w:t>
      </w:r>
      <w:r>
        <w:rPr>
          <w:rFonts w:hint="default" w:ascii="Times New Roman" w:hAnsi="Times New Roman" w:eastAsia="方正仿宋_GBK"/>
          <w:color w:val="auto"/>
          <w:sz w:val="31"/>
          <w:szCs w:val="31"/>
          <w:shd w:val="clear" w:color="auto" w:fill="FFFFFF"/>
        </w:rPr>
        <w:t>巩固友好城市</w:t>
      </w:r>
      <w:r>
        <w:rPr>
          <w:rFonts w:ascii="Times New Roman" w:hAnsi="Times New Roman" w:eastAsia="方正仿宋_GBK"/>
          <w:color w:val="auto"/>
          <w:sz w:val="31"/>
          <w:szCs w:val="31"/>
          <w:shd w:val="clear" w:color="auto" w:fill="FFFFFF"/>
        </w:rPr>
        <w:t>的</w:t>
      </w:r>
      <w:r>
        <w:rPr>
          <w:rFonts w:hint="default" w:ascii="Times New Roman" w:hAnsi="Times New Roman" w:eastAsia="方正仿宋_GBK"/>
          <w:color w:val="auto"/>
          <w:sz w:val="31"/>
          <w:szCs w:val="31"/>
          <w:shd w:val="clear" w:color="auto" w:fill="FFFFFF"/>
        </w:rPr>
        <w:t>友好交往</w:t>
      </w:r>
      <w:r>
        <w:rPr>
          <w:rFonts w:ascii="Times New Roman" w:hAnsi="Times New Roman" w:eastAsia="方正仿宋_GBK"/>
          <w:color w:val="auto"/>
          <w:sz w:val="31"/>
          <w:szCs w:val="31"/>
          <w:shd w:val="clear" w:color="auto" w:fill="FFFFFF"/>
        </w:rPr>
        <w:t>4</w:t>
      </w:r>
      <w:r>
        <w:rPr>
          <w:rFonts w:hint="default" w:ascii="Times New Roman" w:hAnsi="Times New Roman" w:eastAsia="方正仿宋_GBK"/>
          <w:color w:val="auto"/>
          <w:sz w:val="31"/>
          <w:szCs w:val="31"/>
          <w:shd w:val="clear" w:color="auto" w:fill="FFFFFF"/>
        </w:rPr>
        <w:t>个；开展友好访问、交流洽谈、专题推介，</w:t>
      </w:r>
      <w:r>
        <w:rPr>
          <w:rFonts w:ascii="Times New Roman" w:hAnsi="Times New Roman" w:eastAsia="方正仿宋_GBK"/>
          <w:color w:val="auto"/>
          <w:sz w:val="31"/>
          <w:szCs w:val="31"/>
          <w:shd w:val="clear" w:color="auto" w:fill="FFFFFF"/>
        </w:rPr>
        <w:t>对外科技贸易合作、协助企业邀请外籍专家来万工作，经贸科技合作持续、为利比里亚培训农业技术人才，疫情防控国际合作、为柬埔寨暹粒市捐赠医用防护服600套，</w:t>
      </w:r>
      <w:r>
        <w:rPr>
          <w:rFonts w:hint="default" w:ascii="Times New Roman" w:hAnsi="Times New Roman" w:eastAsia="方正仿宋_GBK"/>
          <w:color w:val="auto"/>
          <w:sz w:val="31"/>
          <w:szCs w:val="31"/>
          <w:shd w:val="clear" w:color="auto" w:fill="FFFFFF"/>
        </w:rPr>
        <w:t>巩固与万州缔结友好城市的友好交往完成率为100%。</w:t>
      </w:r>
      <w:r>
        <w:rPr>
          <w:rFonts w:ascii="Times New Roman" w:hAnsi="Times New Roman" w:eastAsia="方正仿宋_GBK"/>
          <w:color w:val="auto"/>
          <w:sz w:val="31"/>
          <w:szCs w:val="31"/>
          <w:shd w:val="clear" w:color="auto" w:fill="FFFFFF"/>
        </w:rPr>
        <w:t>因公</w:t>
      </w:r>
      <w:r>
        <w:rPr>
          <w:rFonts w:hint="default" w:ascii="Times New Roman" w:hAnsi="Times New Roman" w:eastAsia="方正仿宋_GBK"/>
          <w:color w:val="auto"/>
          <w:sz w:val="31"/>
          <w:szCs w:val="31"/>
          <w:shd w:val="clear" w:color="auto" w:fill="FFFFFF"/>
        </w:rPr>
        <w:t>出访国国情、礼仪知识、海外领保和涉外保密等知识提升覆盖率100%；社会公众或服务对象满意度100%。</w:t>
      </w:r>
    </w:p>
    <w:tbl>
      <w:tblPr>
        <w:tblStyle w:val="8"/>
        <w:tblpPr w:leftFromText="180" w:rightFromText="180" w:vertAnchor="text" w:horzAnchor="page" w:tblpXSpec="center" w:tblpY="-20"/>
        <w:tblOverlap w:val="never"/>
        <w:tblW w:w="85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42"/>
        <w:gridCol w:w="2635"/>
        <w:gridCol w:w="854"/>
        <w:gridCol w:w="1058"/>
        <w:gridCol w:w="1108"/>
        <w:gridCol w:w="1"/>
        <w:gridCol w:w="17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60" w:hRule="atLeast"/>
          <w:jc w:val="center"/>
        </w:trPr>
        <w:tc>
          <w:tcPr>
            <w:tcW w:w="8520" w:type="dxa"/>
            <w:gridSpan w:val="7"/>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方正黑体_GBK" w:hAnsi="方正黑体_GBK" w:eastAsia="方正黑体_GBK" w:cs="方正黑体_GBK"/>
                <w:i w:val="0"/>
                <w:color w:val="000000"/>
                <w:kern w:val="0"/>
                <w:sz w:val="32"/>
                <w:szCs w:val="32"/>
                <w:u w:val="none"/>
                <w:lang w:val="en-US" w:eastAsia="zh-CN" w:bidi="ar"/>
              </w:rPr>
            </w:pPr>
          </w:p>
          <w:p>
            <w:pPr>
              <w:keepNext w:val="0"/>
              <w:keepLines w:val="0"/>
              <w:widowControl/>
              <w:suppressLineNumbers w:val="0"/>
              <w:jc w:val="center"/>
              <w:textAlignment w:val="center"/>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 xml:space="preserve">2021年度部门（单位）一般性项目绩效自评表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项目名称</w:t>
            </w: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2021</w:t>
            </w:r>
            <w:r>
              <w:rPr>
                <w:rStyle w:val="15"/>
                <w:lang w:val="en-US" w:eastAsia="zh-CN" w:bidi="ar"/>
              </w:rPr>
              <w:t>年度外事经费</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联系人及电话</w:t>
            </w: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5"/>
                <w:lang w:val="en-US" w:eastAsia="zh-CN" w:bidi="ar"/>
              </w:rPr>
              <w:t>程新</w:t>
            </w:r>
            <w:r>
              <w:rPr>
                <w:rStyle w:val="14"/>
                <w:rFonts w:eastAsia="宋体"/>
                <w:lang w:val="en-US" w:eastAsia="zh-CN" w:bidi="ar"/>
              </w:rPr>
              <w:t xml:space="preserve">  58107161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业务主管部门</w:t>
            </w: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5"/>
                <w:lang w:val="en-US" w:eastAsia="zh-CN" w:bidi="ar"/>
              </w:rPr>
              <w:t>重庆市万州区人民政府外事办公室</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实施单位</w:t>
            </w: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5"/>
                <w:lang w:val="en-US" w:eastAsia="zh-CN" w:bidi="ar"/>
              </w:rPr>
              <w:t>重庆市万州区人民政府外事办公室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项目资金（万元）</w:t>
            </w:r>
          </w:p>
        </w:tc>
        <w:tc>
          <w:tcPr>
            <w:tcW w:w="348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全年预算数（</w:t>
            </w:r>
            <w:r>
              <w:rPr>
                <w:rStyle w:val="17"/>
                <w:rFonts w:ascii="宋体" w:hAnsi="宋体" w:eastAsia="宋体" w:cs="宋体"/>
                <w:sz w:val="24"/>
                <w:szCs w:val="24"/>
                <w:lang w:val="en-US" w:eastAsia="zh-CN" w:bidi="ar"/>
              </w:rPr>
              <w:t>A</w:t>
            </w:r>
            <w:r>
              <w:rPr>
                <w:rStyle w:val="16"/>
                <w:lang w:val="en-US" w:eastAsia="zh-CN" w:bidi="ar"/>
              </w:rPr>
              <w:t>）</w:t>
            </w:r>
          </w:p>
        </w:tc>
        <w:tc>
          <w:tcPr>
            <w:tcW w:w="2166"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全年执行数（</w:t>
            </w:r>
            <w:r>
              <w:rPr>
                <w:rStyle w:val="17"/>
                <w:rFonts w:ascii="宋体" w:hAnsi="宋体" w:eastAsia="宋体" w:cs="宋体"/>
                <w:sz w:val="24"/>
                <w:szCs w:val="24"/>
                <w:lang w:val="en-US" w:eastAsia="zh-CN" w:bidi="ar"/>
              </w:rPr>
              <w:t>B</w:t>
            </w:r>
            <w:r>
              <w:rPr>
                <w:rStyle w:val="16"/>
                <w:lang w:val="en-US" w:eastAsia="zh-CN" w:bidi="ar"/>
              </w:rPr>
              <w:t>）</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执行率（</w:t>
            </w:r>
            <w:r>
              <w:rPr>
                <w:rStyle w:val="17"/>
                <w:rFonts w:ascii="宋体" w:hAnsi="宋体" w:eastAsia="宋体" w:cs="宋体"/>
                <w:sz w:val="24"/>
                <w:szCs w:val="24"/>
                <w:lang w:val="en-US" w:eastAsia="zh-CN" w:bidi="ar"/>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8"/>
                <w:lang w:val="en-US" w:eastAsia="zh-CN" w:bidi="ar"/>
              </w:rPr>
              <w:t>总量</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8"/>
                <w:lang w:val="en-US" w:eastAsia="zh-CN" w:bidi="ar"/>
              </w:rPr>
              <w:t>总量</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Style w:val="19"/>
                <w:color w:val="auto"/>
                <w:lang w:val="en-US" w:eastAsia="zh-CN" w:bidi="ar"/>
              </w:rPr>
              <w:t>其中：财政资金</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0"/>
                <w:szCs w:val="20"/>
                <w:u w:val="none"/>
              </w:rPr>
            </w:pPr>
            <w:r>
              <w:rPr>
                <w:rFonts w:hint="default" w:ascii="Times New Roman" w:hAnsi="Times New Roman" w:eastAsia="宋体" w:cs="Times New Roman"/>
                <w:i w:val="0"/>
                <w:color w:val="auto"/>
                <w:kern w:val="0"/>
                <w:sz w:val="20"/>
                <w:szCs w:val="20"/>
                <w:u w:val="none"/>
                <w:lang w:val="en-US" w:eastAsia="zh-CN" w:bidi="ar"/>
              </w:rPr>
              <w:t>20</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auto"/>
                <w:sz w:val="20"/>
                <w:szCs w:val="20"/>
                <w:u w:val="none"/>
              </w:rPr>
            </w:pPr>
            <w:r>
              <w:rPr>
                <w:rStyle w:val="19"/>
                <w:color w:val="auto"/>
                <w:lang w:val="en-US" w:eastAsia="zh-CN" w:bidi="ar"/>
              </w:rPr>
              <w:t>其中：财政资金</w:t>
            </w:r>
          </w:p>
        </w:tc>
        <w:tc>
          <w:tcPr>
            <w:tcW w:w="1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20</w:t>
            </w:r>
          </w:p>
        </w:tc>
        <w:tc>
          <w:tcPr>
            <w:tcW w:w="172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年度总体目标</w:t>
            </w:r>
          </w:p>
        </w:tc>
        <w:tc>
          <w:tcPr>
            <w:tcW w:w="45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年初设定目标</w:t>
            </w: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0"/>
                <w:szCs w:val="20"/>
                <w:u w:val="none"/>
              </w:rPr>
            </w:pPr>
            <w:r>
              <w:rPr>
                <w:rStyle w:val="16"/>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70"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4547"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主要用于我区外事侨务港务事务、外事接待、对外交流与合作、因公出国管理等重点工作、防境外新冠肺炎疫情输入工作。</w:t>
            </w:r>
          </w:p>
        </w:tc>
        <w:tc>
          <w:tcPr>
            <w:tcW w:w="2831"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圆满完成市、区外事侨务港务事务、外事接待、对外交流与合作、因公出国管理等重点工作、防境外新冠肺炎疫情输入工作。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59" w:hRule="atLeast"/>
          <w:jc w:val="center"/>
        </w:trPr>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绩效指标</w:t>
            </w: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指标名称</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年度指标值</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全年完成值</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完成比例</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未完成原因和改进措施</w:t>
            </w:r>
          </w:p>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20"/>
                <w:lang w:val="en-US" w:eastAsia="zh-CN" w:bidi="ar"/>
              </w:rPr>
              <w:t>境外返万人员运输租赁车辆次数</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≥40</w:t>
            </w:r>
            <w:r>
              <w:rPr>
                <w:rStyle w:val="15"/>
                <w:lang w:val="en-US" w:eastAsia="zh-CN" w:bidi="ar"/>
              </w:rPr>
              <w:t>次</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44</w:t>
            </w:r>
            <w:r>
              <w:rPr>
                <w:rStyle w:val="15"/>
                <w:lang w:val="en-US" w:eastAsia="zh-CN" w:bidi="ar"/>
              </w:rPr>
              <w:t>次</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0"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20"/>
                <w:lang w:val="en-US" w:eastAsia="zh-CN" w:bidi="ar"/>
              </w:rPr>
              <w:t>境外返万人员转运人数</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≥70</w:t>
            </w:r>
            <w:r>
              <w:rPr>
                <w:rStyle w:val="15"/>
                <w:lang w:val="en-US" w:eastAsia="zh-CN" w:bidi="ar"/>
              </w:rPr>
              <w:t>人</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74</w:t>
            </w:r>
            <w:r>
              <w:rPr>
                <w:rStyle w:val="15"/>
                <w:lang w:val="en-US" w:eastAsia="zh-CN" w:bidi="ar"/>
              </w:rPr>
              <w:t>人</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5"/>
                <w:lang w:val="en-US" w:eastAsia="zh-CN" w:bidi="ar"/>
              </w:rPr>
              <w:t>全区共管理境外旅居史来万返万人员</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≥900</w:t>
            </w:r>
            <w:r>
              <w:rPr>
                <w:rStyle w:val="15"/>
                <w:lang w:val="en-US" w:eastAsia="zh-CN" w:bidi="ar"/>
              </w:rPr>
              <w:t>人</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960</w:t>
            </w:r>
            <w:r>
              <w:rPr>
                <w:rStyle w:val="21"/>
                <w:lang w:val="en-US" w:eastAsia="zh-CN" w:bidi="ar"/>
              </w:rPr>
              <w:t>人</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方正仿宋_GBK" w:hAnsi="方正仿宋_GBK" w:eastAsia="方正仿宋_GBK" w:cs="方正仿宋_GBK"/>
                <w:i w:val="0"/>
                <w:color w:val="000000"/>
                <w:sz w:val="20"/>
                <w:szCs w:val="20"/>
                <w:u w:val="none"/>
              </w:rPr>
            </w:pPr>
            <w:r>
              <w:rPr>
                <w:rFonts w:hint="eastAsia" w:ascii="方正仿宋_GBK" w:hAnsi="方正仿宋_GBK" w:eastAsia="方正仿宋_GBK" w:cs="方正仿宋_GBK"/>
                <w:i w:val="0"/>
                <w:color w:val="000000"/>
                <w:kern w:val="0"/>
                <w:sz w:val="20"/>
                <w:szCs w:val="20"/>
                <w:u w:val="none"/>
                <w:lang w:val="en-US" w:eastAsia="zh-CN" w:bidi="ar"/>
              </w:rPr>
              <w:t>开展防疫服务、为外籍人士接种疫苗</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≥50</w:t>
            </w:r>
            <w:r>
              <w:rPr>
                <w:rStyle w:val="15"/>
                <w:lang w:val="en-US" w:eastAsia="zh-CN" w:bidi="ar"/>
              </w:rPr>
              <w:t>人</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91</w:t>
            </w:r>
            <w:r>
              <w:rPr>
                <w:rStyle w:val="21"/>
                <w:lang w:val="en-US" w:eastAsia="zh-CN" w:bidi="ar"/>
              </w:rPr>
              <w:t>人</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22"/>
                <w:lang w:val="en-US" w:eastAsia="zh-CN" w:bidi="ar"/>
              </w:rPr>
              <w:t>开展防疫服务、为港澳同胞接种疫苗</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≥30</w:t>
            </w:r>
            <w:r>
              <w:rPr>
                <w:rStyle w:val="15"/>
                <w:lang w:val="en-US" w:eastAsia="zh-CN" w:bidi="ar"/>
              </w:rPr>
              <w:t>人</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48</w:t>
            </w:r>
            <w:r>
              <w:rPr>
                <w:rStyle w:val="21"/>
                <w:lang w:val="en-US" w:eastAsia="zh-CN" w:bidi="ar"/>
              </w:rPr>
              <w:t>人</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default" w:ascii="Times New Roman" w:hAnsi="Times New Roman" w:eastAsia="宋体" w:cs="Times New Roman"/>
                <w:i w:val="0"/>
                <w:color w:val="000000"/>
                <w:sz w:val="20"/>
                <w:szCs w:val="20"/>
                <w:u w:val="none"/>
              </w:rPr>
            </w:pPr>
            <w:r>
              <w:rPr>
                <w:rStyle w:val="22"/>
                <w:lang w:val="en-US" w:eastAsia="zh-CN" w:bidi="ar"/>
              </w:rPr>
              <w:t>开展防疫服务、为台湾同胞接种疫苗</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≥30</w:t>
            </w:r>
            <w:r>
              <w:rPr>
                <w:rStyle w:val="21"/>
                <w:lang w:val="en-US" w:eastAsia="zh-CN" w:bidi="ar"/>
              </w:rPr>
              <w:t>人</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38</w:t>
            </w:r>
            <w:r>
              <w:rPr>
                <w:rStyle w:val="21"/>
                <w:lang w:val="en-US" w:eastAsia="zh-CN" w:bidi="ar"/>
              </w:rPr>
              <w:t>人</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8" w:hRule="atLeast"/>
          <w:jc w:val="center"/>
        </w:trPr>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b/>
                <w:i w:val="0"/>
                <w:color w:val="000000"/>
                <w:sz w:val="20"/>
                <w:szCs w:val="20"/>
                <w:u w:val="none"/>
              </w:rPr>
            </w:pPr>
          </w:p>
        </w:tc>
        <w:tc>
          <w:tcPr>
            <w:tcW w:w="2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0"/>
                <w:szCs w:val="20"/>
                <w:u w:val="none"/>
              </w:rPr>
            </w:pPr>
            <w:r>
              <w:rPr>
                <w:rStyle w:val="15"/>
                <w:lang w:val="en-US" w:eastAsia="zh-CN" w:bidi="ar"/>
              </w:rPr>
              <w:t>疫情防控国际合作，为柬埔寨暹粒市捐赠医用防护服</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=600</w:t>
            </w:r>
            <w:r>
              <w:rPr>
                <w:rStyle w:val="15"/>
                <w:lang w:val="en-US" w:eastAsia="zh-CN" w:bidi="ar"/>
              </w:rPr>
              <w:t>套</w:t>
            </w:r>
          </w:p>
        </w:tc>
        <w:tc>
          <w:tcPr>
            <w:tcW w:w="10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Style w:val="14"/>
                <w:rFonts w:eastAsia="宋体"/>
                <w:lang w:val="en-US" w:eastAsia="zh-CN" w:bidi="ar"/>
              </w:rPr>
              <w:t>600</w:t>
            </w:r>
            <w:r>
              <w:rPr>
                <w:rStyle w:val="15"/>
                <w:lang w:val="en-US" w:eastAsia="zh-CN" w:bidi="ar"/>
              </w:rPr>
              <w:t>套</w:t>
            </w:r>
          </w:p>
        </w:tc>
        <w:tc>
          <w:tcPr>
            <w:tcW w:w="11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100%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50" w:hRule="atLeast"/>
          <w:jc w:val="center"/>
        </w:trPr>
        <w:tc>
          <w:tcPr>
            <w:tcW w:w="114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说明</w:t>
            </w:r>
          </w:p>
        </w:tc>
        <w:tc>
          <w:tcPr>
            <w:tcW w:w="7378"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w:t>
            </w:r>
          </w:p>
        </w:tc>
      </w:tr>
    </w:tbl>
    <w:p>
      <w:pPr>
        <w:pStyle w:val="7"/>
        <w:widowControl/>
        <w:shd w:val="clear" w:color="auto" w:fill="FFFFFF"/>
        <w:spacing w:line="590" w:lineRule="exact"/>
        <w:ind w:firstLine="310" w:firstLineChars="100"/>
        <w:rPr>
          <w:rFonts w:hint="default" w:ascii="Times New Roman" w:hAnsi="Times New Roman" w:eastAsia="方正仿宋_GBK"/>
          <w:sz w:val="31"/>
          <w:szCs w:val="31"/>
          <w:shd w:val="clear" w:color="auto" w:fill="FFFFFF"/>
        </w:rPr>
      </w:pPr>
    </w:p>
    <w:p>
      <w:pPr>
        <w:pStyle w:val="7"/>
        <w:widowControl/>
        <w:shd w:val="clear" w:color="auto" w:fill="FFFFFF"/>
        <w:spacing w:line="590" w:lineRule="exact"/>
        <w:ind w:firstLine="585"/>
        <w:rPr>
          <w:rStyle w:val="10"/>
          <w:rFonts w:ascii="方正仿宋_GBK" w:hAnsi="方正仿宋_GBK" w:eastAsia="方正仿宋_GBK" w:cs="方正仿宋_GBK"/>
          <w:sz w:val="32"/>
          <w:szCs w:val="32"/>
        </w:rPr>
      </w:pPr>
    </w:p>
    <w:tbl>
      <w:tblPr>
        <w:tblStyle w:val="8"/>
        <w:tblpPr w:leftFromText="180" w:rightFromText="180" w:vertAnchor="text" w:horzAnchor="page" w:tblpXSpec="center" w:tblpY="-20"/>
        <w:tblOverlap w:val="never"/>
        <w:tblW w:w="85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18"/>
        <w:gridCol w:w="2353"/>
        <w:gridCol w:w="1208"/>
        <w:gridCol w:w="932"/>
        <w:gridCol w:w="1"/>
        <w:gridCol w:w="1101"/>
        <w:gridCol w:w="2"/>
        <w:gridCol w:w="1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8" w:hRule="atLeast"/>
          <w:jc w:val="center"/>
        </w:trPr>
        <w:tc>
          <w:tcPr>
            <w:tcW w:w="8500" w:type="dxa"/>
            <w:gridSpan w:val="8"/>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方正黑体_GBK" w:hAnsi="方正黑体_GBK" w:eastAsia="方正黑体_GBK" w:cs="方正黑体_GBK"/>
                <w:i w:val="0"/>
                <w:color w:val="000000"/>
                <w:sz w:val="32"/>
                <w:szCs w:val="32"/>
                <w:u w:val="none"/>
              </w:rPr>
            </w:pPr>
            <w:r>
              <w:rPr>
                <w:rFonts w:hint="eastAsia" w:ascii="方正黑体_GBK" w:hAnsi="方正黑体_GBK" w:eastAsia="方正黑体_GBK" w:cs="方正黑体_GBK"/>
                <w:i w:val="0"/>
                <w:color w:val="000000"/>
                <w:kern w:val="0"/>
                <w:sz w:val="32"/>
                <w:szCs w:val="32"/>
                <w:u w:val="none"/>
                <w:lang w:val="en-US" w:eastAsia="zh-CN" w:bidi="ar"/>
              </w:rPr>
              <w:t>2021年度部门（单位）一般性项目绩效自评表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项目名称</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2021</w:t>
            </w:r>
            <w:r>
              <w:rPr>
                <w:rStyle w:val="23"/>
                <w:rFonts w:hint="default" w:ascii="Times New Roman" w:hAnsi="Times New Roman" w:eastAsia="方正仿宋_GBK" w:cs="Times New Roman"/>
                <w:lang w:val="en-US" w:eastAsia="zh-CN" w:bidi="ar"/>
              </w:rPr>
              <w:t>年度对外交流接待费</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联系人及电话</w:t>
            </w:r>
          </w:p>
        </w:tc>
        <w:tc>
          <w:tcPr>
            <w:tcW w:w="29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程新</w:t>
            </w:r>
            <w:r>
              <w:rPr>
                <w:rFonts w:hint="default" w:ascii="Times New Roman" w:hAnsi="Times New Roman" w:eastAsia="方正仿宋_GBK" w:cs="Times New Roman"/>
                <w:i w:val="0"/>
                <w:color w:val="000000"/>
                <w:kern w:val="0"/>
                <w:sz w:val="24"/>
                <w:szCs w:val="24"/>
                <w:u w:val="none"/>
                <w:lang w:val="en-US" w:eastAsia="zh-CN" w:bidi="ar"/>
              </w:rPr>
              <w:t xml:space="preserve">  58107161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业务主管部门</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重庆市万州区人民政府外事办公室</w:t>
            </w:r>
          </w:p>
        </w:tc>
        <w:tc>
          <w:tcPr>
            <w:tcW w:w="9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实施单位</w:t>
            </w:r>
          </w:p>
        </w:tc>
        <w:tc>
          <w:tcPr>
            <w:tcW w:w="298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重庆市万州区人民政府外事办公室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项目资金（万元）</w:t>
            </w:r>
          </w:p>
        </w:tc>
        <w:tc>
          <w:tcPr>
            <w:tcW w:w="356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全年预算数（</w:t>
            </w:r>
            <w:r>
              <w:rPr>
                <w:rStyle w:val="25"/>
                <w:rFonts w:hint="default" w:ascii="Times New Roman" w:hAnsi="Times New Roman" w:eastAsia="方正仿宋_GBK" w:cs="Times New Roman"/>
                <w:lang w:val="en-US" w:eastAsia="zh-CN" w:bidi="ar"/>
              </w:rPr>
              <w:t>A</w:t>
            </w:r>
            <w:r>
              <w:rPr>
                <w:rStyle w:val="24"/>
                <w:rFonts w:hint="default" w:ascii="Times New Roman" w:hAnsi="Times New Roman" w:eastAsia="方正仿宋_GBK" w:cs="Times New Roman"/>
                <w:lang w:val="en-US" w:eastAsia="zh-CN" w:bidi="ar"/>
              </w:rPr>
              <w:t>）</w:t>
            </w:r>
          </w:p>
        </w:tc>
        <w:tc>
          <w:tcPr>
            <w:tcW w:w="2036"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全年执行数（</w:t>
            </w:r>
            <w:r>
              <w:rPr>
                <w:rStyle w:val="25"/>
                <w:rFonts w:hint="default" w:ascii="Times New Roman" w:hAnsi="Times New Roman" w:eastAsia="方正仿宋_GBK" w:cs="Times New Roman"/>
                <w:lang w:val="en-US" w:eastAsia="zh-CN" w:bidi="ar"/>
              </w:rPr>
              <w:t>B</w:t>
            </w:r>
            <w:r>
              <w:rPr>
                <w:rStyle w:val="24"/>
                <w:rFonts w:hint="default" w:ascii="Times New Roman" w:hAnsi="Times New Roman" w:eastAsia="方正仿宋_GBK" w:cs="Times New Roman"/>
                <w:lang w:val="en-US" w:eastAsia="zh-CN" w:bidi="ar"/>
              </w:rPr>
              <w:t>）</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执行率（</w:t>
            </w:r>
            <w:r>
              <w:rPr>
                <w:rStyle w:val="25"/>
                <w:rFonts w:hint="default" w:ascii="Times New Roman" w:hAnsi="Times New Roman" w:eastAsia="方正仿宋_GBK" w:cs="Times New Roman"/>
                <w:lang w:val="en-US" w:eastAsia="zh-CN" w:bidi="ar"/>
              </w:rPr>
              <w:t>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总量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38.13</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总量</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38.13</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Style w:val="26"/>
                <w:rFonts w:hint="default" w:ascii="Times New Roman" w:hAnsi="Times New Roman" w:eastAsia="方正仿宋_GBK" w:cs="Times New Roman"/>
                <w:color w:val="auto"/>
                <w:lang w:val="en-US" w:eastAsia="zh-CN" w:bidi="ar"/>
              </w:rPr>
              <w:t>其中：财政资金</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Fonts w:hint="default" w:ascii="Times New Roman" w:hAnsi="Times New Roman" w:eastAsia="方正仿宋_GBK" w:cs="Times New Roman"/>
                <w:i w:val="0"/>
                <w:color w:val="auto"/>
                <w:kern w:val="0"/>
                <w:sz w:val="20"/>
                <w:szCs w:val="20"/>
                <w:u w:val="none"/>
                <w:lang w:val="en-US" w:eastAsia="zh-CN" w:bidi="ar"/>
              </w:rPr>
              <w:t>38.13</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auto"/>
                <w:sz w:val="20"/>
                <w:szCs w:val="20"/>
                <w:u w:val="none"/>
              </w:rPr>
            </w:pPr>
            <w:r>
              <w:rPr>
                <w:rStyle w:val="26"/>
                <w:rFonts w:hint="default" w:ascii="Times New Roman" w:hAnsi="Times New Roman" w:eastAsia="方正仿宋_GBK" w:cs="Times New Roman"/>
                <w:color w:val="auto"/>
                <w:lang w:val="en-US" w:eastAsia="zh-CN" w:bidi="ar"/>
              </w:rPr>
              <w:t>其中：财政资金</w:t>
            </w:r>
          </w:p>
        </w:tc>
        <w:tc>
          <w:tcPr>
            <w:tcW w:w="110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38.13</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年度总体目标</w:t>
            </w:r>
          </w:p>
        </w:tc>
        <w:tc>
          <w:tcPr>
            <w:tcW w:w="44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年初设定目标</w:t>
            </w:r>
          </w:p>
        </w:tc>
        <w:tc>
          <w:tcPr>
            <w:tcW w:w="29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全年目标实际完成情况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86"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方正仿宋_GBK" w:cs="Times New Roman"/>
                <w:b/>
                <w:i w:val="0"/>
                <w:color w:val="000000"/>
                <w:sz w:val="20"/>
                <w:szCs w:val="20"/>
                <w:u w:val="none"/>
              </w:rPr>
            </w:pPr>
          </w:p>
        </w:tc>
        <w:tc>
          <w:tcPr>
            <w:tcW w:w="4494"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主要用于我区外事侨务港务事务、外事接待、对外交流与合作、因公出国管理等重点工作、防境外新冠肺炎疫情输入工作。</w:t>
            </w:r>
          </w:p>
        </w:tc>
        <w:tc>
          <w:tcPr>
            <w:tcW w:w="29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圆满完成市、区外事侨务港务事务、外事接待、对外交流与合作、因公出国管理等重点工作、防境外新冠肺炎疫情输入工作。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7" w:hRule="atLeast"/>
          <w:jc w:val="center"/>
        </w:trPr>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Fonts w:hint="default" w:ascii="Times New Roman" w:hAnsi="Times New Roman" w:eastAsia="方正仿宋_GBK" w:cs="Times New Roman"/>
                <w:b/>
                <w:i w:val="0"/>
                <w:color w:val="000000"/>
                <w:kern w:val="0"/>
                <w:sz w:val="20"/>
                <w:szCs w:val="20"/>
                <w:u w:val="none"/>
                <w:lang w:val="en-US" w:eastAsia="zh-CN" w:bidi="ar"/>
              </w:rPr>
              <w:t>绩效指标</w:t>
            </w: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指标名称</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年度指标值</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全年完成值</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完成比例</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b/>
                <w:i w:val="0"/>
                <w:color w:val="000000"/>
                <w:sz w:val="20"/>
                <w:szCs w:val="20"/>
                <w:u w:val="none"/>
              </w:rPr>
            </w:pPr>
            <w:r>
              <w:rPr>
                <w:rStyle w:val="24"/>
                <w:rFonts w:hint="default" w:ascii="Times New Roman" w:hAnsi="Times New Roman" w:eastAsia="方正仿宋_GBK" w:cs="Times New Roman"/>
                <w:lang w:val="en-US" w:eastAsia="zh-CN" w:bidi="ar"/>
              </w:rPr>
              <w:t>未完成原因和改进措施及相关说明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外事接待次数</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=4</w:t>
            </w:r>
            <w:r>
              <w:rPr>
                <w:rStyle w:val="23"/>
                <w:rFonts w:hint="default" w:ascii="Times New Roman" w:hAnsi="Times New Roman" w:eastAsia="方正仿宋_GBK" w:cs="Times New Roman"/>
                <w:lang w:val="en-US" w:eastAsia="zh-CN" w:bidi="ar"/>
              </w:rPr>
              <w:t>次</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4</w:t>
            </w:r>
            <w:r>
              <w:rPr>
                <w:rStyle w:val="23"/>
                <w:rFonts w:hint="default" w:ascii="Times New Roman" w:hAnsi="Times New Roman" w:eastAsia="方正仿宋_GBK" w:cs="Times New Roman"/>
                <w:lang w:val="en-US" w:eastAsia="zh-CN" w:bidi="ar"/>
              </w:rPr>
              <w:t>次</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外事接待人数</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≥70</w:t>
            </w:r>
            <w:r>
              <w:rPr>
                <w:rStyle w:val="23"/>
                <w:rFonts w:hint="default" w:ascii="Times New Roman" w:hAnsi="Times New Roman" w:eastAsia="方正仿宋_GBK" w:cs="Times New Roman"/>
                <w:lang w:val="en-US" w:eastAsia="zh-CN" w:bidi="ar"/>
              </w:rPr>
              <w:t>人</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86</w:t>
            </w:r>
            <w:r>
              <w:rPr>
                <w:rStyle w:val="23"/>
                <w:rFonts w:hint="default" w:ascii="Times New Roman" w:hAnsi="Times New Roman" w:eastAsia="方正仿宋_GBK" w:cs="Times New Roman"/>
                <w:lang w:val="en-US" w:eastAsia="zh-CN" w:bidi="ar"/>
              </w:rPr>
              <w:t>人</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外事接待国家、地区</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=4个</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4</w:t>
            </w:r>
            <w:r>
              <w:rPr>
                <w:rStyle w:val="23"/>
                <w:rFonts w:hint="default" w:ascii="Times New Roman" w:hAnsi="Times New Roman" w:eastAsia="方正仿宋_GBK" w:cs="Times New Roman"/>
                <w:lang w:val="en-US" w:eastAsia="zh-CN" w:bidi="ar"/>
              </w:rPr>
              <w:t>个</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巩固缔结友好城市的友好交往</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=4</w:t>
            </w:r>
            <w:r>
              <w:rPr>
                <w:rStyle w:val="23"/>
                <w:rFonts w:hint="default" w:ascii="Times New Roman" w:hAnsi="Times New Roman" w:eastAsia="方正仿宋_GBK" w:cs="Times New Roman"/>
                <w:lang w:val="en-US" w:eastAsia="zh-CN" w:bidi="ar"/>
              </w:rPr>
              <w:t>个</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4</w:t>
            </w:r>
            <w:r>
              <w:rPr>
                <w:rStyle w:val="23"/>
                <w:rFonts w:hint="default" w:ascii="Times New Roman" w:hAnsi="Times New Roman" w:eastAsia="方正仿宋_GBK" w:cs="Times New Roman"/>
                <w:lang w:val="en-US" w:eastAsia="zh-CN" w:bidi="ar"/>
              </w:rPr>
              <w:t>个</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对外交往合作天数</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≥50</w:t>
            </w:r>
            <w:r>
              <w:rPr>
                <w:rStyle w:val="23"/>
                <w:rFonts w:hint="default" w:ascii="Times New Roman" w:hAnsi="Times New Roman" w:eastAsia="方正仿宋_GBK" w:cs="Times New Roman"/>
                <w:lang w:val="en-US" w:eastAsia="zh-CN" w:bidi="ar"/>
              </w:rPr>
              <w:t>天</w:t>
            </w:r>
            <w:r>
              <w:rPr>
                <w:rFonts w:hint="default" w:ascii="Times New Roman" w:hAnsi="Times New Roman" w:eastAsia="方正仿宋_GBK" w:cs="Times New Roman"/>
                <w:i w:val="0"/>
                <w:color w:val="000000"/>
                <w:kern w:val="0"/>
                <w:sz w:val="24"/>
                <w:szCs w:val="24"/>
                <w:u w:val="none"/>
                <w:lang w:val="en-US" w:eastAsia="zh-CN" w:bidi="ar"/>
              </w:rPr>
              <w:t>/</w:t>
            </w:r>
            <w:r>
              <w:rPr>
                <w:rStyle w:val="23"/>
                <w:rFonts w:hint="default" w:ascii="Times New Roman" w:hAnsi="Times New Roman" w:eastAsia="方正仿宋_GBK" w:cs="Times New Roman"/>
                <w:lang w:val="en-US" w:eastAsia="zh-CN" w:bidi="ar"/>
              </w:rPr>
              <w:t>次</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57天/次</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新发展国际友城数量</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=1</w:t>
            </w:r>
            <w:r>
              <w:rPr>
                <w:rStyle w:val="23"/>
                <w:rFonts w:hint="default" w:ascii="Times New Roman" w:hAnsi="Times New Roman" w:eastAsia="方正仿宋_GBK" w:cs="Times New Roman"/>
                <w:lang w:val="en-US" w:eastAsia="zh-CN" w:bidi="ar"/>
              </w:rPr>
              <w:t>个</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1</w:t>
            </w:r>
            <w:r>
              <w:rPr>
                <w:rStyle w:val="23"/>
                <w:rFonts w:hint="default" w:ascii="Times New Roman" w:hAnsi="Times New Roman" w:eastAsia="方正仿宋_GBK" w:cs="Times New Roman"/>
                <w:lang w:val="en-US" w:eastAsia="zh-CN" w:bidi="ar"/>
              </w:rPr>
              <w:t>个</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对外科技贸易合作、协助企业邀请外籍专家来万工作</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w:t>
            </w:r>
            <w:r>
              <w:rPr>
                <w:rStyle w:val="27"/>
                <w:rFonts w:hint="default" w:ascii="Times New Roman" w:hAnsi="Times New Roman" w:eastAsia="方正仿宋_GBK" w:cs="Times New Roman"/>
                <w:lang w:val="en-US" w:eastAsia="zh-CN" w:bidi="ar"/>
              </w:rPr>
              <w:t>人</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6</w:t>
            </w:r>
            <w:r>
              <w:rPr>
                <w:rStyle w:val="27"/>
                <w:rFonts w:hint="default" w:ascii="Times New Roman" w:hAnsi="Times New Roman" w:eastAsia="方正仿宋_GBK" w:cs="Times New Roman"/>
                <w:lang w:val="en-US" w:eastAsia="zh-CN" w:bidi="ar"/>
              </w:rPr>
              <w:t>人</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经贸科技合作持续、为利比里亚培训农业技术人才</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≥800</w:t>
            </w:r>
            <w:r>
              <w:rPr>
                <w:rStyle w:val="23"/>
                <w:rFonts w:hint="default" w:ascii="Times New Roman" w:hAnsi="Times New Roman" w:eastAsia="方正仿宋_GBK" w:cs="Times New Roman"/>
                <w:lang w:val="en-US" w:eastAsia="zh-CN" w:bidi="ar"/>
              </w:rPr>
              <w:t>人</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900</w:t>
            </w:r>
            <w:r>
              <w:rPr>
                <w:rStyle w:val="23"/>
                <w:rFonts w:hint="default" w:ascii="Times New Roman" w:hAnsi="Times New Roman" w:eastAsia="方正仿宋_GBK" w:cs="Times New Roman"/>
                <w:lang w:val="en-US" w:eastAsia="zh-CN" w:bidi="ar"/>
              </w:rPr>
              <w:t>人</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8"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疫情防控国际合作、为柬埔寨暹粒市捐赠医用防护服</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=600</w:t>
            </w:r>
            <w:r>
              <w:rPr>
                <w:rStyle w:val="23"/>
                <w:rFonts w:hint="default" w:ascii="Times New Roman" w:hAnsi="Times New Roman" w:eastAsia="方正仿宋_GBK" w:cs="Times New Roman"/>
                <w:lang w:val="en-US" w:eastAsia="zh-CN" w:bidi="ar"/>
              </w:rPr>
              <w:t>套</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600</w:t>
            </w:r>
            <w:r>
              <w:rPr>
                <w:rStyle w:val="23"/>
                <w:rFonts w:hint="default" w:ascii="Times New Roman" w:hAnsi="Times New Roman" w:eastAsia="方正仿宋_GBK" w:cs="Times New Roman"/>
                <w:lang w:val="en-US" w:eastAsia="zh-CN" w:bidi="ar"/>
              </w:rPr>
              <w:t>套</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3" w:hRule="atLeast"/>
          <w:jc w:val="center"/>
        </w:trPr>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default" w:ascii="Times New Roman" w:hAnsi="Times New Roman" w:eastAsia="方正仿宋_GBK" w:cs="Times New Roman"/>
                <w:b/>
                <w:i w:val="0"/>
                <w:color w:val="000000"/>
                <w:sz w:val="20"/>
                <w:szCs w:val="20"/>
                <w:u w:val="none"/>
              </w:rPr>
            </w:pPr>
          </w:p>
        </w:tc>
        <w:tc>
          <w:tcPr>
            <w:tcW w:w="235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Style w:val="23"/>
                <w:rFonts w:hint="default" w:ascii="Times New Roman" w:hAnsi="Times New Roman" w:eastAsia="方正仿宋_GBK" w:cs="Times New Roman"/>
                <w:lang w:val="en-US" w:eastAsia="zh-CN" w:bidi="ar"/>
              </w:rPr>
              <w:t>涉外宣传、培训次数</w:t>
            </w:r>
          </w:p>
        </w:tc>
        <w:tc>
          <w:tcPr>
            <w:tcW w:w="12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=3</w:t>
            </w:r>
            <w:r>
              <w:rPr>
                <w:rStyle w:val="23"/>
                <w:rFonts w:hint="default" w:ascii="Times New Roman" w:hAnsi="Times New Roman" w:eastAsia="方正仿宋_GBK" w:cs="Times New Roman"/>
                <w:lang w:val="en-US" w:eastAsia="zh-CN" w:bidi="ar"/>
              </w:rPr>
              <w:t>次</w:t>
            </w:r>
          </w:p>
        </w:tc>
        <w:tc>
          <w:tcPr>
            <w:tcW w:w="93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4"/>
                <w:szCs w:val="24"/>
                <w:u w:val="none"/>
                <w:lang w:val="en-US" w:eastAsia="zh-CN" w:bidi="ar"/>
              </w:rPr>
              <w:t>3</w:t>
            </w:r>
            <w:r>
              <w:rPr>
                <w:rStyle w:val="23"/>
                <w:rFonts w:hint="default" w:ascii="Times New Roman" w:hAnsi="Times New Roman" w:eastAsia="方正仿宋_GBK" w:cs="Times New Roman"/>
                <w:lang w:val="en-US" w:eastAsia="zh-CN" w:bidi="ar"/>
              </w:rPr>
              <w:t>次</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100%</w:t>
            </w:r>
          </w:p>
        </w:tc>
        <w:tc>
          <w:tcPr>
            <w:tcW w:w="18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方正仿宋_GBK" w:cs="Times New Roman"/>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93" w:hRule="atLeast"/>
          <w:jc w:val="center"/>
        </w:trPr>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说明</w:t>
            </w:r>
          </w:p>
        </w:tc>
        <w:tc>
          <w:tcPr>
            <w:tcW w:w="7482"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方正仿宋_GBK" w:cs="Times New Roman"/>
                <w:i w:val="0"/>
                <w:color w:val="000000"/>
                <w:sz w:val="20"/>
                <w:szCs w:val="20"/>
                <w:u w:val="none"/>
              </w:rPr>
            </w:pPr>
            <w:r>
              <w:rPr>
                <w:rFonts w:hint="default" w:ascii="Times New Roman" w:hAnsi="Times New Roman" w:eastAsia="方正仿宋_GBK" w:cs="Times New Roman"/>
                <w:i w:val="0"/>
                <w:color w:val="000000"/>
                <w:kern w:val="0"/>
                <w:sz w:val="20"/>
                <w:szCs w:val="20"/>
                <w:u w:val="none"/>
                <w:lang w:val="en-US" w:eastAsia="zh-CN" w:bidi="ar"/>
              </w:rPr>
              <w:t>无</w:t>
            </w:r>
          </w:p>
        </w:tc>
      </w:tr>
    </w:tbl>
    <w:p>
      <w:pPr>
        <w:pStyle w:val="7"/>
        <w:keepNext w:val="0"/>
        <w:keepLines w:val="0"/>
        <w:pageBreakBefore w:val="0"/>
        <w:widowControl/>
        <w:numPr>
          <w:ilvl w:val="0"/>
          <w:numId w:val="3"/>
        </w:numPr>
        <w:shd w:val="clear" w:color="auto" w:fill="FFFFFF"/>
        <w:kinsoku/>
        <w:wordWrap/>
        <w:overflowPunct/>
        <w:topLinePunct w:val="0"/>
        <w:autoSpaceDE/>
        <w:autoSpaceDN/>
        <w:bidi w:val="0"/>
        <w:adjustRightInd/>
        <w:snapToGrid/>
        <w:spacing w:line="600" w:lineRule="exact"/>
        <w:ind w:firstLine="642" w:firstLineChars="200"/>
        <w:jc w:val="both"/>
        <w:textAlignment w:val="auto"/>
        <w:rPr>
          <w:rFonts w:hint="default" w:ascii="方正仿宋_GBK" w:hAnsi="方正仿宋_GBK" w:eastAsia="方正仿宋_GBK" w:cs="方正仿宋_GBK"/>
          <w:color w:val="auto"/>
          <w:sz w:val="32"/>
          <w:szCs w:val="32"/>
        </w:rPr>
      </w:pPr>
      <w:r>
        <w:rPr>
          <w:rStyle w:val="10"/>
          <w:rFonts w:ascii="方正仿宋_GBK" w:hAnsi="方正仿宋_GBK" w:eastAsia="方正仿宋_GBK" w:cs="方正仿宋_GBK"/>
          <w:color w:val="auto"/>
          <w:sz w:val="32"/>
          <w:szCs w:val="32"/>
        </w:rPr>
        <w:t>绩效自评报告或案例</w:t>
      </w:r>
    </w:p>
    <w:p>
      <w:pPr>
        <w:pStyle w:val="7"/>
        <w:keepNext w:val="0"/>
        <w:keepLines w:val="0"/>
        <w:pageBreakBefore w:val="0"/>
        <w:widowControl/>
        <w:shd w:val="clear" w:color="auto" w:fill="FFFFFF"/>
        <w:kinsoku/>
        <w:wordWrap/>
        <w:overflowPunct/>
        <w:topLinePunct w:val="0"/>
        <w:autoSpaceDE/>
        <w:autoSpaceDN/>
        <w:bidi w:val="0"/>
        <w:spacing w:line="600" w:lineRule="exact"/>
        <w:ind w:firstLine="585"/>
        <w:jc w:val="both"/>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本单位2021年度没有委托第三方开展绩效自评，无此类情况说明。</w:t>
      </w:r>
    </w:p>
    <w:p>
      <w:pPr>
        <w:pStyle w:val="7"/>
        <w:keepNext w:val="0"/>
        <w:keepLines w:val="0"/>
        <w:pageBreakBefore w:val="0"/>
        <w:widowControl/>
        <w:shd w:val="clear" w:color="auto" w:fill="FFFFFF"/>
        <w:kinsoku/>
        <w:wordWrap/>
        <w:overflowPunct/>
        <w:topLinePunct w:val="0"/>
        <w:autoSpaceDE/>
        <w:autoSpaceDN/>
        <w:bidi w:val="0"/>
        <w:spacing w:line="600" w:lineRule="exact"/>
        <w:ind w:firstLine="585"/>
        <w:jc w:val="both"/>
        <w:rPr>
          <w:rFonts w:hint="default" w:ascii="方正楷体_GBK" w:hAnsi="方正楷体_GBK" w:eastAsia="方正楷体_GBK" w:cs="方正楷体_GBK"/>
          <w:bCs/>
          <w:color w:val="auto"/>
          <w:sz w:val="32"/>
          <w:szCs w:val="32"/>
        </w:rPr>
      </w:pPr>
      <w:r>
        <w:rPr>
          <w:rStyle w:val="10"/>
          <w:rFonts w:ascii="方正楷体_GBK" w:hAnsi="方正楷体_GBK" w:eastAsia="方正楷体_GBK" w:cs="方正楷体_GBK"/>
          <w:b w:val="0"/>
          <w:bCs/>
          <w:color w:val="auto"/>
          <w:sz w:val="32"/>
          <w:szCs w:val="32"/>
        </w:rPr>
        <w:t>（三）重点绩效评价结果</w:t>
      </w:r>
    </w:p>
    <w:p>
      <w:pPr>
        <w:pStyle w:val="7"/>
        <w:keepNext w:val="0"/>
        <w:keepLines w:val="0"/>
        <w:pageBreakBefore w:val="0"/>
        <w:widowControl/>
        <w:shd w:val="clear" w:color="auto" w:fill="FFFFFF"/>
        <w:kinsoku/>
        <w:wordWrap/>
        <w:overflowPunct/>
        <w:topLinePunct w:val="0"/>
        <w:autoSpaceDE/>
        <w:autoSpaceDN/>
        <w:bidi w:val="0"/>
        <w:spacing w:line="600" w:lineRule="exact"/>
        <w:ind w:firstLine="585"/>
        <w:jc w:val="both"/>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本单位2021年没有委托第三方对部门政策或项目开展重点绩效评价，无此类情况说明。</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5"/>
        <w:jc w:val="both"/>
        <w:rPr>
          <w:rFonts w:hint="default" w:ascii="方正黑体_GBK" w:hAnsi="方正黑体_GBK" w:eastAsia="方正黑体_GBK" w:cs="方正黑体_GBK"/>
          <w:color w:val="auto"/>
          <w:sz w:val="32"/>
          <w:szCs w:val="32"/>
        </w:rPr>
      </w:pPr>
      <w:bookmarkStart w:id="2" w:name="_Toc44226881"/>
      <w:r>
        <w:rPr>
          <w:rFonts w:ascii="方正黑体_GBK" w:hAnsi="方正黑体_GBK" w:eastAsia="方正黑体_GBK" w:cs="方正黑体_GBK"/>
          <w:color w:val="auto"/>
          <w:sz w:val="32"/>
          <w:szCs w:val="32"/>
          <w:shd w:val="clear" w:color="auto" w:fill="FFFFFF"/>
        </w:rPr>
        <w:t>六、部门整体支出绩效情况</w:t>
      </w:r>
      <w:bookmarkEnd w:id="2"/>
    </w:p>
    <w:p>
      <w:pPr>
        <w:pStyle w:val="7"/>
        <w:keepNext w:val="0"/>
        <w:keepLines w:val="0"/>
        <w:pageBreakBefore w:val="0"/>
        <w:widowControl/>
        <w:shd w:val="clear" w:color="auto" w:fill="FFFFFF"/>
        <w:kinsoku/>
        <w:wordWrap/>
        <w:overflowPunct/>
        <w:topLinePunct w:val="0"/>
        <w:autoSpaceDE/>
        <w:autoSpaceDN/>
        <w:bidi w:val="0"/>
        <w:spacing w:line="600" w:lineRule="exact"/>
        <w:ind w:firstLine="585"/>
        <w:jc w:val="both"/>
        <w:rPr>
          <w:rFonts w:hint="default" w:ascii="方正楷体_GBK" w:hAnsi="方正楷体_GBK" w:eastAsia="方正楷体_GBK" w:cs="方正楷体_GBK"/>
          <w:bCs/>
          <w:color w:val="auto"/>
          <w:sz w:val="32"/>
          <w:szCs w:val="32"/>
        </w:rPr>
      </w:pPr>
      <w:r>
        <w:rPr>
          <w:rStyle w:val="10"/>
          <w:rFonts w:ascii="方正楷体_GBK" w:hAnsi="方正楷体_GBK" w:eastAsia="方正楷体_GBK" w:cs="方正楷体_GBK"/>
          <w:b w:val="0"/>
          <w:bCs/>
          <w:color w:val="auto"/>
          <w:sz w:val="32"/>
          <w:szCs w:val="32"/>
          <w:shd w:val="clear" w:color="auto" w:fill="FFFFFF"/>
        </w:rPr>
        <w:t>（一）部门年度总体运行情况及取得的成绩。</w:t>
      </w:r>
    </w:p>
    <w:p>
      <w:pPr>
        <w:keepNext w:val="0"/>
        <w:keepLines w:val="0"/>
        <w:pageBreakBefore w:val="0"/>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2021年，在区委、区政府坚强领导下，区政府外办认真落实中央决策部署、市委市政府工作要求和区委区政府工作安排，坚持从全局谋划一域、以一域服务全局，既“办外事”又“谋外事”，既“管外事”又“统外事”，各项工作取得新的成效。</w:t>
      </w:r>
    </w:p>
    <w:p>
      <w:pPr>
        <w:keepNext w:val="0"/>
        <w:keepLines w:val="0"/>
        <w:pageBreakBefore w:val="0"/>
        <w:numPr>
          <w:ilvl w:val="0"/>
          <w:numId w:val="4"/>
        </w:numPr>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对外交往通道建设加快推进。万州机场</w:t>
      </w:r>
      <w:r>
        <w:rPr>
          <w:rFonts w:hint="eastAsia" w:ascii="方正仿宋_GBK" w:hAnsi="方正仿宋_GBK" w:eastAsia="方正仿宋_GBK" w:cs="方正仿宋_GBK"/>
          <w:bCs/>
          <w:color w:val="auto"/>
          <w:sz w:val="32"/>
          <w:szCs w:val="32"/>
        </w:rPr>
        <w:t>飞行区改扩建基本完工并通过民航行业验收，T2航站楼主体结构全部建成。</w:t>
      </w:r>
      <w:r>
        <w:rPr>
          <w:rFonts w:hint="eastAsia" w:ascii="方正仿宋_GBK" w:hAnsi="方正仿宋_GBK" w:eastAsia="方正仿宋_GBK" w:cs="方正仿宋_GBK"/>
          <w:color w:val="auto"/>
          <w:sz w:val="32"/>
          <w:szCs w:val="32"/>
        </w:rPr>
        <w:t>郑万高铁（万州段）项目主体工程完成。成达万高铁取得可研批复。渝西高铁（万州—城口段）项目已通过可研审查。南环高速公路建设进展顺利。新田港铁路集疏运中心建设稳步推进。桐子园作业区临时设施完成，部分前期工程完成。</w:t>
      </w:r>
    </w:p>
    <w:p>
      <w:pPr>
        <w:keepNext w:val="0"/>
        <w:keepLines w:val="0"/>
        <w:pageBreakBefore w:val="0"/>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2.</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对外交往平台搭建取得进展。万州经开区成功申报中国（重庆）自贸试验区万州经开区联动创新区。万州综合保税区一期全面建成。开通沪渝直达快线万州—上海班轮。投资建设三峡综合物流枢纽，积极谋划智慧云仓项目，与京东西南分公司达成共同经营的初步协议。</w:t>
      </w:r>
    </w:p>
    <w:p>
      <w:pPr>
        <w:keepNext w:val="0"/>
        <w:keepLines w:val="0"/>
        <w:pageBreakBefore w:val="0"/>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3.</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对外交往动能培育成效明显。落实对外资企业的“三送一访”活动。成功举办2021线上三峡柑橘国际交易会，实现交易额24.7亿元。建成重庆市大三峡旅游集散中心，三峡平湖旅游区被评定为国家4A级旅游景区。三峡文化艺术中心、三峡公共卫生应急医院、三峡国际健康城三峡医学中心等公建项目加快推进。</w:t>
      </w:r>
    </w:p>
    <w:p>
      <w:pPr>
        <w:keepNext w:val="0"/>
        <w:keepLines w:val="0"/>
        <w:pageBreakBefore w:val="0"/>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4.</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国际传播水平得到全面提升。完善国际传播体系，健全外宣联席会议机制。成功举办</w:t>
      </w:r>
      <w:r>
        <w:rPr>
          <w:rFonts w:hint="eastAsia" w:ascii="方正仿宋_GBK" w:hAnsi="方正仿宋_GBK" w:eastAsia="方正仿宋_GBK" w:cs="方正仿宋_GBK"/>
          <w:color w:val="auto"/>
          <w:spacing w:val="8"/>
          <w:sz w:val="32"/>
          <w:szCs w:val="32"/>
        </w:rPr>
        <w:t>2021世界大河歌会</w:t>
      </w:r>
      <w:r>
        <w:rPr>
          <w:rFonts w:hint="eastAsia" w:ascii="方正仿宋_GBK" w:hAnsi="方正仿宋_GBK" w:eastAsia="方正仿宋_GBK" w:cs="方正仿宋_GBK"/>
          <w:color w:val="auto"/>
          <w:sz w:val="32"/>
          <w:szCs w:val="32"/>
        </w:rPr>
        <w:t>。精心编报《重庆万州外事参访路线网点》。“绿影青踪”茶席等5件文创产品入围“重庆好礼”外事礼</w:t>
      </w:r>
      <w:bookmarkStart w:id="3" w:name="_GoBack"/>
      <w:bookmarkEnd w:id="3"/>
      <w:r>
        <w:rPr>
          <w:rFonts w:hint="eastAsia" w:ascii="方正仿宋_GBK" w:hAnsi="方正仿宋_GBK" w:eastAsia="方正仿宋_GBK" w:cs="方正仿宋_GBK"/>
          <w:color w:val="auto"/>
          <w:sz w:val="32"/>
          <w:szCs w:val="32"/>
        </w:rPr>
        <w:t>品名单。探索在国际友城政府主流媒体平台互设“友城之窗”，讲好中国故事重庆、万州篇章，增强外宣实效性。</w:t>
      </w:r>
    </w:p>
    <w:p>
      <w:pPr>
        <w:pStyle w:val="11"/>
        <w:keepNext w:val="0"/>
        <w:keepLines w:val="0"/>
        <w:pageBreakBefore w:val="0"/>
        <w:widowControl/>
        <w:kinsoku/>
        <w:wordWrap/>
        <w:overflowPunct/>
        <w:topLinePunct w:val="0"/>
        <w:autoSpaceDE/>
        <w:autoSpaceDN/>
        <w:bidi w:val="0"/>
        <w:spacing w:line="600" w:lineRule="exact"/>
        <w:ind w:firstLine="64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5.</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国际友城交往取得突破。</w:t>
      </w:r>
      <w:r>
        <w:rPr>
          <w:rFonts w:hint="eastAsia" w:ascii="方正仿宋_GBK" w:hAnsi="方正仿宋_GBK" w:eastAsia="方正仿宋_GBK" w:cs="方正仿宋_GBK"/>
          <w:color w:val="auto"/>
          <w:kern w:val="0"/>
          <w:sz w:val="32"/>
          <w:szCs w:val="32"/>
        </w:rPr>
        <w:t>万州区</w:t>
      </w:r>
      <w:r>
        <w:rPr>
          <w:rFonts w:hint="eastAsia" w:ascii="方正仿宋_GBK" w:hAnsi="方正仿宋_GBK" w:eastAsia="方正仿宋_GBK" w:cs="方正仿宋_GBK"/>
          <w:color w:val="auto"/>
          <w:sz w:val="32"/>
          <w:szCs w:val="32"/>
        </w:rPr>
        <w:t>与奥地利古兴市</w:t>
      </w:r>
      <w:r>
        <w:rPr>
          <w:rFonts w:hint="eastAsia" w:ascii="方正仿宋_GBK" w:hAnsi="方正仿宋_GBK" w:eastAsia="方正仿宋_GBK" w:cs="方正仿宋_GBK"/>
          <w:snapToGrid w:val="0"/>
          <w:color w:val="auto"/>
          <w:kern w:val="0"/>
          <w:sz w:val="32"/>
          <w:szCs w:val="32"/>
        </w:rPr>
        <w:t>正式建立国际友城关系，与乌克兰切尔卡塞市续签友好城市合作协议，</w:t>
      </w:r>
      <w:r>
        <w:rPr>
          <w:rFonts w:hint="eastAsia" w:ascii="方正仿宋_GBK" w:hAnsi="方正仿宋_GBK" w:eastAsia="方正仿宋_GBK" w:cs="方正仿宋_GBK"/>
          <w:color w:val="auto"/>
          <w:sz w:val="32"/>
          <w:szCs w:val="32"/>
        </w:rPr>
        <w:t>国际友城达到5个。深化与法国热尔省、乌克兰切尔卡塞市、美国韦恩斯伯勒市、白俄罗斯科佩尔区各领域交往，加强与柬埔寨暹粒市交往，</w:t>
      </w:r>
      <w:r>
        <w:rPr>
          <w:rFonts w:hint="eastAsia" w:ascii="方正仿宋_GBK" w:hAnsi="方正仿宋_GBK" w:eastAsia="方正仿宋_GBK" w:cs="方正仿宋_GBK"/>
          <w:color w:val="auto"/>
          <w:kern w:val="0"/>
          <w:sz w:val="32"/>
          <w:szCs w:val="32"/>
        </w:rPr>
        <w:t>加固双方友谊</w:t>
      </w:r>
      <w:r>
        <w:rPr>
          <w:rFonts w:hint="eastAsia" w:ascii="方正仿宋_GBK" w:hAnsi="方正仿宋_GBK" w:eastAsia="方正仿宋_GBK" w:cs="方正仿宋_GBK"/>
          <w:color w:val="auto"/>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6.</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经贸科技合作持续深化。</w:t>
      </w:r>
      <w:r>
        <w:rPr>
          <w:rFonts w:hint="eastAsia" w:ascii="方正仿宋_GBK" w:hAnsi="方正仿宋_GBK" w:eastAsia="方正仿宋_GBK" w:cs="方正仿宋_GBK"/>
          <w:color w:val="auto"/>
          <w:kern w:val="0"/>
          <w:sz w:val="32"/>
          <w:szCs w:val="32"/>
        </w:rPr>
        <w:t>邀请日本驻</w:t>
      </w:r>
      <w:r>
        <w:rPr>
          <w:rFonts w:hint="eastAsia" w:ascii="方正仿宋_GBK" w:hAnsi="方正仿宋_GBK" w:eastAsia="方正仿宋_GBK" w:cs="方正仿宋_GBK"/>
          <w:color w:val="auto"/>
          <w:sz w:val="32"/>
          <w:szCs w:val="32"/>
        </w:rPr>
        <w:t>重庆总领馆副总领事、香港特别行政区政府驻成都经济贸易办事处主任等来万考察，</w:t>
      </w:r>
      <w:r>
        <w:rPr>
          <w:rFonts w:hint="eastAsia" w:ascii="方正仿宋_GBK" w:hAnsi="方正仿宋_GBK" w:eastAsia="方正仿宋_GBK" w:cs="方正仿宋_GBK"/>
          <w:color w:val="auto"/>
          <w:kern w:val="0"/>
          <w:sz w:val="32"/>
          <w:szCs w:val="32"/>
        </w:rPr>
        <w:t>推动开展</w:t>
      </w:r>
      <w:r>
        <w:rPr>
          <w:rFonts w:hint="eastAsia" w:ascii="方正仿宋_GBK" w:hAnsi="方正仿宋_GBK" w:eastAsia="方正仿宋_GBK" w:cs="方正仿宋_GBK"/>
          <w:color w:val="auto"/>
          <w:sz w:val="32"/>
          <w:szCs w:val="32"/>
        </w:rPr>
        <w:t>经贸合作。</w:t>
      </w:r>
      <w:r>
        <w:rPr>
          <w:rFonts w:hint="eastAsia" w:ascii="方正仿宋_GBK" w:hAnsi="方正仿宋_GBK" w:eastAsia="方正仿宋_GBK" w:cs="方正仿宋_GBK"/>
          <w:bCs/>
          <w:color w:val="auto"/>
          <w:sz w:val="32"/>
          <w:szCs w:val="32"/>
        </w:rPr>
        <w:t>中国援利比里亚竹藤编及蔬菜种植技术项目圆满完成，</w:t>
      </w:r>
      <w:r>
        <w:rPr>
          <w:rFonts w:hint="eastAsia" w:ascii="方正仿宋_GBK" w:hAnsi="方正仿宋_GBK" w:eastAsia="方正仿宋_GBK" w:cs="方正仿宋_GBK"/>
          <w:color w:val="auto"/>
          <w:sz w:val="32"/>
          <w:szCs w:val="32"/>
        </w:rPr>
        <w:t>为利比里亚培训900余名青年农业技术人才。</w:t>
      </w:r>
      <w:r>
        <w:rPr>
          <w:rFonts w:hint="eastAsia" w:ascii="方正仿宋_GBK" w:hAnsi="方正仿宋_GBK" w:eastAsia="方正仿宋_GBK" w:cs="方正仿宋_GBK"/>
          <w:bCs/>
          <w:color w:val="auto"/>
          <w:sz w:val="32"/>
          <w:szCs w:val="32"/>
        </w:rPr>
        <w:t>江东机械公司加快香港近净成形研发中心重庆市海智工作站主体设备研制调试。</w:t>
      </w:r>
    </w:p>
    <w:p>
      <w:pPr>
        <w:keepNext w:val="0"/>
        <w:keepLines w:val="0"/>
        <w:pageBreakBefore w:val="0"/>
        <w:widowControl/>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7.</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教育文化交流不断拓展。推进中外人文交流中心与重庆市教育国际交流协会共建人文交流园万州体验基地。重庆三峡医药高等专科学校与加拿大开展合作办学。重庆幼儿师范高等专科学校与联合国教科文组织国际农村教育研究与培训中心签署《“共同行动伙伴”合作协议》。万州职教中心中法工业合作示范项目绿色制造人才培养和创新中心投入使用。万州教育考试院TOFFL考点通过教育部验收并举办考试3场</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95人次。万州外国语学校德语班学生获得</w:t>
      </w:r>
      <w:r>
        <w:rPr>
          <w:rFonts w:hint="eastAsia" w:ascii="方正仿宋_GBK" w:hAnsi="方正仿宋_GBK" w:eastAsia="方正仿宋_GBK" w:cs="方正仿宋_GBK"/>
          <w:color w:val="auto"/>
          <w:kern w:val="0"/>
          <w:sz w:val="32"/>
          <w:szCs w:val="32"/>
        </w:rPr>
        <w:t>“2021年中国青少年德语辩论赛”（Jugend debattiert in China）荣誉奖项</w:t>
      </w:r>
      <w:r>
        <w:rPr>
          <w:rFonts w:hint="eastAsia" w:ascii="方正仿宋_GBK" w:hAnsi="方正仿宋_GBK" w:eastAsia="方正仿宋_GBK" w:cs="方正仿宋_GBK"/>
          <w:color w:val="auto"/>
          <w:sz w:val="32"/>
          <w:szCs w:val="32"/>
        </w:rPr>
        <w:t>。</w:t>
      </w:r>
    </w:p>
    <w:p>
      <w:pPr>
        <w:keepNext w:val="0"/>
        <w:keepLines w:val="0"/>
        <w:pageBreakBefore w:val="0"/>
        <w:widowControl/>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8.</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境外疫情输入防线织密筑牢。充分发挥区疫情防控外事联络组职能，完善联防联控和快速反应机制，适时调整优化防控措施；强化协作配合，做到早发现早预警；层层压实责任，落实告知宣传、核酸检测、封闭转运、规范隔离等防控措施。今年以来，全区共管理境外旅居史来万返万人员9</w:t>
      </w:r>
      <w:r>
        <w:rPr>
          <w:rFonts w:hint="eastAsia" w:ascii="方正仿宋_GBK" w:hAnsi="方正仿宋_GBK" w:eastAsia="方正仿宋_GBK" w:cs="方正仿宋_GBK"/>
          <w:color w:val="auto"/>
          <w:sz w:val="32"/>
          <w:szCs w:val="32"/>
          <w:lang w:val="en-US" w:eastAsia="zh-CN"/>
        </w:rPr>
        <w:t>60</w:t>
      </w:r>
      <w:r>
        <w:rPr>
          <w:rFonts w:hint="eastAsia" w:ascii="方正仿宋_GBK" w:hAnsi="方正仿宋_GBK" w:eastAsia="方正仿宋_GBK" w:cs="方正仿宋_GBK"/>
          <w:color w:val="auto"/>
          <w:sz w:val="32"/>
          <w:szCs w:val="32"/>
        </w:rPr>
        <w:t>人，无境外病例输入。</w:t>
      </w:r>
    </w:p>
    <w:p>
      <w:pPr>
        <w:keepNext w:val="0"/>
        <w:keepLines w:val="0"/>
        <w:pageBreakBefore w:val="0"/>
        <w:widowControl/>
        <w:kinsoku/>
        <w:wordWrap/>
        <w:overflowPunct/>
        <w:topLinePunct w:val="0"/>
        <w:autoSpaceDE/>
        <w:autoSpaceDN/>
        <w:bidi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9.</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防疫服务“两外”人员用情用力。动态开展万州籍境外人员摸排，主动联络宣传防控政策措施。加强境外在万人员管理服务，</w:t>
      </w:r>
      <w:r>
        <w:rPr>
          <w:rFonts w:hint="eastAsia" w:ascii="方正仿宋_GBK" w:hAnsi="方正仿宋_GBK" w:eastAsia="方正仿宋_GBK" w:cs="方正仿宋_GBK"/>
          <w:color w:val="auto"/>
          <w:kern w:val="0"/>
          <w:sz w:val="32"/>
          <w:szCs w:val="32"/>
        </w:rPr>
        <w:t>开通疫情防护咨询热线</w:t>
      </w:r>
      <w:r>
        <w:rPr>
          <w:rFonts w:hint="eastAsia" w:ascii="方正仿宋_GBK" w:hAnsi="方正仿宋_GBK" w:eastAsia="方正仿宋_GBK" w:cs="方正仿宋_GBK"/>
          <w:color w:val="auto"/>
          <w:sz w:val="32"/>
          <w:szCs w:val="32"/>
        </w:rPr>
        <w:t>。督促镇乡街道开展新冠疫苗接种政策“一对一、面对面”上门宣传，</w:t>
      </w:r>
      <w:r>
        <w:rPr>
          <w:rFonts w:hint="eastAsia" w:ascii="方正仿宋_GBK" w:hAnsi="方正仿宋_GBK" w:eastAsia="方正仿宋_GBK" w:cs="方正仿宋_GBK"/>
          <w:color w:val="auto"/>
          <w:kern w:val="0"/>
          <w:sz w:val="32"/>
          <w:szCs w:val="32"/>
        </w:rPr>
        <w:t>渝东北片区接种疫苗外</w:t>
      </w:r>
      <w:r>
        <w:rPr>
          <w:rFonts w:hint="eastAsia" w:ascii="方正仿宋_GBK" w:hAnsi="方正仿宋_GBK" w:eastAsia="方正仿宋_GBK" w:cs="方正仿宋_GBK"/>
          <w:color w:val="auto"/>
          <w:kern w:val="0"/>
          <w:sz w:val="32"/>
          <w:szCs w:val="32"/>
          <w:lang w:val="en-US" w:eastAsia="zh-CN"/>
        </w:rPr>
        <w:t>籍</w:t>
      </w:r>
      <w:r>
        <w:rPr>
          <w:rFonts w:hint="eastAsia" w:ascii="方正仿宋_GBK" w:hAnsi="方正仿宋_GBK" w:eastAsia="方正仿宋_GBK" w:cs="方正仿宋_GBK"/>
          <w:color w:val="auto"/>
          <w:kern w:val="0"/>
          <w:sz w:val="32"/>
          <w:szCs w:val="32"/>
        </w:rPr>
        <w:t>人</w:t>
      </w:r>
      <w:r>
        <w:rPr>
          <w:rFonts w:hint="eastAsia" w:ascii="方正仿宋_GBK" w:hAnsi="方正仿宋_GBK" w:eastAsia="方正仿宋_GBK" w:cs="方正仿宋_GBK"/>
          <w:color w:val="auto"/>
          <w:kern w:val="0"/>
          <w:sz w:val="32"/>
          <w:szCs w:val="32"/>
          <w:lang w:val="en-US" w:eastAsia="zh-CN"/>
        </w:rPr>
        <w:t>士9</w:t>
      </w:r>
      <w:r>
        <w:rPr>
          <w:rFonts w:hint="eastAsia" w:ascii="方正仿宋_GBK" w:hAnsi="方正仿宋_GBK" w:eastAsia="方正仿宋_GBK" w:cs="方正仿宋_GBK"/>
          <w:color w:val="auto"/>
          <w:kern w:val="0"/>
          <w:sz w:val="32"/>
          <w:szCs w:val="32"/>
        </w:rPr>
        <w:t>1人、港澳同胞</w:t>
      </w:r>
      <w:r>
        <w:rPr>
          <w:rFonts w:hint="eastAsia" w:ascii="方正仿宋_GBK" w:hAnsi="方正仿宋_GBK" w:eastAsia="方正仿宋_GBK" w:cs="方正仿宋_GBK"/>
          <w:color w:val="auto"/>
          <w:kern w:val="0"/>
          <w:sz w:val="32"/>
          <w:szCs w:val="32"/>
          <w:lang w:val="en-US" w:eastAsia="zh-CN"/>
        </w:rPr>
        <w:t>48</w:t>
      </w:r>
      <w:r>
        <w:rPr>
          <w:rFonts w:hint="eastAsia" w:ascii="方正仿宋_GBK" w:hAnsi="方正仿宋_GBK" w:eastAsia="方正仿宋_GBK" w:cs="方正仿宋_GBK"/>
          <w:color w:val="auto"/>
          <w:kern w:val="0"/>
          <w:sz w:val="32"/>
          <w:szCs w:val="32"/>
        </w:rPr>
        <w:t>人、台湾同胞</w:t>
      </w:r>
      <w:r>
        <w:rPr>
          <w:rFonts w:hint="eastAsia" w:ascii="方正仿宋_GBK" w:hAnsi="方正仿宋_GBK" w:eastAsia="方正仿宋_GBK" w:cs="方正仿宋_GBK"/>
          <w:color w:val="auto"/>
          <w:kern w:val="0"/>
          <w:sz w:val="32"/>
          <w:szCs w:val="32"/>
          <w:lang w:val="en-US" w:eastAsia="zh-CN"/>
        </w:rPr>
        <w:t>38</w:t>
      </w:r>
      <w:r>
        <w:rPr>
          <w:rFonts w:hint="eastAsia" w:ascii="方正仿宋_GBK" w:hAnsi="方正仿宋_GBK" w:eastAsia="方正仿宋_GBK" w:cs="方正仿宋_GBK"/>
          <w:color w:val="auto"/>
          <w:kern w:val="0"/>
          <w:sz w:val="32"/>
          <w:szCs w:val="32"/>
        </w:rPr>
        <w:t>人，实现在万外籍人员疫情零感染</w:t>
      </w:r>
      <w:r>
        <w:rPr>
          <w:rFonts w:hint="eastAsia" w:ascii="方正仿宋_GBK" w:hAnsi="方正仿宋_GBK" w:eastAsia="方正仿宋_GBK" w:cs="方正仿宋_GBK"/>
          <w:color w:val="auto"/>
          <w:sz w:val="32"/>
          <w:szCs w:val="32"/>
        </w:rPr>
        <w:t>。</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10.</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kern w:val="0"/>
          <w:sz w:val="32"/>
          <w:szCs w:val="32"/>
        </w:rPr>
        <w:t>疫情防控国际合作持续深化</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kern w:val="0"/>
          <w:sz w:val="32"/>
          <w:szCs w:val="32"/>
        </w:rPr>
        <w:t>积极联系各国际友城，关注疫情动态、提供防疫咨询、分享防疫经验，为柬埔寨暹粒市捐赠医用防护服600套。</w:t>
      </w:r>
      <w:r>
        <w:rPr>
          <w:rFonts w:hint="eastAsia" w:ascii="方正仿宋_GBK" w:hAnsi="方正仿宋_GBK" w:eastAsia="方正仿宋_GBK" w:cs="方正仿宋_GBK"/>
          <w:color w:val="auto"/>
          <w:sz w:val="32"/>
          <w:szCs w:val="32"/>
        </w:rPr>
        <w:t>兼顾疫情防控和对外科技贸易合作，落实“快捷通道”，协助企业邀请外籍专家来万</w:t>
      </w:r>
      <w:r>
        <w:rPr>
          <w:rFonts w:hint="eastAsia" w:ascii="方正仿宋_GBK" w:hAnsi="方正仿宋_GBK" w:eastAsia="方正仿宋_GBK" w:cs="方正仿宋_GBK"/>
          <w:color w:val="auto"/>
          <w:sz w:val="32"/>
          <w:szCs w:val="32"/>
          <w:lang w:val="en-US" w:eastAsia="zh-CN"/>
        </w:rPr>
        <w:t>6</w:t>
      </w:r>
      <w:r>
        <w:rPr>
          <w:rFonts w:hint="eastAsia" w:ascii="方正仿宋_GBK" w:hAnsi="方正仿宋_GBK" w:eastAsia="方正仿宋_GBK" w:cs="方正仿宋_GBK"/>
          <w:color w:val="auto"/>
          <w:sz w:val="32"/>
          <w:szCs w:val="32"/>
        </w:rPr>
        <w:t>人次，服务外资外贸发展。</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center"/>
        <w:rPr>
          <w:rFonts w:hint="default" w:ascii="方正楷体_GBK" w:hAnsi="方正楷体_GBK" w:eastAsia="方正楷体_GBK" w:cs="方正楷体_GBK"/>
          <w:color w:val="auto"/>
          <w:sz w:val="32"/>
          <w:szCs w:val="32"/>
        </w:rPr>
      </w:pPr>
      <w:r>
        <w:rPr>
          <w:rFonts w:ascii="方正楷体_GBK" w:hAnsi="方正楷体_GBK" w:eastAsia="方正楷体_GBK" w:cs="方正楷体_GBK"/>
          <w:snapToGrid w:val="0"/>
          <w:color w:val="auto"/>
          <w:sz w:val="32"/>
          <w:szCs w:val="32"/>
        </w:rPr>
        <w:t>（二）</w:t>
      </w:r>
      <w:r>
        <w:rPr>
          <w:rFonts w:ascii="方正楷体_GBK" w:hAnsi="方正楷体_GBK" w:eastAsia="方正楷体_GBK" w:cs="方正楷体_GBK"/>
          <w:color w:val="auto"/>
          <w:sz w:val="32"/>
          <w:szCs w:val="32"/>
          <w:shd w:val="clear" w:color="auto" w:fill="FFFFFF"/>
        </w:rPr>
        <w:t>整体支出绩效评价</w:t>
      </w:r>
    </w:p>
    <w:p>
      <w:pPr>
        <w:keepNext w:val="0"/>
        <w:keepLines w:val="0"/>
        <w:pageBreakBefore w:val="0"/>
        <w:kinsoku/>
        <w:wordWrap/>
        <w:overflowPunct/>
        <w:topLinePunct w:val="0"/>
        <w:autoSpaceDE/>
        <w:autoSpaceDN/>
        <w:bidi w:val="0"/>
        <w:adjustRightInd w:val="0"/>
        <w:snapToGrid w:val="0"/>
        <w:spacing w:line="600" w:lineRule="exact"/>
        <w:ind w:firstLine="642" w:firstLineChars="200"/>
        <w:jc w:val="both"/>
        <w:rPr>
          <w:rFonts w:ascii="方正仿宋_GBK" w:hAnsi="方正仿宋_GBK" w:eastAsia="方正仿宋_GBK" w:cs="方正仿宋_GBK"/>
          <w:b/>
          <w:bCs/>
          <w:snapToGrid w:val="0"/>
          <w:color w:val="auto"/>
          <w:kern w:val="0"/>
          <w:sz w:val="32"/>
          <w:szCs w:val="32"/>
        </w:rPr>
      </w:pPr>
      <w:r>
        <w:rPr>
          <w:rFonts w:hint="eastAsia" w:ascii="方正仿宋_GBK" w:hAnsi="方正仿宋_GBK" w:eastAsia="方正仿宋_GBK" w:cs="方正仿宋_GBK"/>
          <w:b/>
          <w:bCs/>
          <w:snapToGrid w:val="0"/>
          <w:color w:val="auto"/>
          <w:kern w:val="0"/>
          <w:sz w:val="32"/>
          <w:szCs w:val="32"/>
        </w:rPr>
        <w:t>1.</w:t>
      </w:r>
      <w:r>
        <w:rPr>
          <w:rFonts w:hint="eastAsia" w:ascii="方正仿宋_GBK" w:hAnsi="方正仿宋_GBK" w:eastAsia="方正仿宋_GBK" w:cs="方正仿宋_GBK"/>
          <w:b/>
          <w:bCs/>
          <w:snapToGrid w:val="0"/>
          <w:color w:val="auto"/>
          <w:kern w:val="0"/>
          <w:sz w:val="32"/>
          <w:szCs w:val="32"/>
          <w:lang w:val="en-US" w:eastAsia="zh-CN"/>
        </w:rPr>
        <w:t xml:space="preserve"> </w:t>
      </w:r>
      <w:r>
        <w:rPr>
          <w:rFonts w:hint="eastAsia" w:ascii="方正仿宋_GBK" w:hAnsi="方正仿宋_GBK" w:eastAsia="方正仿宋_GBK" w:cs="方正仿宋_GBK"/>
          <w:b/>
          <w:bCs/>
          <w:snapToGrid w:val="0"/>
          <w:color w:val="auto"/>
          <w:kern w:val="0"/>
          <w:sz w:val="32"/>
          <w:szCs w:val="32"/>
        </w:rPr>
        <w:t>投入</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（1）预算配置（5分）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东文宋体" w:hAnsi="东文宋体" w:eastAsia="东文宋体" w:cs="东文宋体"/>
          <w:snapToGrid w:val="0"/>
          <w:color w:val="auto"/>
          <w:kern w:val="0"/>
          <w:sz w:val="32"/>
          <w:szCs w:val="32"/>
        </w:rPr>
        <w:t>①</w:t>
      </w:r>
      <w:r>
        <w:rPr>
          <w:rFonts w:hint="eastAsia" w:ascii="方正仿宋_GBK" w:hAnsi="方正仿宋_GBK" w:eastAsia="方正仿宋_GBK" w:cs="方正仿宋_GBK"/>
          <w:snapToGrid w:val="0"/>
          <w:color w:val="auto"/>
          <w:kern w:val="0"/>
          <w:sz w:val="32"/>
          <w:szCs w:val="32"/>
        </w:rPr>
        <w:t>财政供养人员控制率（2分）：本部门2021年年末实际在职人员为8人，编委核定的编制人数为7人，实际在职人员数占编委核定的编制数的比率＝（在职人员数÷编制数）×100%＝≦100%，部门对人员成本的控制程度符合规定要求，在职人员数超编委核定的编制数，根据评分标准扣0.5分，本部门该项指标得1.5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东文宋体" w:hAnsi="东文宋体" w:eastAsia="东文宋体" w:cs="东文宋体"/>
          <w:snapToGrid w:val="0"/>
          <w:color w:val="auto"/>
          <w:kern w:val="0"/>
          <w:sz w:val="32"/>
          <w:szCs w:val="32"/>
        </w:rPr>
        <w:t>②</w:t>
      </w:r>
      <w:r>
        <w:rPr>
          <w:rFonts w:hint="eastAsia" w:ascii="方正仿宋_GBK" w:hAnsi="方正仿宋_GBK" w:eastAsia="方正仿宋_GBK" w:cs="方正仿宋_GBK"/>
          <w:snapToGrid w:val="0"/>
          <w:color w:val="auto"/>
          <w:kern w:val="0"/>
          <w:sz w:val="32"/>
          <w:szCs w:val="32"/>
        </w:rPr>
        <w:t>“三公经费”变动率（3分）：</w:t>
      </w:r>
      <w:r>
        <w:rPr>
          <w:rFonts w:hint="eastAsia" w:ascii="方正仿宋_GBK" w:hAnsi="方正仿宋_GBK" w:eastAsia="方正仿宋_GBK" w:cs="方正仿宋_GBK"/>
          <w:color w:val="auto"/>
          <w:sz w:val="32"/>
          <w:szCs w:val="32"/>
          <w:lang w:eastAsia="zh-CN"/>
        </w:rPr>
        <w:t>“三公”</w:t>
      </w:r>
      <w:r>
        <w:rPr>
          <w:rFonts w:hint="eastAsia" w:ascii="方正仿宋_GBK" w:hAnsi="方正仿宋_GBK" w:eastAsia="方正仿宋_GBK" w:cs="方正仿宋_GBK"/>
          <w:color w:val="auto"/>
          <w:sz w:val="32"/>
          <w:szCs w:val="32"/>
        </w:rPr>
        <w:t>经费（公务接待费）预算数为4万元。外事接待和因公出国（境）费用未纳入。年末</w:t>
      </w:r>
      <w:r>
        <w:rPr>
          <w:rFonts w:hint="eastAsia" w:ascii="方正仿宋_GBK" w:hAnsi="方正仿宋_GBK" w:eastAsia="方正仿宋_GBK" w:cs="方正仿宋_GBK"/>
          <w:color w:val="auto"/>
          <w:sz w:val="32"/>
          <w:szCs w:val="32"/>
          <w:lang w:eastAsia="zh-CN"/>
        </w:rPr>
        <w:t>“三公”</w:t>
      </w:r>
      <w:r>
        <w:rPr>
          <w:rFonts w:hint="eastAsia" w:ascii="方正仿宋_GBK" w:hAnsi="方正仿宋_GBK" w:eastAsia="方正仿宋_GBK" w:cs="方正仿宋_GBK"/>
          <w:color w:val="auto"/>
          <w:sz w:val="32"/>
          <w:szCs w:val="32"/>
        </w:rPr>
        <w:t>经费（含外事接待费）为5.35万元，与去年相比减少6.61万元。减幅55.27%。其中：公务接待费3.22万元，公务车运行维护费2.13万元。</w:t>
      </w:r>
      <w:r>
        <w:rPr>
          <w:rFonts w:hint="eastAsia" w:ascii="方正仿宋_GBK" w:hAnsi="方正仿宋_GBK" w:eastAsia="方正仿宋_GBK" w:cs="方正仿宋_GBK"/>
          <w:snapToGrid w:val="0"/>
          <w:color w:val="auto"/>
          <w:kern w:val="0"/>
          <w:sz w:val="32"/>
          <w:szCs w:val="32"/>
        </w:rPr>
        <w:t>本部门“三公经费”变动率＝（本年度“三公经费”预算数－上年度“三公经费”预算数）÷上年度“三公经费”预算数＝-55.27% ＜0。根据评分标准，本部门该项指标得3分。</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left="0" w:leftChars="0" w:firstLine="642" w:firstLineChars="200"/>
        <w:jc w:val="both"/>
        <w:rPr>
          <w:rFonts w:ascii="方正仿宋_GBK" w:hAnsi="方正仿宋_GBK" w:eastAsia="方正仿宋_GBK" w:cs="方正仿宋_GBK"/>
          <w:b/>
          <w:bCs/>
          <w:snapToGrid w:val="0"/>
          <w:color w:val="auto"/>
          <w:kern w:val="0"/>
          <w:sz w:val="32"/>
          <w:szCs w:val="32"/>
        </w:rPr>
      </w:pPr>
      <w:r>
        <w:rPr>
          <w:rFonts w:hint="eastAsia" w:ascii="方正仿宋_GBK" w:hAnsi="方正仿宋_GBK" w:eastAsia="方正仿宋_GBK" w:cs="方正仿宋_GBK"/>
          <w:b/>
          <w:bCs/>
          <w:snapToGrid w:val="0"/>
          <w:color w:val="auto"/>
          <w:kern w:val="0"/>
          <w:sz w:val="32"/>
          <w:szCs w:val="32"/>
        </w:rPr>
        <w:t>过程</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（1）预算执行（10分）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①预算调整率（2分）：本部门2021年收入234.88万元，年初预算203.50万元。</w:t>
      </w:r>
      <w:r>
        <w:rPr>
          <w:rFonts w:hint="eastAsia" w:ascii="方正仿宋_GBK" w:hAnsi="方正仿宋_GBK" w:eastAsia="方正仿宋_GBK" w:cs="方正仿宋_GBK"/>
          <w:color w:val="auto"/>
          <w:sz w:val="32"/>
          <w:szCs w:val="32"/>
          <w:shd w:val="clear" w:color="auto" w:fill="FFFFFF"/>
        </w:rPr>
        <w:t>本年追加31.38万元，</w:t>
      </w:r>
      <w:r>
        <w:rPr>
          <w:rFonts w:hint="eastAsia" w:ascii="方正仿宋_GBK" w:hAnsi="方正仿宋_GBK" w:eastAsia="方正仿宋_GBK" w:cs="方正仿宋_GBK"/>
          <w:snapToGrid w:val="0"/>
          <w:color w:val="auto"/>
          <w:kern w:val="0"/>
          <w:sz w:val="32"/>
          <w:szCs w:val="32"/>
        </w:rPr>
        <w:t>本期支出234.88万元，用本期支出除以本期收入=100%，根据评分标准，本部门该项指标得2分。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②支付进度（3分）。2021年度外事工作经费及对外交流接待费等专项资金58.14万元支付完成，根据评分标准，本部门该项指标得3分。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③指标或资金收回（3分）。本部门无指标或资金被收回，根据评分标准，本部门该项指标得3分。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④“三公经费”控制率（2分）。2021度本部门“三公经费”实际支出数为5.35万元，</w:t>
      </w:r>
      <w:r>
        <w:rPr>
          <w:rFonts w:hint="eastAsia" w:ascii="方正仿宋_GBK" w:hAnsi="方正仿宋_GBK" w:eastAsia="方正仿宋_GBK" w:cs="方正仿宋_GBK"/>
          <w:color w:val="auto"/>
          <w:sz w:val="32"/>
          <w:szCs w:val="32"/>
        </w:rPr>
        <w:t>三公”经费（公务接待费）预算数为4万元。外事接待和因公出国（境）费用未纳入。</w:t>
      </w:r>
      <w:r>
        <w:rPr>
          <w:rFonts w:hint="eastAsia" w:ascii="方正仿宋_GBK" w:hAnsi="方正仿宋_GBK" w:eastAsia="方正仿宋_GBK" w:cs="方正仿宋_GBK"/>
          <w:snapToGrid w:val="0"/>
          <w:color w:val="auto"/>
          <w:kern w:val="0"/>
          <w:sz w:val="32"/>
          <w:szCs w:val="32"/>
        </w:rPr>
        <w:t>本部门“三公经费”变动率＝（本年度“三公经费”预算数－上年度“三公经费”预算数）÷上年度“三公经费”预算数＝--55.27% ＜0。根据评分标准，本部门该项指标得2分。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（2）预算管理（10分）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①管理制度健全性（1.5分）。本部门制定了内部财务管理制度、会计核算制度、公务接待制度、出差管理办法等相关管理制度合法、合规、完整，相关管理制度得到有效执行，但内部财务管理制度有待加强，根据评分标准扣0.5分，本部门该项指标得分1分。</w:t>
      </w:r>
    </w:p>
    <w:p>
      <w:pPr>
        <w:keepNext w:val="0"/>
        <w:keepLines w:val="0"/>
        <w:pageBreakBefore w:val="0"/>
        <w:kinsoku/>
        <w:wordWrap/>
        <w:overflowPunct/>
        <w:topLinePunct w:val="0"/>
        <w:autoSpaceDE/>
        <w:autoSpaceDN/>
        <w:bidi w:val="0"/>
        <w:adjustRightInd w:val="0"/>
        <w:snapToGrid w:val="0"/>
        <w:spacing w:line="600" w:lineRule="exact"/>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 xml:space="preserve">    ②资金使用合规性（2分）。本部门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部门该项指标得满分2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③预决算信息公开性和完善性（2.5分）。本部门2020年度决算及2021年度预算信息已按要求公开，单位基础数据信息和会计信息资料真实、完整，基础数据信息和汇集信息资料准确。根据评分标准，本部门该项指标得满分2.5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④政府采购执行率（2分）。本部门政府采购年初预算5.50万元，政府采购执行率=（实际政府采购金额/政府采购预算数）×100%＝100%，根据评分标准，本部门该项指标得满分2分。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⑤公务卡刷卡率（2分）。本部门出差全部使用公务卡结算，不使用现金结算，故公务卡刷卡率为50%以上。根据评分标准，本部门该项指标得满分2分。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（3）资产管理（5分）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①资产管理制度健全性（2分）。本部门为加强资产管理、规范资产管理行为，制定了合法、合规、完整的资产管理制度，相关资产管理制度得到有效执行，促进了职责履行和绩效目标任务完成。根据评分标准，本部门该项指标得2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②资产管理安全性（2分）。本部门的资产保存完整、使用合规、配置合理、处置规范、收入及时足额上缴，资产账务管理合规，账实相符。根据评分标准，本部门该项指标得2分 。</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center"/>
        <w:rPr>
          <w:rFonts w:hint="default" w:ascii="方正仿宋_GBK" w:hAnsi="方正仿宋_GBK" w:eastAsia="方正仿宋_GBK" w:cs="方正仿宋_GBK"/>
          <w:snapToGrid w:val="0"/>
          <w:color w:val="auto"/>
          <w:sz w:val="32"/>
          <w:szCs w:val="32"/>
        </w:rPr>
      </w:pPr>
      <w:r>
        <w:rPr>
          <w:rFonts w:ascii="方正仿宋_GBK" w:hAnsi="方正仿宋_GBK" w:eastAsia="方正仿宋_GBK" w:cs="方正仿宋_GBK"/>
          <w:snapToGrid w:val="0"/>
          <w:color w:val="auto"/>
          <w:sz w:val="32"/>
          <w:szCs w:val="32"/>
        </w:rPr>
        <w:t>③固定资产利用率（1分）。本部门2021年固定资产在用率为100%。固定资产利用率=（实际在用固定资产总额/所有固定资产总额）×100%=100%，根据评分标准，本部门该项指标得1分。</w:t>
      </w:r>
    </w:p>
    <w:p>
      <w:pPr>
        <w:keepNext w:val="0"/>
        <w:keepLines w:val="0"/>
        <w:pageBreakBefore w:val="0"/>
        <w:widowControl w:val="0"/>
        <w:numPr>
          <w:ilvl w:val="0"/>
          <w:numId w:val="4"/>
        </w:numPr>
        <w:kinsoku/>
        <w:wordWrap/>
        <w:overflowPunct/>
        <w:topLinePunct w:val="0"/>
        <w:autoSpaceDE/>
        <w:autoSpaceDN/>
        <w:bidi w:val="0"/>
        <w:adjustRightInd w:val="0"/>
        <w:snapToGrid w:val="0"/>
        <w:spacing w:line="600" w:lineRule="exact"/>
        <w:ind w:left="0" w:leftChars="0" w:firstLine="642" w:firstLineChars="200"/>
        <w:jc w:val="both"/>
        <w:textAlignment w:val="auto"/>
        <w:rPr>
          <w:rFonts w:ascii="方正仿宋_GBK" w:hAnsi="方正仿宋_GBK" w:eastAsia="方正仿宋_GBK" w:cs="方正仿宋_GBK"/>
          <w:b/>
          <w:bCs/>
          <w:snapToGrid w:val="0"/>
          <w:color w:val="auto"/>
          <w:kern w:val="0"/>
          <w:sz w:val="32"/>
          <w:szCs w:val="32"/>
        </w:rPr>
      </w:pPr>
      <w:r>
        <w:rPr>
          <w:rFonts w:hint="eastAsia" w:ascii="方正仿宋_GBK" w:hAnsi="方正仿宋_GBK" w:eastAsia="方正仿宋_GBK" w:cs="方正仿宋_GBK"/>
          <w:b/>
          <w:bCs/>
          <w:snapToGrid w:val="0"/>
          <w:color w:val="auto"/>
          <w:kern w:val="0"/>
          <w:sz w:val="32"/>
          <w:szCs w:val="32"/>
        </w:rPr>
        <w:t>产出</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（1）职责履行（50分）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①推动中西部国际交往中心建设 (8分)。全年工作完成情况为100%，详见评分表，根据评分标准，本部门该项指标得分8分。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②完成全区涉外疫情防控管理工作 (8分)。完成涉外疫情防控工作为100%，详见评分表。根据评分标准，本部门该项指标得8分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③在万外国人管理服务工作（6分）。全年工作完成情况为100%，详见评分表，根据评分标准，本部门该项指标得6分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④统筹抓好疫情防控和经济社会发展，推进外资外贸企业复工复产举办（6分）。全年完成情况为100%，详见评分表，根据评分标准，本部门该项指标得6分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⑤年度对外交往合作、开展友好城市交往工作（8分）。全年完成情况为100%，详见评分表，根据评分标准，本部门该项指标得8分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⑥加强港澳台联动工作，推动与万州企业开展经贸合作（6分）。全年工作完成情况为100%，详见评分表，根据评分标准，本部门该项指标得6分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⑦海外领事保护服务工作惠民、务实（8分）。全年工作完成情况为100%，详见评分表，根据评分标准，本部门该项指标得8分 。</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left="0" w:leftChars="0" w:firstLine="642" w:firstLineChars="200"/>
        <w:jc w:val="both"/>
        <w:rPr>
          <w:rFonts w:ascii="方正仿宋_GBK" w:hAnsi="方正仿宋_GBK" w:eastAsia="方正仿宋_GBK" w:cs="方正仿宋_GBK"/>
          <w:b/>
          <w:bCs/>
          <w:snapToGrid w:val="0"/>
          <w:color w:val="auto"/>
          <w:kern w:val="0"/>
          <w:sz w:val="32"/>
          <w:szCs w:val="32"/>
        </w:rPr>
      </w:pPr>
      <w:r>
        <w:rPr>
          <w:rFonts w:hint="eastAsia" w:ascii="方正仿宋_GBK" w:hAnsi="方正仿宋_GBK" w:eastAsia="方正仿宋_GBK" w:cs="方正仿宋_GBK"/>
          <w:b/>
          <w:bCs/>
          <w:snapToGrid w:val="0"/>
          <w:color w:val="auto"/>
          <w:kern w:val="0"/>
          <w:sz w:val="32"/>
          <w:szCs w:val="32"/>
        </w:rPr>
        <w:t>效果</w:t>
      </w:r>
    </w:p>
    <w:p>
      <w:pPr>
        <w:keepNext w:val="0"/>
        <w:keepLines w:val="0"/>
        <w:pageBreakBefore w:val="0"/>
        <w:kinsoku/>
        <w:wordWrap/>
        <w:overflowPunct/>
        <w:topLinePunct w:val="0"/>
        <w:autoSpaceDE/>
        <w:autoSpaceDN/>
        <w:bidi w:val="0"/>
        <w:adjustRightInd w:val="0"/>
        <w:snapToGrid w:val="0"/>
        <w:spacing w:line="600" w:lineRule="exact"/>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 xml:space="preserve">    （1）履职效益（20分）</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①经济效益（8分）。成功举办2021线上三峡柑橘国际交易会；实现交易额24.7亿元；建成重庆市大三峡旅游集散中心，三峡平湖旅游区被评定为国家4A级旅游景区；“绿影青踪”茶席等5件文创产品入围“重庆好礼”外事礼品名单；以上目标任务未完成的扣2分，扣完为止。根据评分标准，本部门该项指标得8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②社会效益（7分）。万州机场飞行区改扩建基本完工并通过民航行业验收，T2航站楼主体结构全部建成；为柬埔寨暹粒市捐赠医用防护服600套；万州教育考试院TOFFL考点通过教育部验收并举办考试3场95人次；万州外国语学校德语班学生获得“2021年中国青少年德语辩论赛”（Jugend debattiert in China）荣誉奖项；成功举办2021线上三峡柑橘国际交易会，实现交易额24.7亿元；为渝东北片区接种疫苗外</w:t>
      </w:r>
      <w:r>
        <w:rPr>
          <w:rFonts w:hint="eastAsia" w:ascii="方正仿宋_GBK" w:hAnsi="方正仿宋_GBK" w:eastAsia="方正仿宋_GBK" w:cs="方正仿宋_GBK"/>
          <w:snapToGrid w:val="0"/>
          <w:color w:val="auto"/>
          <w:kern w:val="0"/>
          <w:sz w:val="32"/>
          <w:szCs w:val="32"/>
          <w:lang w:val="en-US" w:eastAsia="zh-CN"/>
        </w:rPr>
        <w:t>籍</w:t>
      </w:r>
      <w:r>
        <w:rPr>
          <w:rFonts w:hint="eastAsia" w:ascii="方正仿宋_GBK" w:hAnsi="方正仿宋_GBK" w:eastAsia="方正仿宋_GBK" w:cs="方正仿宋_GBK"/>
          <w:snapToGrid w:val="0"/>
          <w:color w:val="auto"/>
          <w:kern w:val="0"/>
          <w:sz w:val="32"/>
          <w:szCs w:val="32"/>
        </w:rPr>
        <w:t>人</w:t>
      </w:r>
      <w:r>
        <w:rPr>
          <w:rFonts w:hint="eastAsia" w:ascii="方正仿宋_GBK" w:hAnsi="方正仿宋_GBK" w:eastAsia="方正仿宋_GBK" w:cs="方正仿宋_GBK"/>
          <w:snapToGrid w:val="0"/>
          <w:color w:val="auto"/>
          <w:kern w:val="0"/>
          <w:sz w:val="32"/>
          <w:szCs w:val="32"/>
          <w:lang w:val="en-US" w:eastAsia="zh-CN"/>
        </w:rPr>
        <w:t>士91</w:t>
      </w:r>
      <w:r>
        <w:rPr>
          <w:rFonts w:hint="eastAsia" w:ascii="方正仿宋_GBK" w:hAnsi="方正仿宋_GBK" w:eastAsia="方正仿宋_GBK" w:cs="方正仿宋_GBK"/>
          <w:snapToGrid w:val="0"/>
          <w:color w:val="auto"/>
          <w:kern w:val="0"/>
          <w:sz w:val="32"/>
          <w:szCs w:val="32"/>
        </w:rPr>
        <w:t>人、港澳同胞</w:t>
      </w:r>
      <w:r>
        <w:rPr>
          <w:rFonts w:hint="eastAsia" w:ascii="方正仿宋_GBK" w:hAnsi="方正仿宋_GBK" w:eastAsia="方正仿宋_GBK" w:cs="方正仿宋_GBK"/>
          <w:snapToGrid w:val="0"/>
          <w:color w:val="auto"/>
          <w:kern w:val="0"/>
          <w:sz w:val="32"/>
          <w:szCs w:val="32"/>
          <w:lang w:val="en-US" w:eastAsia="zh-CN"/>
        </w:rPr>
        <w:t>48</w:t>
      </w:r>
      <w:r>
        <w:rPr>
          <w:rFonts w:hint="eastAsia" w:ascii="方正仿宋_GBK" w:hAnsi="方正仿宋_GBK" w:eastAsia="方正仿宋_GBK" w:cs="方正仿宋_GBK"/>
          <w:snapToGrid w:val="0"/>
          <w:color w:val="auto"/>
          <w:kern w:val="0"/>
          <w:sz w:val="32"/>
          <w:szCs w:val="32"/>
        </w:rPr>
        <w:t>人、台湾同胞</w:t>
      </w:r>
      <w:r>
        <w:rPr>
          <w:rFonts w:hint="eastAsia" w:ascii="方正仿宋_GBK" w:hAnsi="方正仿宋_GBK" w:eastAsia="方正仿宋_GBK" w:cs="方正仿宋_GBK"/>
          <w:snapToGrid w:val="0"/>
          <w:color w:val="auto"/>
          <w:kern w:val="0"/>
          <w:sz w:val="32"/>
          <w:szCs w:val="32"/>
          <w:lang w:val="en-US" w:eastAsia="zh-CN"/>
        </w:rPr>
        <w:t>38</w:t>
      </w:r>
      <w:r>
        <w:rPr>
          <w:rFonts w:hint="eastAsia" w:ascii="方正仿宋_GBK" w:hAnsi="方正仿宋_GBK" w:eastAsia="方正仿宋_GBK" w:cs="方正仿宋_GBK"/>
          <w:snapToGrid w:val="0"/>
          <w:color w:val="auto"/>
          <w:kern w:val="0"/>
          <w:sz w:val="32"/>
          <w:szCs w:val="32"/>
        </w:rPr>
        <w:t>人；中国援利比里亚竹藤编及蔬菜种植技术项目圆满完成，为利比里亚培训900余名青年农业技术人才；以上目标任务未完成的扣1分，扣完为止。根据评分标准，本部门该项指标得7分 。</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color w:val="auto"/>
          <w:sz w:val="32"/>
          <w:szCs w:val="32"/>
        </w:rPr>
      </w:pPr>
      <w:r>
        <w:rPr>
          <w:rFonts w:hint="eastAsia" w:ascii="方正仿宋_GBK" w:hAnsi="方正仿宋_GBK" w:eastAsia="方正仿宋_GBK" w:cs="方正仿宋_GBK"/>
          <w:snapToGrid w:val="0"/>
          <w:color w:val="auto"/>
          <w:kern w:val="0"/>
          <w:sz w:val="32"/>
          <w:szCs w:val="32"/>
        </w:rPr>
        <w:t>③社会公众或服务对象满意度（5分）。</w:t>
      </w:r>
      <w:r>
        <w:rPr>
          <w:rFonts w:hint="eastAsia" w:ascii="方正仿宋_GBK" w:hAnsi="方正仿宋_GBK" w:eastAsia="方正仿宋_GBK" w:cs="方正仿宋_GBK"/>
          <w:color w:val="auto"/>
          <w:sz w:val="32"/>
          <w:szCs w:val="32"/>
        </w:rPr>
        <w:t>本次绩效自评，我办向社会群众、服务对象以电话方式调查40份（服务对象20份、社会群众20份），从收集的信息了解，社会公众对本部门的工作现状评价、深入基层调查研究、掌握真实、准确情况，依法办事、杜绝不作为和乱作为，改革和完善机关办事制度，缩短办事时间，提高工作效率，厉行节约、制止奢侈浪费行为等各方面均给予了满意的评价，满意度分别为：服务对象为98%、社会群众96%，社会公众或服务对象综合满意度＝（服务对象满意度×50%+社会公众满意度×50%）为97%，因此，根据评分标准，本部门该项指标得5分。</w:t>
      </w:r>
    </w:p>
    <w:p>
      <w:pPr>
        <w:keepNext w:val="0"/>
        <w:keepLines w:val="0"/>
        <w:pageBreakBefore w:val="0"/>
        <w:numPr>
          <w:ilvl w:val="0"/>
          <w:numId w:val="4"/>
        </w:numPr>
        <w:kinsoku/>
        <w:wordWrap/>
        <w:overflowPunct/>
        <w:topLinePunct w:val="0"/>
        <w:autoSpaceDE/>
        <w:autoSpaceDN/>
        <w:bidi w:val="0"/>
        <w:adjustRightInd w:val="0"/>
        <w:snapToGrid w:val="0"/>
        <w:spacing w:line="600" w:lineRule="exact"/>
        <w:ind w:left="0" w:leftChars="0" w:firstLine="642" w:firstLineChars="200"/>
        <w:jc w:val="both"/>
        <w:rPr>
          <w:rFonts w:ascii="方正仿宋_GBK" w:hAnsi="方正仿宋_GBK" w:eastAsia="方正仿宋_GBK" w:cs="方正仿宋_GBK"/>
          <w:b/>
          <w:bCs/>
          <w:snapToGrid w:val="0"/>
          <w:color w:val="auto"/>
          <w:kern w:val="0"/>
          <w:sz w:val="32"/>
          <w:szCs w:val="32"/>
        </w:rPr>
      </w:pPr>
      <w:r>
        <w:rPr>
          <w:rFonts w:hint="eastAsia" w:ascii="方正仿宋_GBK" w:hAnsi="方正仿宋_GBK" w:eastAsia="方正仿宋_GBK" w:cs="方正仿宋_GBK"/>
          <w:b/>
          <w:bCs/>
          <w:snapToGrid w:val="0"/>
          <w:color w:val="auto"/>
          <w:kern w:val="0"/>
          <w:sz w:val="32"/>
          <w:szCs w:val="32"/>
        </w:rPr>
        <w:t>绩效评价结论</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textAlignment w:val="center"/>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根据评价指标体系测算，本部门2021年度部门整体支出绩效评价得分是：投入绩效为4.5分，过程绩效为24.5分，产出绩效为50分，效果绩效为20分，总绩效为99分。评价结果等次为“优”。</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5"/>
        <w:jc w:val="both"/>
        <w:rPr>
          <w:rStyle w:val="10"/>
          <w:rFonts w:hint="default" w:ascii="方正黑体_GBK" w:hAnsi="方正黑体_GBK" w:eastAsia="方正黑体_GBK" w:cs="方正黑体_GBK"/>
          <w:b w:val="0"/>
          <w:bCs/>
          <w:color w:val="auto"/>
          <w:sz w:val="32"/>
          <w:szCs w:val="32"/>
        </w:rPr>
      </w:pPr>
      <w:r>
        <w:rPr>
          <w:rStyle w:val="10"/>
          <w:rFonts w:ascii="方正黑体_GBK" w:hAnsi="方正黑体_GBK" w:eastAsia="方正黑体_GBK" w:cs="方正黑体_GBK"/>
          <w:b w:val="0"/>
          <w:bCs/>
          <w:color w:val="auto"/>
          <w:sz w:val="32"/>
          <w:szCs w:val="32"/>
        </w:rPr>
        <w:t>七、存在的主要问题及下一步改进措施</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5"/>
        <w:jc w:val="both"/>
        <w:rPr>
          <w:rStyle w:val="10"/>
          <w:rFonts w:hint="default" w:ascii="方正楷体_GBK" w:hAnsi="方正楷体_GBK" w:eastAsia="方正楷体_GBK" w:cs="方正楷体_GBK"/>
          <w:b w:val="0"/>
          <w:bCs/>
          <w:color w:val="auto"/>
          <w:sz w:val="32"/>
          <w:szCs w:val="32"/>
        </w:rPr>
      </w:pPr>
      <w:r>
        <w:rPr>
          <w:rStyle w:val="10"/>
          <w:rFonts w:ascii="方正楷体_GBK" w:hAnsi="方正楷体_GBK" w:eastAsia="方正楷体_GBK" w:cs="方正楷体_GBK"/>
          <w:b w:val="0"/>
          <w:bCs/>
          <w:color w:val="auto"/>
          <w:sz w:val="32"/>
          <w:szCs w:val="32"/>
        </w:rPr>
        <w:t>（一）存在主要问题：</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5"/>
        <w:jc w:val="both"/>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rPr>
        <w:t xml:space="preserve"> 本单位内部财务管理制度有待加强，虽制定了相关</w:t>
      </w:r>
      <w:r>
        <w:rPr>
          <w:rFonts w:ascii="方正仿宋_GBK" w:hAnsi="方正仿宋_GBK" w:eastAsia="方正仿宋_GBK" w:cs="方正仿宋_GBK"/>
          <w:color w:val="auto"/>
          <w:sz w:val="32"/>
          <w:szCs w:val="32"/>
          <w:shd w:val="clear" w:color="auto" w:fill="FFFFFF"/>
        </w:rPr>
        <w:t>财务</w:t>
      </w:r>
      <w:r>
        <w:rPr>
          <w:rFonts w:ascii="方正仿宋_GBK" w:hAnsi="方正仿宋_GBK" w:eastAsia="方正仿宋_GBK" w:cs="方正仿宋_GBK"/>
          <w:color w:val="auto"/>
          <w:sz w:val="32"/>
          <w:szCs w:val="32"/>
        </w:rPr>
        <w:t>管理制度，但不够建全，</w:t>
      </w:r>
      <w:r>
        <w:rPr>
          <w:rFonts w:ascii="方正仿宋_GBK" w:hAnsi="方正仿宋_GBK" w:eastAsia="方正仿宋_GBK" w:cs="方正仿宋_GBK"/>
          <w:color w:val="auto"/>
          <w:sz w:val="32"/>
          <w:szCs w:val="32"/>
          <w:shd w:val="clear" w:color="auto" w:fill="FFFFFF"/>
        </w:rPr>
        <w:t>制度上还有差距。内控制度需进一步完善。</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5"/>
        <w:jc w:val="both"/>
        <w:rPr>
          <w:rStyle w:val="10"/>
          <w:rFonts w:hint="default" w:ascii="方正楷体_GBK" w:hAnsi="方正楷体_GBK" w:eastAsia="方正楷体_GBK" w:cs="方正楷体_GBK"/>
          <w:b w:val="0"/>
          <w:bCs/>
          <w:color w:val="auto"/>
          <w:sz w:val="32"/>
          <w:szCs w:val="32"/>
        </w:rPr>
      </w:pPr>
      <w:r>
        <w:rPr>
          <w:rStyle w:val="10"/>
          <w:rFonts w:ascii="方正楷体_GBK" w:hAnsi="方正楷体_GBK" w:eastAsia="方正楷体_GBK" w:cs="方正楷体_GBK"/>
          <w:b w:val="0"/>
          <w:bCs/>
          <w:color w:val="auto"/>
          <w:sz w:val="32"/>
          <w:szCs w:val="32"/>
        </w:rPr>
        <w:t>（二）改进措施：</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shd w:val="clear" w:color="auto" w:fill="FFFFFF"/>
        </w:rPr>
        <w:t>我办将</w:t>
      </w:r>
      <w:r>
        <w:rPr>
          <w:rFonts w:ascii="方正仿宋_GBK" w:hAnsi="方正仿宋_GBK" w:eastAsia="方正仿宋_GBK" w:cs="方正仿宋_GBK"/>
          <w:color w:val="auto"/>
          <w:sz w:val="32"/>
          <w:szCs w:val="32"/>
        </w:rPr>
        <w:t>进一步完善内部管理制度，严格执行内控制度，提升管理效能，确保按相关制度严格实施，</w:t>
      </w:r>
      <w:r>
        <w:rPr>
          <w:rFonts w:ascii="方正仿宋_GBK" w:hAnsi="方正仿宋_GBK" w:eastAsia="方正仿宋_GBK" w:cs="方正仿宋_GBK"/>
          <w:color w:val="auto"/>
          <w:sz w:val="32"/>
          <w:szCs w:val="32"/>
          <w:shd w:val="clear" w:color="auto" w:fill="FFFFFF"/>
        </w:rPr>
        <w:t>强化收支预算管理，科学合理编制预算，提高财政资金使用的规范性。同时按照预算绩效管理的相关政策规定，切实做好预算资金使用的绩效管理，确保预算资金</w:t>
      </w:r>
      <w:r>
        <w:rPr>
          <w:rFonts w:ascii="方正仿宋_GBK" w:hAnsi="方正仿宋_GBK" w:eastAsia="方正仿宋_GBK" w:cs="方正仿宋_GBK"/>
          <w:color w:val="auto"/>
          <w:sz w:val="32"/>
          <w:szCs w:val="32"/>
        </w:rPr>
        <w:t>使用合法、合规性，促使</w:t>
      </w:r>
      <w:r>
        <w:rPr>
          <w:rFonts w:ascii="方正仿宋_GBK" w:hAnsi="方正仿宋_GBK" w:eastAsia="方正仿宋_GBK" w:cs="方正仿宋_GBK"/>
          <w:color w:val="auto"/>
          <w:sz w:val="32"/>
          <w:szCs w:val="32"/>
          <w:shd w:val="clear" w:color="auto" w:fill="FFFFFF"/>
        </w:rPr>
        <w:t>预算</w:t>
      </w:r>
      <w:r>
        <w:rPr>
          <w:rFonts w:ascii="方正仿宋_GBK" w:hAnsi="方正仿宋_GBK" w:eastAsia="方正仿宋_GBK" w:cs="方正仿宋_GBK"/>
          <w:color w:val="auto"/>
          <w:sz w:val="32"/>
          <w:szCs w:val="32"/>
        </w:rPr>
        <w:t>资金发挥最大效能。</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八、绩效自评结果拟应用和公开情况</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仿宋_GBK" w:hAnsi="方正仿宋_GBK" w:eastAsia="方正仿宋_GBK" w:cs="方正仿宋_GBK"/>
          <w:snapToGrid w:val="0"/>
          <w:color w:val="auto"/>
          <w:kern w:val="0"/>
          <w:sz w:val="32"/>
          <w:szCs w:val="32"/>
        </w:rPr>
      </w:pPr>
      <w:r>
        <w:rPr>
          <w:rFonts w:hint="eastAsia" w:ascii="方正仿宋_GBK" w:hAnsi="方正仿宋_GBK" w:eastAsia="方正仿宋_GBK" w:cs="方正仿宋_GBK"/>
          <w:snapToGrid w:val="0"/>
          <w:color w:val="auto"/>
          <w:kern w:val="0"/>
          <w:sz w:val="32"/>
          <w:szCs w:val="32"/>
        </w:rPr>
        <w:t>本绩效评价完成后，绩效自评结果将按相关要求进行信息公开，接受社会监督。</w:t>
      </w:r>
    </w:p>
    <w:p>
      <w:pPr>
        <w:keepNext w:val="0"/>
        <w:keepLines w:val="0"/>
        <w:pageBreakBefore w:val="0"/>
        <w:kinsoku/>
        <w:wordWrap/>
        <w:overflowPunct/>
        <w:topLinePunct w:val="0"/>
        <w:autoSpaceDE/>
        <w:autoSpaceDN/>
        <w:bidi w:val="0"/>
        <w:adjustRightInd w:val="0"/>
        <w:snapToGrid w:val="0"/>
        <w:spacing w:line="600" w:lineRule="exact"/>
        <w:ind w:firstLine="640" w:firstLineChars="200"/>
        <w:jc w:val="both"/>
        <w:rPr>
          <w:rFonts w:ascii="方正黑体_GBK" w:hAnsi="方正黑体_GBK" w:eastAsia="方正黑体_GBK" w:cs="方正黑体_GBK"/>
          <w:snapToGrid w:val="0"/>
          <w:color w:val="auto"/>
          <w:kern w:val="0"/>
          <w:sz w:val="32"/>
          <w:szCs w:val="32"/>
        </w:rPr>
      </w:pPr>
      <w:r>
        <w:rPr>
          <w:rFonts w:hint="eastAsia" w:ascii="方正黑体_GBK" w:hAnsi="方正黑体_GBK" w:eastAsia="方正黑体_GBK" w:cs="方正黑体_GBK"/>
          <w:snapToGrid w:val="0"/>
          <w:color w:val="auto"/>
          <w:kern w:val="0"/>
          <w:sz w:val="32"/>
          <w:szCs w:val="32"/>
        </w:rPr>
        <w:t>九、其他需要说明的情况</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rPr>
          <w:rFonts w:hint="default" w:ascii="方正仿宋_GBK" w:hAnsi="方正仿宋_GBK" w:eastAsia="方正仿宋_GBK" w:cs="方正仿宋_GBK"/>
          <w:color w:val="auto"/>
          <w:sz w:val="32"/>
          <w:szCs w:val="32"/>
        </w:rPr>
      </w:pPr>
      <w:r>
        <w:rPr>
          <w:rFonts w:ascii="方正仿宋_GBK" w:hAnsi="方正仿宋_GBK" w:eastAsia="方正仿宋_GBK" w:cs="方正仿宋_GBK"/>
          <w:color w:val="auto"/>
          <w:sz w:val="32"/>
          <w:szCs w:val="32"/>
          <w:shd w:val="clear" w:color="auto" w:fill="FFFFFF"/>
        </w:rPr>
        <w:t>无。</w:t>
      </w:r>
    </w:p>
    <w:p>
      <w:pPr>
        <w:pStyle w:val="7"/>
        <w:keepNext w:val="0"/>
        <w:keepLines w:val="0"/>
        <w:pageBreakBefore w:val="0"/>
        <w:widowControl/>
        <w:shd w:val="clear" w:color="auto" w:fill="FFFFFF"/>
        <w:kinsoku/>
        <w:wordWrap/>
        <w:overflowPunct/>
        <w:topLinePunct w:val="0"/>
        <w:autoSpaceDE/>
        <w:autoSpaceDN/>
        <w:bidi w:val="0"/>
        <w:spacing w:line="600" w:lineRule="exact"/>
        <w:ind w:firstLine="640" w:firstLineChars="200"/>
        <w:jc w:val="both"/>
        <w:rPr>
          <w:rFonts w:hint="default"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spacing w:line="600" w:lineRule="exact"/>
        <w:rPr>
          <w:rFonts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spacing w:line="600" w:lineRule="exact"/>
        <w:rPr>
          <w:rFonts w:ascii="方正仿宋_GBK" w:hAnsi="方正仿宋_GBK" w:eastAsia="方正仿宋_GBK" w:cs="方正仿宋_GBK"/>
          <w:color w:val="auto"/>
          <w:sz w:val="32"/>
          <w:szCs w:val="32"/>
        </w:rPr>
      </w:pPr>
    </w:p>
    <w:p>
      <w:pPr>
        <w:keepNext w:val="0"/>
        <w:keepLines w:val="0"/>
        <w:pageBreakBefore w:val="0"/>
        <w:kinsoku/>
        <w:wordWrap/>
        <w:overflowPunct/>
        <w:topLinePunct w:val="0"/>
        <w:autoSpaceDE/>
        <w:autoSpaceDN/>
        <w:bidi w:val="0"/>
        <w:spacing w:line="600" w:lineRule="exact"/>
        <w:ind w:firstLine="3200" w:firstLineChars="1000"/>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重庆市万州区人民政府外事办公室</w:t>
      </w:r>
    </w:p>
    <w:p>
      <w:pPr>
        <w:spacing w:line="590" w:lineRule="exact"/>
        <w:ind w:firstLine="4480" w:firstLineChars="1400"/>
        <w:rPr>
          <w:rFonts w:ascii="方正仿宋_GBK" w:hAnsi="方正仿宋_GBK" w:eastAsia="方正仿宋_GBK" w:cs="方正仿宋_GBK"/>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86"/>
    <w:family w:val="auto"/>
    <w:pitch w:val="default"/>
    <w:sig w:usb0="00000000" w:usb1="00000000" w:usb2="00000016" w:usb3="00000000" w:csb0="0004001F" w:csb1="00000000"/>
  </w:font>
  <w:font w:name="方正大标宋简体">
    <w:altName w:val="方正书宋_GBK"/>
    <w:panose1 w:val="00000000000000000000"/>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47CB03"/>
    <w:multiLevelType w:val="singleLevel"/>
    <w:tmpl w:val="B847CB03"/>
    <w:lvl w:ilvl="0" w:tentative="0">
      <w:start w:val="2"/>
      <w:numFmt w:val="chineseCounting"/>
      <w:suff w:val="nothing"/>
      <w:lvlText w:val="（%1）"/>
      <w:lvlJc w:val="left"/>
      <w:rPr>
        <w:rFonts w:hint="eastAsia"/>
      </w:rPr>
    </w:lvl>
  </w:abstractNum>
  <w:abstractNum w:abstractNumId="1">
    <w:nsid w:val="F74756A1"/>
    <w:multiLevelType w:val="singleLevel"/>
    <w:tmpl w:val="F74756A1"/>
    <w:lvl w:ilvl="0" w:tentative="0">
      <w:start w:val="1"/>
      <w:numFmt w:val="decimal"/>
      <w:suff w:val="space"/>
      <w:lvlText w:val="%1."/>
      <w:lvlJc w:val="left"/>
    </w:lvl>
  </w:abstractNum>
  <w:abstractNum w:abstractNumId="2">
    <w:nsid w:val="1204B7A0"/>
    <w:multiLevelType w:val="singleLevel"/>
    <w:tmpl w:val="1204B7A0"/>
    <w:lvl w:ilvl="0" w:tentative="0">
      <w:start w:val="1"/>
      <w:numFmt w:val="chineseCounting"/>
      <w:suff w:val="nothing"/>
      <w:lvlText w:val="%1、"/>
      <w:lvlJc w:val="left"/>
      <w:rPr>
        <w:rFonts w:hint="eastAsia"/>
      </w:rPr>
    </w:lvl>
  </w:abstractNum>
  <w:abstractNum w:abstractNumId="3">
    <w:nsid w:val="467284AB"/>
    <w:multiLevelType w:val="singleLevel"/>
    <w:tmpl w:val="467284AB"/>
    <w:lvl w:ilvl="0" w:tentative="0">
      <w:start w:val="2"/>
      <w:numFmt w:val="decimal"/>
      <w:suff w:val="space"/>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gwNGIzMDNlYzQ4MzliMDE3ODJkZTgyYzk4N2E3YWEifQ=="/>
  </w:docVars>
  <w:rsids>
    <w:rsidRoot w:val="00D17274"/>
    <w:rsid w:val="000F3251"/>
    <w:rsid w:val="001618F2"/>
    <w:rsid w:val="00196851"/>
    <w:rsid w:val="002B0253"/>
    <w:rsid w:val="002F68F9"/>
    <w:rsid w:val="00365D9A"/>
    <w:rsid w:val="003A3CA1"/>
    <w:rsid w:val="00536EA5"/>
    <w:rsid w:val="005F247C"/>
    <w:rsid w:val="005F469E"/>
    <w:rsid w:val="006552DA"/>
    <w:rsid w:val="007D333A"/>
    <w:rsid w:val="00821F44"/>
    <w:rsid w:val="008E5819"/>
    <w:rsid w:val="00CF26D5"/>
    <w:rsid w:val="00D00FDA"/>
    <w:rsid w:val="00D17274"/>
    <w:rsid w:val="00E570E1"/>
    <w:rsid w:val="00E7367A"/>
    <w:rsid w:val="00F01DC2"/>
    <w:rsid w:val="00F20DE7"/>
    <w:rsid w:val="014559E8"/>
    <w:rsid w:val="0154340A"/>
    <w:rsid w:val="01BA5BDC"/>
    <w:rsid w:val="02143F9A"/>
    <w:rsid w:val="02344408"/>
    <w:rsid w:val="02687A44"/>
    <w:rsid w:val="02BB4EEF"/>
    <w:rsid w:val="02E00531"/>
    <w:rsid w:val="03743A9E"/>
    <w:rsid w:val="039950C2"/>
    <w:rsid w:val="04A94EFF"/>
    <w:rsid w:val="04D9609E"/>
    <w:rsid w:val="04EB4538"/>
    <w:rsid w:val="04EE299E"/>
    <w:rsid w:val="052175D0"/>
    <w:rsid w:val="05543000"/>
    <w:rsid w:val="0590734C"/>
    <w:rsid w:val="05D0664B"/>
    <w:rsid w:val="062578C3"/>
    <w:rsid w:val="062D160F"/>
    <w:rsid w:val="06537AF1"/>
    <w:rsid w:val="067F19B3"/>
    <w:rsid w:val="07046995"/>
    <w:rsid w:val="07DF572B"/>
    <w:rsid w:val="08A42D63"/>
    <w:rsid w:val="0948171E"/>
    <w:rsid w:val="09B7294E"/>
    <w:rsid w:val="09C7139D"/>
    <w:rsid w:val="0A0C4DE3"/>
    <w:rsid w:val="0A161824"/>
    <w:rsid w:val="0AA46989"/>
    <w:rsid w:val="0AF82CCB"/>
    <w:rsid w:val="0B823F8A"/>
    <w:rsid w:val="0BA81F1C"/>
    <w:rsid w:val="0C6039F8"/>
    <w:rsid w:val="0D25128B"/>
    <w:rsid w:val="0D6C1478"/>
    <w:rsid w:val="0DBE34B1"/>
    <w:rsid w:val="0DE12907"/>
    <w:rsid w:val="0E485F5E"/>
    <w:rsid w:val="0E5D01FA"/>
    <w:rsid w:val="0E624FB1"/>
    <w:rsid w:val="0E6B35A0"/>
    <w:rsid w:val="0EE558B6"/>
    <w:rsid w:val="0F017F30"/>
    <w:rsid w:val="0F2D3DBB"/>
    <w:rsid w:val="0F52609D"/>
    <w:rsid w:val="0FA70915"/>
    <w:rsid w:val="10456FC8"/>
    <w:rsid w:val="114A0BD3"/>
    <w:rsid w:val="119A102C"/>
    <w:rsid w:val="12804BD9"/>
    <w:rsid w:val="139E173C"/>
    <w:rsid w:val="13C46C47"/>
    <w:rsid w:val="14BC3A5F"/>
    <w:rsid w:val="14DA47B3"/>
    <w:rsid w:val="15132367"/>
    <w:rsid w:val="158419AC"/>
    <w:rsid w:val="15A4140D"/>
    <w:rsid w:val="16282F8C"/>
    <w:rsid w:val="16351E52"/>
    <w:rsid w:val="179A7CA9"/>
    <w:rsid w:val="183C0B7B"/>
    <w:rsid w:val="184524BE"/>
    <w:rsid w:val="191D63B1"/>
    <w:rsid w:val="196D2543"/>
    <w:rsid w:val="1971401C"/>
    <w:rsid w:val="1A292F08"/>
    <w:rsid w:val="1A73263A"/>
    <w:rsid w:val="1B4E2504"/>
    <w:rsid w:val="1BAA15E2"/>
    <w:rsid w:val="1BAC11E1"/>
    <w:rsid w:val="1BD01F15"/>
    <w:rsid w:val="1BE662D7"/>
    <w:rsid w:val="1CA05354"/>
    <w:rsid w:val="1CA50875"/>
    <w:rsid w:val="1D425075"/>
    <w:rsid w:val="1E854CF4"/>
    <w:rsid w:val="1F004231"/>
    <w:rsid w:val="205E9B05"/>
    <w:rsid w:val="20E67CD4"/>
    <w:rsid w:val="213456B7"/>
    <w:rsid w:val="216C419E"/>
    <w:rsid w:val="22192D6D"/>
    <w:rsid w:val="22FD6B34"/>
    <w:rsid w:val="230B3CDB"/>
    <w:rsid w:val="23C64402"/>
    <w:rsid w:val="260B329F"/>
    <w:rsid w:val="26152405"/>
    <w:rsid w:val="279241DD"/>
    <w:rsid w:val="27DF0B2B"/>
    <w:rsid w:val="27E55260"/>
    <w:rsid w:val="286B5B79"/>
    <w:rsid w:val="287F11CB"/>
    <w:rsid w:val="28E04555"/>
    <w:rsid w:val="28F50B70"/>
    <w:rsid w:val="2958359F"/>
    <w:rsid w:val="2A122BDE"/>
    <w:rsid w:val="2A424967"/>
    <w:rsid w:val="2AED69B5"/>
    <w:rsid w:val="2B3049ED"/>
    <w:rsid w:val="2B420745"/>
    <w:rsid w:val="2B8E2E7E"/>
    <w:rsid w:val="2BB95F58"/>
    <w:rsid w:val="2BF9796E"/>
    <w:rsid w:val="2C80263D"/>
    <w:rsid w:val="2D0F1BE7"/>
    <w:rsid w:val="2D773367"/>
    <w:rsid w:val="2DDC7566"/>
    <w:rsid w:val="2DE247F0"/>
    <w:rsid w:val="2E1A5984"/>
    <w:rsid w:val="2E1B3D82"/>
    <w:rsid w:val="2F140BBF"/>
    <w:rsid w:val="2F4A3C96"/>
    <w:rsid w:val="30164BDC"/>
    <w:rsid w:val="302E7A53"/>
    <w:rsid w:val="30976B17"/>
    <w:rsid w:val="311263E3"/>
    <w:rsid w:val="31357CBF"/>
    <w:rsid w:val="32E940C0"/>
    <w:rsid w:val="334A4F9E"/>
    <w:rsid w:val="3377016B"/>
    <w:rsid w:val="33A63CF2"/>
    <w:rsid w:val="345F066B"/>
    <w:rsid w:val="34E62555"/>
    <w:rsid w:val="35EB53FE"/>
    <w:rsid w:val="370A6B0E"/>
    <w:rsid w:val="37423C18"/>
    <w:rsid w:val="37E41B8E"/>
    <w:rsid w:val="38417EE6"/>
    <w:rsid w:val="38E930D6"/>
    <w:rsid w:val="395E1524"/>
    <w:rsid w:val="39901F1E"/>
    <w:rsid w:val="3A2F3EDD"/>
    <w:rsid w:val="3C6F0F9A"/>
    <w:rsid w:val="3CA56A5F"/>
    <w:rsid w:val="3CF827D7"/>
    <w:rsid w:val="3D2D66E7"/>
    <w:rsid w:val="3DCC43F2"/>
    <w:rsid w:val="3DD11BA3"/>
    <w:rsid w:val="3E0E6959"/>
    <w:rsid w:val="3E246579"/>
    <w:rsid w:val="3E38059D"/>
    <w:rsid w:val="3EB95AD8"/>
    <w:rsid w:val="3EE760BC"/>
    <w:rsid w:val="406B7913"/>
    <w:rsid w:val="409426A4"/>
    <w:rsid w:val="41EC4E58"/>
    <w:rsid w:val="42380FF6"/>
    <w:rsid w:val="428F14FC"/>
    <w:rsid w:val="433F6A72"/>
    <w:rsid w:val="441843D5"/>
    <w:rsid w:val="441C765C"/>
    <w:rsid w:val="444E2A8E"/>
    <w:rsid w:val="445D3056"/>
    <w:rsid w:val="44745F00"/>
    <w:rsid w:val="44DD0E3B"/>
    <w:rsid w:val="45917834"/>
    <w:rsid w:val="46286D71"/>
    <w:rsid w:val="48403BCA"/>
    <w:rsid w:val="487A7978"/>
    <w:rsid w:val="488D6A87"/>
    <w:rsid w:val="48E43D78"/>
    <w:rsid w:val="491B5AB0"/>
    <w:rsid w:val="49382D95"/>
    <w:rsid w:val="497258D2"/>
    <w:rsid w:val="49AF73FA"/>
    <w:rsid w:val="49E5520F"/>
    <w:rsid w:val="4BC63998"/>
    <w:rsid w:val="4BFD40FA"/>
    <w:rsid w:val="4CEC73CA"/>
    <w:rsid w:val="4CFC3249"/>
    <w:rsid w:val="4D8C4C7C"/>
    <w:rsid w:val="4E4F259C"/>
    <w:rsid w:val="4E8606A8"/>
    <w:rsid w:val="4F7B51C1"/>
    <w:rsid w:val="4FEC4AE6"/>
    <w:rsid w:val="4FF7414D"/>
    <w:rsid w:val="50587861"/>
    <w:rsid w:val="50E13711"/>
    <w:rsid w:val="514637CF"/>
    <w:rsid w:val="515500CA"/>
    <w:rsid w:val="51924A52"/>
    <w:rsid w:val="51AB702B"/>
    <w:rsid w:val="51B454FE"/>
    <w:rsid w:val="520174B7"/>
    <w:rsid w:val="521F1234"/>
    <w:rsid w:val="52652F6A"/>
    <w:rsid w:val="527266FF"/>
    <w:rsid w:val="529B4A80"/>
    <w:rsid w:val="53701D7E"/>
    <w:rsid w:val="53FC1D28"/>
    <w:rsid w:val="548A2E44"/>
    <w:rsid w:val="565A04BD"/>
    <w:rsid w:val="574B24F4"/>
    <w:rsid w:val="580275BD"/>
    <w:rsid w:val="58476801"/>
    <w:rsid w:val="594323F5"/>
    <w:rsid w:val="59572E66"/>
    <w:rsid w:val="5970488F"/>
    <w:rsid w:val="59CE6915"/>
    <w:rsid w:val="5A047009"/>
    <w:rsid w:val="5A3C6DF0"/>
    <w:rsid w:val="5AC70790"/>
    <w:rsid w:val="5AEA2507"/>
    <w:rsid w:val="5B5030D1"/>
    <w:rsid w:val="5BB97EF5"/>
    <w:rsid w:val="5C234597"/>
    <w:rsid w:val="5C97378F"/>
    <w:rsid w:val="5CAC136E"/>
    <w:rsid w:val="5CCB47B0"/>
    <w:rsid w:val="5D417BAF"/>
    <w:rsid w:val="5D5C65A0"/>
    <w:rsid w:val="5D79C505"/>
    <w:rsid w:val="5DA00860"/>
    <w:rsid w:val="5E5B62CD"/>
    <w:rsid w:val="5ED1670F"/>
    <w:rsid w:val="5EFA081C"/>
    <w:rsid w:val="5F173DB0"/>
    <w:rsid w:val="5F2249A3"/>
    <w:rsid w:val="5F6240E4"/>
    <w:rsid w:val="5FAB6CC5"/>
    <w:rsid w:val="616D29F5"/>
    <w:rsid w:val="61A94259"/>
    <w:rsid w:val="61B219AA"/>
    <w:rsid w:val="61BC1EA8"/>
    <w:rsid w:val="61C965D8"/>
    <w:rsid w:val="61CE73E8"/>
    <w:rsid w:val="6233398C"/>
    <w:rsid w:val="62DB656B"/>
    <w:rsid w:val="62F30E38"/>
    <w:rsid w:val="631A3BED"/>
    <w:rsid w:val="635725D8"/>
    <w:rsid w:val="63E53A10"/>
    <w:rsid w:val="64656262"/>
    <w:rsid w:val="64A456A4"/>
    <w:rsid w:val="656B59D0"/>
    <w:rsid w:val="65752924"/>
    <w:rsid w:val="65772A83"/>
    <w:rsid w:val="658C1A2A"/>
    <w:rsid w:val="65A210A3"/>
    <w:rsid w:val="66072B1D"/>
    <w:rsid w:val="663B6A97"/>
    <w:rsid w:val="670C5284"/>
    <w:rsid w:val="67506003"/>
    <w:rsid w:val="678B7C2C"/>
    <w:rsid w:val="67E42FF0"/>
    <w:rsid w:val="683A2905"/>
    <w:rsid w:val="68E0208C"/>
    <w:rsid w:val="6907729E"/>
    <w:rsid w:val="692D52C0"/>
    <w:rsid w:val="69334999"/>
    <w:rsid w:val="69392E98"/>
    <w:rsid w:val="69EE70C8"/>
    <w:rsid w:val="6B16740C"/>
    <w:rsid w:val="6B237DB0"/>
    <w:rsid w:val="6B2E57C8"/>
    <w:rsid w:val="6C802EFA"/>
    <w:rsid w:val="6CA229EF"/>
    <w:rsid w:val="6D2E2614"/>
    <w:rsid w:val="6E3A4EB3"/>
    <w:rsid w:val="6E5F5D5E"/>
    <w:rsid w:val="6ECE26D9"/>
    <w:rsid w:val="6EE70DFD"/>
    <w:rsid w:val="6F92789C"/>
    <w:rsid w:val="70190EA4"/>
    <w:rsid w:val="72770995"/>
    <w:rsid w:val="72824915"/>
    <w:rsid w:val="72AA6DC6"/>
    <w:rsid w:val="73A700D2"/>
    <w:rsid w:val="74193604"/>
    <w:rsid w:val="7420001F"/>
    <w:rsid w:val="752A5463"/>
    <w:rsid w:val="752C782A"/>
    <w:rsid w:val="75344A9D"/>
    <w:rsid w:val="75CD4C78"/>
    <w:rsid w:val="75EA3DEB"/>
    <w:rsid w:val="76E61F2E"/>
    <w:rsid w:val="76F227CD"/>
    <w:rsid w:val="77350E79"/>
    <w:rsid w:val="77BB2E8C"/>
    <w:rsid w:val="784F1C9C"/>
    <w:rsid w:val="786563AD"/>
    <w:rsid w:val="79394D50"/>
    <w:rsid w:val="794C3802"/>
    <w:rsid w:val="7A404DC5"/>
    <w:rsid w:val="7AC2110A"/>
    <w:rsid w:val="7AD811CB"/>
    <w:rsid w:val="7B7D1AFD"/>
    <w:rsid w:val="7BEF4123"/>
    <w:rsid w:val="7C9172CC"/>
    <w:rsid w:val="7CFA43CB"/>
    <w:rsid w:val="7D3C4E65"/>
    <w:rsid w:val="7D4276E6"/>
    <w:rsid w:val="7D4C2DAB"/>
    <w:rsid w:val="7D55404E"/>
    <w:rsid w:val="7F1D778F"/>
    <w:rsid w:val="7F5A1145"/>
    <w:rsid w:val="7F6971EC"/>
    <w:rsid w:val="9AD7F7AD"/>
    <w:rsid w:val="ADD57452"/>
    <w:rsid w:val="B773353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bCs/>
      <w:kern w:val="44"/>
      <w:sz w:val="44"/>
      <w:szCs w:val="44"/>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style>
  <w:style w:type="paragraph" w:styleId="4">
    <w:name w:val="Body Text Indent 2"/>
    <w:basedOn w:val="1"/>
    <w:qFormat/>
    <w:uiPriority w:val="0"/>
    <w:pPr>
      <w:spacing w:line="590" w:lineRule="exact"/>
      <w:ind w:firstLine="420" w:firstLineChars="200"/>
    </w:pPr>
    <w:rPr>
      <w:rFonts w:ascii="方正仿宋_GBK" w:eastAsia="方正仿宋_GBK"/>
      <w:sz w:val="32"/>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line="23" w:lineRule="atLeast"/>
      <w:jc w:val="left"/>
    </w:pPr>
    <w:rPr>
      <w:rFonts w:hint="eastAsia" w:ascii="微软雅黑" w:hAnsi="微软雅黑" w:eastAsia="微软雅黑" w:cs="Times New Roman"/>
      <w:kern w:val="0"/>
      <w:sz w:val="18"/>
      <w:szCs w:val="18"/>
    </w:rPr>
  </w:style>
  <w:style w:type="character" w:styleId="10">
    <w:name w:val="Strong"/>
    <w:basedOn w:val="9"/>
    <w:qFormat/>
    <w:uiPriority w:val="0"/>
    <w:rPr>
      <w:b/>
    </w:rPr>
  </w:style>
  <w:style w:type="paragraph" w:styleId="11">
    <w:name w:val="List Paragraph"/>
    <w:basedOn w:val="1"/>
    <w:qFormat/>
    <w:uiPriority w:val="34"/>
    <w:pPr>
      <w:ind w:firstLine="420" w:firstLineChars="200"/>
    </w:pPr>
  </w:style>
  <w:style w:type="character" w:customStyle="1" w:styleId="12">
    <w:name w:val="页眉 Char"/>
    <w:basedOn w:val="9"/>
    <w:link w:val="6"/>
    <w:qFormat/>
    <w:uiPriority w:val="0"/>
    <w:rPr>
      <w:rFonts w:asciiTheme="minorHAnsi" w:hAnsiTheme="minorHAnsi" w:eastAsiaTheme="minorEastAsia" w:cstheme="minorBidi"/>
      <w:kern w:val="2"/>
      <w:sz w:val="18"/>
      <w:szCs w:val="18"/>
    </w:rPr>
  </w:style>
  <w:style w:type="character" w:customStyle="1" w:styleId="13">
    <w:name w:val="页脚 Char"/>
    <w:basedOn w:val="9"/>
    <w:link w:val="5"/>
    <w:qFormat/>
    <w:uiPriority w:val="0"/>
    <w:rPr>
      <w:rFonts w:asciiTheme="minorHAnsi" w:hAnsiTheme="minorHAnsi" w:eastAsiaTheme="minorEastAsia" w:cstheme="minorBidi"/>
      <w:kern w:val="2"/>
      <w:sz w:val="18"/>
      <w:szCs w:val="18"/>
    </w:rPr>
  </w:style>
  <w:style w:type="character" w:customStyle="1" w:styleId="14">
    <w:name w:val="font101"/>
    <w:basedOn w:val="9"/>
    <w:qFormat/>
    <w:uiPriority w:val="0"/>
    <w:rPr>
      <w:rFonts w:hint="default" w:ascii="Times New Roman" w:hAnsi="Times New Roman" w:cs="Times New Roman"/>
      <w:color w:val="000000"/>
      <w:sz w:val="20"/>
      <w:szCs w:val="20"/>
      <w:u w:val="none"/>
    </w:rPr>
  </w:style>
  <w:style w:type="character" w:customStyle="1" w:styleId="15">
    <w:name w:val="font51"/>
    <w:basedOn w:val="9"/>
    <w:qFormat/>
    <w:uiPriority w:val="0"/>
    <w:rPr>
      <w:rFonts w:ascii="方正仿宋_GBK" w:hAnsi="方正仿宋_GBK" w:eastAsia="方正仿宋_GBK" w:cs="方正仿宋_GBK"/>
      <w:color w:val="000000"/>
      <w:sz w:val="20"/>
      <w:szCs w:val="20"/>
      <w:u w:val="none"/>
    </w:rPr>
  </w:style>
  <w:style w:type="character" w:customStyle="1" w:styleId="16">
    <w:name w:val="font91"/>
    <w:basedOn w:val="9"/>
    <w:qFormat/>
    <w:uiPriority w:val="0"/>
    <w:rPr>
      <w:rFonts w:hint="eastAsia" w:ascii="宋体" w:hAnsi="宋体" w:eastAsia="宋体" w:cs="宋体"/>
      <w:b/>
      <w:color w:val="000000"/>
      <w:sz w:val="20"/>
      <w:szCs w:val="20"/>
      <w:u w:val="none"/>
    </w:rPr>
  </w:style>
  <w:style w:type="character" w:customStyle="1" w:styleId="17">
    <w:name w:val="font112"/>
    <w:basedOn w:val="9"/>
    <w:qFormat/>
    <w:uiPriority w:val="0"/>
    <w:rPr>
      <w:rFonts w:hint="default" w:ascii="Times New Roman" w:hAnsi="Times New Roman" w:cs="Times New Roman"/>
      <w:b/>
      <w:color w:val="000000"/>
      <w:sz w:val="20"/>
      <w:szCs w:val="20"/>
      <w:u w:val="none"/>
    </w:rPr>
  </w:style>
  <w:style w:type="character" w:customStyle="1" w:styleId="18">
    <w:name w:val="font81"/>
    <w:basedOn w:val="9"/>
    <w:qFormat/>
    <w:uiPriority w:val="0"/>
    <w:rPr>
      <w:rFonts w:hint="eastAsia" w:ascii="宋体" w:hAnsi="宋体" w:eastAsia="宋体" w:cs="宋体"/>
      <w:color w:val="000000"/>
      <w:sz w:val="20"/>
      <w:szCs w:val="20"/>
      <w:u w:val="none"/>
    </w:rPr>
  </w:style>
  <w:style w:type="character" w:customStyle="1" w:styleId="19">
    <w:name w:val="font141"/>
    <w:basedOn w:val="9"/>
    <w:qFormat/>
    <w:uiPriority w:val="0"/>
    <w:rPr>
      <w:rFonts w:hint="eastAsia" w:ascii="宋体" w:hAnsi="宋体" w:eastAsia="宋体" w:cs="宋体"/>
      <w:color w:val="FF0000"/>
      <w:sz w:val="20"/>
      <w:szCs w:val="20"/>
      <w:u w:val="none"/>
    </w:rPr>
  </w:style>
  <w:style w:type="character" w:customStyle="1" w:styleId="20">
    <w:name w:val="font61"/>
    <w:basedOn w:val="9"/>
    <w:qFormat/>
    <w:uiPriority w:val="0"/>
    <w:rPr>
      <w:rFonts w:hint="eastAsia" w:ascii="方正仿宋_GBK" w:hAnsi="方正仿宋_GBK" w:eastAsia="方正仿宋_GBK" w:cs="方正仿宋_GBK"/>
      <w:color w:val="000000"/>
      <w:sz w:val="20"/>
      <w:szCs w:val="20"/>
      <w:u w:val="none"/>
    </w:rPr>
  </w:style>
  <w:style w:type="character" w:customStyle="1" w:styleId="21">
    <w:name w:val="font131"/>
    <w:basedOn w:val="9"/>
    <w:qFormat/>
    <w:uiPriority w:val="0"/>
    <w:rPr>
      <w:rFonts w:hint="eastAsia" w:ascii="方正仿宋_GBK" w:hAnsi="方正仿宋_GBK" w:eastAsia="方正仿宋_GBK" w:cs="方正仿宋_GBK"/>
      <w:color w:val="000000"/>
      <w:sz w:val="20"/>
      <w:szCs w:val="20"/>
      <w:u w:val="none"/>
    </w:rPr>
  </w:style>
  <w:style w:type="character" w:customStyle="1" w:styleId="22">
    <w:name w:val="font01"/>
    <w:basedOn w:val="9"/>
    <w:qFormat/>
    <w:uiPriority w:val="0"/>
    <w:rPr>
      <w:rFonts w:hint="eastAsia" w:ascii="方正仿宋_GBK" w:hAnsi="方正仿宋_GBK" w:eastAsia="方正仿宋_GBK" w:cs="方正仿宋_GBK"/>
      <w:color w:val="000000"/>
      <w:sz w:val="20"/>
      <w:szCs w:val="20"/>
      <w:u w:val="none"/>
    </w:rPr>
  </w:style>
  <w:style w:type="character" w:customStyle="1" w:styleId="23">
    <w:name w:val="font21"/>
    <w:basedOn w:val="9"/>
    <w:qFormat/>
    <w:uiPriority w:val="0"/>
    <w:rPr>
      <w:rFonts w:ascii="方正仿宋_GBK" w:hAnsi="方正仿宋_GBK" w:eastAsia="方正仿宋_GBK" w:cs="方正仿宋_GBK"/>
      <w:color w:val="000000"/>
      <w:sz w:val="20"/>
      <w:szCs w:val="20"/>
      <w:u w:val="none"/>
    </w:rPr>
  </w:style>
  <w:style w:type="character" w:customStyle="1" w:styleId="24">
    <w:name w:val="font11"/>
    <w:basedOn w:val="9"/>
    <w:qFormat/>
    <w:uiPriority w:val="0"/>
    <w:rPr>
      <w:rFonts w:hint="eastAsia" w:ascii="方正仿宋_GBK" w:hAnsi="方正仿宋_GBK" w:eastAsia="方正仿宋_GBK" w:cs="方正仿宋_GBK"/>
      <w:b/>
      <w:color w:val="000000"/>
      <w:sz w:val="20"/>
      <w:szCs w:val="20"/>
      <w:u w:val="none"/>
    </w:rPr>
  </w:style>
  <w:style w:type="character" w:customStyle="1" w:styleId="25">
    <w:name w:val="font121"/>
    <w:basedOn w:val="9"/>
    <w:qFormat/>
    <w:uiPriority w:val="0"/>
    <w:rPr>
      <w:rFonts w:hint="default" w:ascii="Times New Roman" w:hAnsi="Times New Roman" w:cs="Times New Roman"/>
      <w:b/>
      <w:color w:val="000000"/>
      <w:sz w:val="20"/>
      <w:szCs w:val="20"/>
      <w:u w:val="none"/>
    </w:rPr>
  </w:style>
  <w:style w:type="character" w:customStyle="1" w:styleId="26">
    <w:name w:val="font71"/>
    <w:basedOn w:val="9"/>
    <w:qFormat/>
    <w:uiPriority w:val="0"/>
    <w:rPr>
      <w:rFonts w:hint="eastAsia" w:ascii="方正仿宋_GBK" w:hAnsi="方正仿宋_GBK" w:eastAsia="方正仿宋_GBK" w:cs="方正仿宋_GBK"/>
      <w:color w:val="FF0000"/>
      <w:sz w:val="20"/>
      <w:szCs w:val="20"/>
      <w:u w:val="none"/>
    </w:rPr>
  </w:style>
  <w:style w:type="character" w:customStyle="1" w:styleId="27">
    <w:name w:val="font151"/>
    <w:basedOn w:val="9"/>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iTianKong.com</Company>
  <Pages>22</Pages>
  <Words>9838</Words>
  <Characters>10930</Characters>
  <Lines>77</Lines>
  <Paragraphs>21</Paragraphs>
  <TotalTime>15</TotalTime>
  <ScaleCrop>false</ScaleCrop>
  <LinksUpToDate>false</LinksUpToDate>
  <CharactersWithSpaces>10967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user</cp:lastModifiedBy>
  <cp:lastPrinted>2020-01-06T20:28:00Z</cp:lastPrinted>
  <dcterms:modified xsi:type="dcterms:W3CDTF">2022-10-25T14:49:41Z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5C24B83F0AC944B598E16B2AE458A729</vt:lpwstr>
  </property>
</Properties>
</file>