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fill="FFFFFF"/>
        <w:kinsoku/>
        <w:wordWrap/>
        <w:overflowPunct/>
        <w:topLinePunct w:val="0"/>
        <w:autoSpaceDN/>
        <w:bidi w:val="0"/>
        <w:adjustRightInd/>
        <w:snapToGrid w:val="0"/>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shd w:val="clear" w:fill="FFFFFF"/>
          <w:lang w:eastAsia="zh-CN"/>
        </w:rPr>
        <w:t>重庆市万州区信访办公室</w:t>
      </w:r>
    </w:p>
    <w:p>
      <w:pPr>
        <w:pStyle w:val="2"/>
        <w:keepNext w:val="0"/>
        <w:keepLines w:val="0"/>
        <w:pageBreakBefore w:val="0"/>
        <w:widowControl/>
        <w:shd w:val="clear" w:fill="FFFFFF"/>
        <w:kinsoku/>
        <w:wordWrap/>
        <w:overflowPunct/>
        <w:topLinePunct w:val="0"/>
        <w:autoSpaceDN/>
        <w:bidi w:val="0"/>
        <w:adjustRightInd/>
        <w:snapToGrid w:val="0"/>
        <w:spacing w:line="540" w:lineRule="exact"/>
        <w:jc w:val="center"/>
        <w:textAlignment w:val="auto"/>
      </w:pPr>
      <w:r>
        <w:rPr>
          <w:rFonts w:hint="eastAsia" w:ascii="方正小标宋_GBK" w:hAnsi="方正小标宋_GBK" w:eastAsia="方正小标宋_GBK" w:cs="方正小标宋_GBK"/>
          <w:sz w:val="44"/>
          <w:szCs w:val="44"/>
          <w:shd w:val="clear" w:fill="FFFFFF"/>
          <w:lang w:val="en-US"/>
        </w:rPr>
        <w:t>2021</w:t>
      </w:r>
      <w:r>
        <w:rPr>
          <w:rFonts w:hint="eastAsia" w:ascii="方正小标宋_GBK" w:hAnsi="方正小标宋_GBK" w:eastAsia="方正小标宋_GBK" w:cs="方正小标宋_GBK"/>
          <w:sz w:val="44"/>
          <w:szCs w:val="44"/>
          <w:shd w:val="clear" w:fill="FFFFFF"/>
          <w:lang w:eastAsia="zh-CN"/>
        </w:rPr>
        <w:t>年度部门决算情况说明</w:t>
      </w:r>
    </w:p>
    <w:p>
      <w:pPr>
        <w:pStyle w:val="2"/>
        <w:keepNext w:val="0"/>
        <w:keepLines w:val="0"/>
        <w:pageBreakBefore w:val="0"/>
        <w:widowControl/>
        <w:shd w:val="clear" w:fill="FFFFFF"/>
        <w:kinsoku/>
        <w:wordWrap/>
        <w:overflowPunct/>
        <w:topLinePunct w:val="0"/>
        <w:autoSpaceDN/>
        <w:bidi w:val="0"/>
        <w:adjustRightInd/>
        <w:snapToGrid w:val="0"/>
        <w:spacing w:beforeAutospacing="0" w:line="600" w:lineRule="exact"/>
        <w:textAlignment w:val="auto"/>
      </w:pPr>
      <w:r>
        <w:rPr>
          <w:rStyle w:val="5"/>
          <w:rFonts w:hint="eastAsia" w:ascii="方正黑体_GBK" w:hAnsi="方正黑体_GBK" w:eastAsia="方正黑体_GBK" w:cs="方正黑体_GBK"/>
          <w:sz w:val="32"/>
          <w:szCs w:val="32"/>
          <w:shd w:val="clear" w:fill="FFFFFF"/>
          <w:lang w:val="en-US"/>
        </w:rPr>
        <w:t xml:space="preserve">  </w:t>
      </w:r>
      <w:r>
        <w:rPr>
          <w:rStyle w:val="5"/>
          <w:rFonts w:hint="eastAsia" w:ascii="方正黑体_GBK" w:hAnsi="方正黑体_GBK" w:eastAsia="方正黑体_GBK" w:cs="方正黑体_GBK"/>
          <w:sz w:val="32"/>
          <w:szCs w:val="32"/>
          <w:shd w:val="clear" w:fill="FFFFFF"/>
          <w:lang w:val="en-US" w:eastAsia="zh-CN"/>
        </w:rPr>
        <w:t>一、部门基本情况</w:t>
      </w:r>
    </w:p>
    <w:p>
      <w:pPr>
        <w:pStyle w:val="2"/>
        <w:keepNext w:val="0"/>
        <w:keepLines w:val="0"/>
        <w:pageBreakBefore w:val="0"/>
        <w:widowControl/>
        <w:shd w:val="clear" w:fill="FFFFFF"/>
        <w:kinsoku/>
        <w:wordWrap/>
        <w:overflowPunct/>
        <w:topLinePunct w:val="0"/>
        <w:autoSpaceDN/>
        <w:bidi w:val="0"/>
        <w:adjustRightInd/>
        <w:snapToGrid w:val="0"/>
        <w:spacing w:beforeAutospacing="0" w:line="600" w:lineRule="exact"/>
        <w:textAlignment w:val="auto"/>
        <w:rPr>
          <w:rStyle w:val="5"/>
          <w:rFonts w:hint="eastAsia" w:ascii="宋体" w:hAnsi="宋体" w:eastAsia="宋体" w:cs="宋体"/>
          <w:sz w:val="27"/>
          <w:szCs w:val="27"/>
          <w:shd w:val="clear" w:fill="FFFFFF"/>
          <w:lang w:eastAsia="zh-CN"/>
        </w:rPr>
      </w:pPr>
      <w:r>
        <w:rPr>
          <w:rStyle w:val="5"/>
          <w:rFonts w:hint="eastAsia" w:ascii="宋体" w:hAnsi="宋体" w:eastAsia="宋体" w:cs="宋体"/>
          <w:sz w:val="27"/>
          <w:szCs w:val="27"/>
          <w:shd w:val="clear" w:fill="FFFFFF"/>
          <w:lang w:val="en-US"/>
        </w:rPr>
        <w:t xml:space="preserve">  </w:t>
      </w:r>
      <w:r>
        <w:rPr>
          <w:rStyle w:val="5"/>
          <w:rFonts w:hint="eastAsia" w:ascii="方正楷体_GBK" w:hAnsi="方正楷体_GBK" w:eastAsia="方正楷体_GBK" w:cs="方正楷体_GBK"/>
          <w:sz w:val="32"/>
          <w:szCs w:val="32"/>
          <w:shd w:val="clear" w:fill="FFFFFF"/>
          <w:lang w:eastAsia="zh-CN"/>
        </w:rPr>
        <w:t>（一）职能职责</w:t>
      </w:r>
    </w:p>
    <w:p>
      <w:pPr>
        <w:pStyle w:val="2"/>
        <w:keepNext w:val="0"/>
        <w:keepLines w:val="0"/>
        <w:pageBreakBefore w:val="0"/>
        <w:widowControl/>
        <w:shd w:val="clear" w:fill="FFFFFF"/>
        <w:kinsoku/>
        <w:wordWrap/>
        <w:overflowPunct/>
        <w:topLinePunct w:val="0"/>
        <w:autoSpaceDN/>
        <w:bidi w:val="0"/>
        <w:adjustRightInd/>
        <w:snapToGrid w:val="0"/>
        <w:spacing w:beforeAutospacing="0" w:line="600" w:lineRule="exact"/>
        <w:ind w:firstLine="640" w:firstLineChars="200"/>
        <w:textAlignment w:val="auto"/>
        <w:rPr>
          <w:rStyle w:val="7"/>
          <w:rFonts w:hint="eastAsia" w:ascii="方正仿宋_GBK" w:hAnsi="方正仿宋_GBK" w:eastAsia="方正仿宋_GBK" w:cs="方正仿宋_GBK"/>
          <w:b w:val="0"/>
          <w:kern w:val="0"/>
          <w:sz w:val="32"/>
          <w:szCs w:val="32"/>
        </w:rPr>
      </w:pPr>
      <w:r>
        <w:rPr>
          <w:rStyle w:val="7"/>
          <w:rFonts w:hint="eastAsia" w:ascii="方正仿宋_GBK" w:hAnsi="方正仿宋_GBK" w:eastAsia="方正仿宋_GBK" w:cs="方正仿宋_GBK"/>
          <w:b w:val="0"/>
          <w:kern w:val="0"/>
          <w:sz w:val="32"/>
          <w:szCs w:val="32"/>
        </w:rPr>
        <w:t>1.对全区的信访工作实施宏观指导，研究信访工作相关政策和法律、法规并提出贯彻实施意见；总结推广信访工作经验；推进依法信访，确保信访渠道畅通；综合分析全区信访工作动态；向区委、区政府和上级信访部门报送信访信息。</w:t>
      </w:r>
    </w:p>
    <w:p>
      <w:pPr>
        <w:pStyle w:val="6"/>
        <w:keepNext w:val="0"/>
        <w:keepLines w:val="0"/>
        <w:pageBreakBefore w:val="0"/>
        <w:widowControl w:val="0"/>
        <w:suppressLineNumbers w:val="0"/>
        <w:kinsoku/>
        <w:wordWrap/>
        <w:overflowPunct/>
        <w:topLinePunct w:val="0"/>
        <w:autoSpaceDE w:val="0"/>
        <w:autoSpaceDN/>
        <w:bidi w:val="0"/>
        <w:adjustRightInd/>
        <w:snapToGrid/>
        <w:spacing w:before="0" w:beforeAutospacing="0" w:line="600" w:lineRule="exact"/>
        <w:ind w:firstLine="640" w:firstLineChars="200"/>
        <w:jc w:val="left"/>
        <w:textAlignment w:val="auto"/>
        <w:rPr>
          <w:rFonts w:hint="eastAsia" w:ascii="方正仿宋_GBK" w:hAnsi="方正仿宋_GBK" w:eastAsia="方正仿宋_GBK" w:cs="方正仿宋_GBK"/>
          <w:b w:val="0"/>
          <w:kern w:val="0"/>
          <w:sz w:val="32"/>
          <w:szCs w:val="32"/>
        </w:rPr>
      </w:pPr>
      <w:r>
        <w:rPr>
          <w:rStyle w:val="7"/>
          <w:rFonts w:hint="eastAsia" w:ascii="方正仿宋_GBK" w:hAnsi="方正仿宋_GBK" w:eastAsia="方正仿宋_GBK" w:cs="方正仿宋_GBK"/>
          <w:b w:val="0"/>
          <w:kern w:val="0"/>
          <w:sz w:val="32"/>
          <w:szCs w:val="32"/>
        </w:rPr>
        <w:t>2.负责受理、交办、转送群众给区委、区政府的信访事项；对跨地区、跨部门、跨行业的信访事项牵头协调和督查督办。</w:t>
      </w:r>
    </w:p>
    <w:p>
      <w:pPr>
        <w:keepNext w:val="0"/>
        <w:keepLines w:val="0"/>
        <w:pageBreakBefore w:val="0"/>
        <w:widowControl w:val="0"/>
        <w:suppressLineNumbers w:val="0"/>
        <w:kinsoku/>
        <w:wordWrap/>
        <w:overflowPunct/>
        <w:topLinePunct w:val="0"/>
        <w:autoSpaceDE w:val="0"/>
        <w:autoSpaceDN/>
        <w:bidi w:val="0"/>
        <w:adjustRightInd/>
        <w:snapToGrid/>
        <w:spacing w:beforeAutospacing="0" w:line="600" w:lineRule="exact"/>
        <w:ind w:left="0" w:leftChars="0" w:firstLine="646"/>
        <w:jc w:val="both"/>
        <w:textAlignment w:val="auto"/>
        <w:rPr>
          <w:rFonts w:hint="eastAsia" w:ascii="方正仿宋_GBK" w:hAnsi="方正仿宋_GBK" w:eastAsia="方正仿宋_GBK" w:cs="方正仿宋_GBK"/>
          <w:b w:val="0"/>
          <w:kern w:val="0"/>
          <w:sz w:val="32"/>
          <w:szCs w:val="32"/>
        </w:rPr>
      </w:pPr>
      <w:r>
        <w:rPr>
          <w:rStyle w:val="7"/>
          <w:rFonts w:hint="eastAsia" w:ascii="方正仿宋_GBK" w:hAnsi="方正仿宋_GBK" w:eastAsia="方正仿宋_GBK" w:cs="方正仿宋_GBK"/>
          <w:b w:val="0"/>
          <w:kern w:val="0"/>
          <w:sz w:val="32"/>
          <w:szCs w:val="32"/>
        </w:rPr>
        <w:t>3.牵头协调处理重要信访事项、重大决策事项社会稳定风险评估、矛盾纠纷排查化解等。调查、分析、研究信访情况，及时向区委、区政府提出建议。</w:t>
      </w:r>
    </w:p>
    <w:p>
      <w:pPr>
        <w:keepNext w:val="0"/>
        <w:keepLines w:val="0"/>
        <w:pageBreakBefore w:val="0"/>
        <w:widowControl w:val="0"/>
        <w:suppressLineNumbers w:val="0"/>
        <w:kinsoku/>
        <w:wordWrap/>
        <w:overflowPunct/>
        <w:topLinePunct w:val="0"/>
        <w:autoSpaceDE w:val="0"/>
        <w:autoSpaceDN/>
        <w:bidi w:val="0"/>
        <w:adjustRightInd/>
        <w:snapToGrid/>
        <w:spacing w:beforeAutospacing="0" w:line="600" w:lineRule="exact"/>
        <w:ind w:left="0" w:leftChars="0" w:firstLine="646"/>
        <w:jc w:val="both"/>
        <w:textAlignment w:val="auto"/>
        <w:rPr>
          <w:rFonts w:hint="eastAsia" w:ascii="方正仿宋_GBK" w:hAnsi="方正仿宋_GBK" w:eastAsia="方正仿宋_GBK" w:cs="方正仿宋_GBK"/>
          <w:b w:val="0"/>
          <w:kern w:val="0"/>
          <w:sz w:val="32"/>
          <w:szCs w:val="32"/>
        </w:rPr>
      </w:pPr>
      <w:r>
        <w:rPr>
          <w:rStyle w:val="7"/>
          <w:rFonts w:hint="eastAsia" w:ascii="方正仿宋_GBK" w:hAnsi="方正仿宋_GBK" w:eastAsia="方正仿宋_GBK" w:cs="方正仿宋_GBK"/>
          <w:b w:val="0"/>
          <w:kern w:val="0"/>
          <w:sz w:val="32"/>
          <w:szCs w:val="32"/>
        </w:rPr>
        <w:t>4.协调、指导和监督本地区的信访工作，督查督办区委、区政府各部门和镇乡街道贯彻执行信访法规、落实信访稳定工作、处理信访事项、执行信访事项处理意见的情况，提出改进工作、完善政策和给予处分的建议。</w:t>
      </w:r>
    </w:p>
    <w:p>
      <w:pPr>
        <w:keepNext w:val="0"/>
        <w:keepLines w:val="0"/>
        <w:pageBreakBefore w:val="0"/>
        <w:widowControl w:val="0"/>
        <w:suppressLineNumbers w:val="0"/>
        <w:kinsoku/>
        <w:wordWrap/>
        <w:overflowPunct/>
        <w:topLinePunct w:val="0"/>
        <w:autoSpaceDE w:val="0"/>
        <w:autoSpaceDN/>
        <w:bidi w:val="0"/>
        <w:adjustRightInd/>
        <w:snapToGrid/>
        <w:spacing w:beforeAutospacing="0" w:line="600" w:lineRule="exact"/>
        <w:ind w:left="0" w:leftChars="0" w:firstLine="646"/>
        <w:jc w:val="both"/>
        <w:textAlignment w:val="auto"/>
        <w:rPr>
          <w:rFonts w:hint="eastAsia" w:ascii="方正仿宋_GBK" w:hAnsi="方正仿宋_GBK" w:eastAsia="方正仿宋_GBK" w:cs="方正仿宋_GBK"/>
          <w:b w:val="0"/>
          <w:kern w:val="0"/>
          <w:sz w:val="32"/>
          <w:szCs w:val="32"/>
        </w:rPr>
      </w:pPr>
      <w:r>
        <w:rPr>
          <w:rStyle w:val="7"/>
          <w:rFonts w:hint="eastAsia" w:ascii="方正仿宋_GBK" w:hAnsi="方正仿宋_GBK" w:eastAsia="方正仿宋_GBK" w:cs="方正仿宋_GBK"/>
          <w:b w:val="0"/>
          <w:kern w:val="0"/>
          <w:sz w:val="32"/>
          <w:szCs w:val="32"/>
        </w:rPr>
        <w:t>5.负责对镇乡街道和区级各部门处理不服的信访事项组织复查复核；组织落实上级党政机关对群众信访事项的复查复核意见；对涉法的信访事项引导群众依法求决。</w:t>
      </w:r>
    </w:p>
    <w:p>
      <w:pPr>
        <w:keepNext w:val="0"/>
        <w:keepLines w:val="0"/>
        <w:pageBreakBefore w:val="0"/>
        <w:widowControl w:val="0"/>
        <w:suppressLineNumbers w:val="0"/>
        <w:kinsoku/>
        <w:wordWrap/>
        <w:overflowPunct/>
        <w:topLinePunct w:val="0"/>
        <w:autoSpaceDE w:val="0"/>
        <w:autoSpaceDN/>
        <w:bidi w:val="0"/>
        <w:adjustRightInd/>
        <w:snapToGrid/>
        <w:spacing w:beforeAutospacing="0" w:line="600" w:lineRule="exact"/>
        <w:ind w:left="0" w:leftChars="0" w:firstLine="646"/>
        <w:jc w:val="both"/>
        <w:textAlignment w:val="auto"/>
        <w:rPr>
          <w:rFonts w:hint="eastAsia" w:ascii="方正仿宋_GBK" w:hAnsi="方正仿宋_GBK" w:eastAsia="方正仿宋_GBK" w:cs="方正仿宋_GBK"/>
          <w:b w:val="0"/>
          <w:kern w:val="0"/>
          <w:sz w:val="32"/>
          <w:szCs w:val="32"/>
        </w:rPr>
      </w:pPr>
      <w:r>
        <w:rPr>
          <w:rStyle w:val="7"/>
          <w:rFonts w:hint="eastAsia" w:ascii="方正仿宋_GBK" w:hAnsi="方正仿宋_GBK" w:eastAsia="方正仿宋_GBK" w:cs="方正仿宋_GBK"/>
          <w:b w:val="0"/>
          <w:kern w:val="0"/>
          <w:sz w:val="32"/>
          <w:szCs w:val="32"/>
        </w:rPr>
        <w:t>6.负责接待到区委、区政府机关的上访群众，落实集体上访、突发事件处理意见；定期排查本区社会热点和不稳定因素；及时调处人民内部矛盾。</w:t>
      </w:r>
    </w:p>
    <w:p>
      <w:pPr>
        <w:keepNext w:val="0"/>
        <w:keepLines w:val="0"/>
        <w:pageBreakBefore w:val="0"/>
        <w:widowControl w:val="0"/>
        <w:suppressLineNumbers w:val="0"/>
        <w:kinsoku/>
        <w:wordWrap/>
        <w:overflowPunct/>
        <w:topLinePunct w:val="0"/>
        <w:autoSpaceDE w:val="0"/>
        <w:autoSpaceDN/>
        <w:bidi w:val="0"/>
        <w:adjustRightInd/>
        <w:snapToGrid/>
        <w:spacing w:beforeAutospacing="0" w:line="600" w:lineRule="exact"/>
        <w:ind w:left="0" w:leftChars="0" w:firstLine="646"/>
        <w:jc w:val="both"/>
        <w:textAlignment w:val="auto"/>
        <w:rPr>
          <w:rFonts w:hint="eastAsia" w:ascii="方正仿宋_GBK" w:hAnsi="方正仿宋_GBK" w:eastAsia="方正仿宋_GBK" w:cs="方正仿宋_GBK"/>
          <w:b w:val="0"/>
          <w:kern w:val="0"/>
          <w:sz w:val="32"/>
          <w:szCs w:val="32"/>
        </w:rPr>
      </w:pPr>
      <w:r>
        <w:rPr>
          <w:rStyle w:val="7"/>
          <w:rFonts w:hint="eastAsia" w:ascii="方正仿宋_GBK" w:hAnsi="方正仿宋_GBK" w:eastAsia="方正仿宋_GBK" w:cs="方正仿宋_GBK"/>
          <w:b w:val="0"/>
          <w:kern w:val="0"/>
          <w:sz w:val="32"/>
          <w:szCs w:val="32"/>
        </w:rPr>
        <w:t>7.组织开展领导干部下访群众工作，协调社会各方面参与群众工作；负责收集、征集并督促相关部门和单位采纳人民群众合理化建议。</w:t>
      </w:r>
    </w:p>
    <w:p>
      <w:pPr>
        <w:keepNext w:val="0"/>
        <w:keepLines w:val="0"/>
        <w:pageBreakBefore w:val="0"/>
        <w:widowControl w:val="0"/>
        <w:suppressLineNumbers w:val="0"/>
        <w:kinsoku/>
        <w:wordWrap/>
        <w:overflowPunct/>
        <w:topLinePunct w:val="0"/>
        <w:autoSpaceDE w:val="0"/>
        <w:autoSpaceDN/>
        <w:bidi w:val="0"/>
        <w:adjustRightInd/>
        <w:snapToGrid/>
        <w:spacing w:beforeAutospacing="0" w:line="600" w:lineRule="exact"/>
        <w:ind w:left="0" w:leftChars="0" w:firstLine="646"/>
        <w:jc w:val="both"/>
        <w:textAlignment w:val="auto"/>
        <w:rPr>
          <w:rFonts w:hint="eastAsia" w:ascii="方正仿宋_GBK" w:hAnsi="方正仿宋_GBK" w:eastAsia="方正仿宋_GBK" w:cs="方正仿宋_GBK"/>
          <w:b w:val="0"/>
          <w:kern w:val="0"/>
          <w:sz w:val="32"/>
          <w:szCs w:val="32"/>
        </w:rPr>
      </w:pPr>
      <w:r>
        <w:rPr>
          <w:rStyle w:val="7"/>
          <w:rFonts w:hint="eastAsia" w:ascii="方正仿宋_GBK" w:hAnsi="方正仿宋_GBK" w:eastAsia="方正仿宋_GBK" w:cs="方正仿宋_GBK"/>
          <w:b w:val="0"/>
          <w:kern w:val="0"/>
          <w:sz w:val="32"/>
          <w:szCs w:val="32"/>
        </w:rPr>
        <w:t>8.组织实施信访办公自动化建设；建立并管理全区信访信息网络系统；加强信访信息系统建设管理工作。对信访干部开展业务培训。</w:t>
      </w:r>
    </w:p>
    <w:p>
      <w:pPr>
        <w:keepNext w:val="0"/>
        <w:keepLines w:val="0"/>
        <w:pageBreakBefore w:val="0"/>
        <w:widowControl w:val="0"/>
        <w:suppressLineNumbers w:val="0"/>
        <w:kinsoku/>
        <w:wordWrap/>
        <w:overflowPunct/>
        <w:topLinePunct w:val="0"/>
        <w:autoSpaceDE w:val="0"/>
        <w:autoSpaceDN/>
        <w:bidi w:val="0"/>
        <w:adjustRightInd/>
        <w:snapToGrid/>
        <w:spacing w:beforeAutospacing="0" w:line="600" w:lineRule="exact"/>
        <w:ind w:left="0" w:leftChars="0" w:firstLine="646"/>
        <w:jc w:val="both"/>
        <w:textAlignment w:val="auto"/>
        <w:rPr>
          <w:rFonts w:hint="eastAsia" w:ascii="方正仿宋_GBK" w:hAnsi="方正仿宋_GBK" w:eastAsia="方正仿宋_GBK" w:cs="方正仿宋_GBK"/>
          <w:b w:val="0"/>
          <w:kern w:val="0"/>
          <w:sz w:val="32"/>
          <w:szCs w:val="32"/>
        </w:rPr>
      </w:pPr>
      <w:r>
        <w:rPr>
          <w:rStyle w:val="7"/>
          <w:rFonts w:hint="eastAsia" w:ascii="方正仿宋_GBK" w:hAnsi="方正仿宋_GBK" w:eastAsia="方正仿宋_GBK" w:cs="方正仿宋_GBK"/>
          <w:b w:val="0"/>
          <w:kern w:val="0"/>
          <w:sz w:val="32"/>
          <w:szCs w:val="32"/>
        </w:rPr>
        <w:t>9.完成区委、区政府交办的其它任务。</w:t>
      </w:r>
    </w:p>
    <w:p>
      <w:pPr>
        <w:pStyle w:val="2"/>
        <w:keepNext w:val="0"/>
        <w:keepLines w:val="0"/>
        <w:pageBreakBefore w:val="0"/>
        <w:widowControl/>
        <w:shd w:val="clear" w:fill="FFFFFF"/>
        <w:kinsoku/>
        <w:wordWrap/>
        <w:overflowPunct/>
        <w:topLinePunct w:val="0"/>
        <w:autoSpaceDN/>
        <w:bidi w:val="0"/>
        <w:adjustRightInd/>
        <w:snapToGrid w:val="0"/>
        <w:spacing w:beforeAutospacing="0" w:line="600" w:lineRule="exact"/>
        <w:jc w:val="left"/>
        <w:textAlignment w:val="auto"/>
        <w:rPr>
          <w:rStyle w:val="5"/>
          <w:rFonts w:hint="eastAsia" w:ascii="宋体" w:hAnsi="宋体" w:eastAsia="宋体" w:cs="宋体"/>
          <w:sz w:val="33"/>
          <w:szCs w:val="33"/>
          <w:shd w:val="clear" w:fill="FFFFFF"/>
          <w:lang w:eastAsia="zh-CN"/>
        </w:rPr>
      </w:pPr>
      <w:r>
        <w:rPr>
          <w:rStyle w:val="5"/>
          <w:rFonts w:hint="eastAsia" w:ascii="宋体" w:hAnsi="宋体" w:eastAsia="宋体" w:cs="宋体"/>
          <w:sz w:val="33"/>
          <w:szCs w:val="33"/>
          <w:shd w:val="clear" w:fill="FFFFFF"/>
          <w:lang w:val="en-US" w:eastAsia="zh-CN"/>
        </w:rPr>
        <w:t> </w:t>
      </w:r>
      <w:r>
        <w:rPr>
          <w:rStyle w:val="5"/>
          <w:rFonts w:hint="eastAsia" w:ascii="宋体" w:hAnsi="宋体" w:eastAsia="宋体" w:cs="宋体"/>
          <w:sz w:val="27"/>
          <w:szCs w:val="27"/>
          <w:shd w:val="clear" w:fill="FFFFFF"/>
          <w:lang w:val="en-US" w:eastAsia="zh-CN"/>
        </w:rPr>
        <w:t xml:space="preserve"> </w:t>
      </w:r>
      <w:r>
        <w:rPr>
          <w:rStyle w:val="5"/>
          <w:rFonts w:hint="eastAsia" w:ascii="方正楷体_GBK" w:hAnsi="方正楷体_GBK" w:eastAsia="方正楷体_GBK" w:cs="方正楷体_GBK"/>
          <w:sz w:val="32"/>
          <w:szCs w:val="32"/>
          <w:shd w:val="clear" w:fill="FFFFFF"/>
          <w:lang w:val="en-US" w:eastAsia="zh-CN"/>
        </w:rPr>
        <w:t>（二）机构设置</w:t>
      </w:r>
    </w:p>
    <w:p>
      <w:pPr>
        <w:pStyle w:val="2"/>
        <w:keepNext w:val="0"/>
        <w:keepLines w:val="0"/>
        <w:pageBreakBefore w:val="0"/>
        <w:widowControl/>
        <w:shd w:val="clear" w:fill="FFFFFF"/>
        <w:kinsoku/>
        <w:wordWrap/>
        <w:overflowPunct/>
        <w:topLinePunct w:val="0"/>
        <w:autoSpaceDN/>
        <w:bidi w:val="0"/>
        <w:adjustRightInd/>
        <w:snapToGrid w:val="0"/>
        <w:spacing w:beforeAutospacing="0" w:line="600" w:lineRule="exact"/>
        <w:ind w:firstLine="640" w:firstLineChars="200"/>
        <w:jc w:val="left"/>
        <w:textAlignment w:val="auto"/>
        <w:rPr>
          <w:rStyle w:val="7"/>
          <w:rFonts w:hint="default" w:ascii="方正仿宋_GBK" w:hAnsi="方正仿宋_GBK" w:eastAsia="方正仿宋_GBK" w:cs="方正仿宋_GBK"/>
          <w:b w:val="0"/>
          <w:kern w:val="0"/>
          <w:sz w:val="32"/>
          <w:szCs w:val="32"/>
        </w:rPr>
      </w:pPr>
      <w:r>
        <w:rPr>
          <w:rStyle w:val="7"/>
          <w:rFonts w:hint="eastAsia" w:ascii="方正仿宋_GBK" w:hAnsi="方正仿宋_GBK" w:eastAsia="方正仿宋_GBK" w:cs="方正仿宋_GBK"/>
          <w:b w:val="0"/>
          <w:kern w:val="0"/>
          <w:sz w:val="32"/>
          <w:szCs w:val="32"/>
        </w:rPr>
        <w:t>万州区信访办是一级预算单位，内设综合科、接访科、办信科、复查复核科、督查科、维稳科、群工科</w:t>
      </w:r>
      <w:r>
        <w:rPr>
          <w:rStyle w:val="7"/>
          <w:rFonts w:hint="default" w:ascii="方正仿宋_GBK" w:hAnsi="方正仿宋_GBK" w:eastAsia="方正仿宋_GBK" w:cs="方正仿宋_GBK"/>
          <w:b w:val="0"/>
          <w:kern w:val="0"/>
          <w:sz w:val="32"/>
          <w:szCs w:val="32"/>
        </w:rPr>
        <w:t>7</w:t>
      </w:r>
      <w:r>
        <w:rPr>
          <w:rStyle w:val="7"/>
          <w:rFonts w:hint="eastAsia" w:ascii="方正仿宋_GBK" w:hAnsi="方正仿宋_GBK" w:eastAsia="方正仿宋_GBK" w:cs="方正仿宋_GBK"/>
          <w:b w:val="0"/>
          <w:kern w:val="0"/>
          <w:sz w:val="32"/>
          <w:szCs w:val="32"/>
        </w:rPr>
        <w:t>个科室。</w:t>
      </w:r>
    </w:p>
    <w:p>
      <w:pPr>
        <w:pStyle w:val="2"/>
        <w:keepNext w:val="0"/>
        <w:keepLines w:val="0"/>
        <w:pageBreakBefore w:val="0"/>
        <w:widowControl/>
        <w:shd w:val="clear" w:fill="FFFFFF"/>
        <w:kinsoku/>
        <w:wordWrap/>
        <w:overflowPunct/>
        <w:topLinePunct w:val="0"/>
        <w:autoSpaceDN/>
        <w:bidi w:val="0"/>
        <w:adjustRightInd/>
        <w:snapToGrid w:val="0"/>
        <w:spacing w:beforeAutospacing="0" w:line="600" w:lineRule="exact"/>
        <w:textAlignment w:val="auto"/>
      </w:pPr>
      <w:r>
        <w:rPr>
          <w:rStyle w:val="5"/>
          <w:rFonts w:hint="eastAsia" w:ascii="宋体" w:hAnsi="宋体" w:eastAsia="宋体" w:cs="宋体"/>
          <w:sz w:val="27"/>
          <w:szCs w:val="27"/>
          <w:shd w:val="clear" w:fill="FFFFFF"/>
          <w:lang w:val="en-US"/>
        </w:rPr>
        <w:t xml:space="preserve">  </w:t>
      </w:r>
      <w:r>
        <w:rPr>
          <w:rStyle w:val="5"/>
          <w:rFonts w:hint="eastAsia" w:ascii="方正楷体_GBK" w:hAnsi="方正楷体_GBK" w:eastAsia="方正楷体_GBK" w:cs="方正楷体_GBK"/>
          <w:sz w:val="32"/>
          <w:szCs w:val="32"/>
          <w:shd w:val="clear" w:fill="FFFFFF"/>
          <w:lang w:val="en-US" w:eastAsia="zh-CN"/>
        </w:rPr>
        <w:t>（三）单位构成</w:t>
      </w:r>
    </w:p>
    <w:p>
      <w:pPr>
        <w:pStyle w:val="2"/>
        <w:keepNext w:val="0"/>
        <w:keepLines w:val="0"/>
        <w:pageBreakBefore w:val="0"/>
        <w:widowControl/>
        <w:shd w:val="clear" w:fill="FFFFFF"/>
        <w:kinsoku/>
        <w:wordWrap/>
        <w:overflowPunct/>
        <w:topLinePunct w:val="0"/>
        <w:autoSpaceDN/>
        <w:bidi w:val="0"/>
        <w:adjustRightInd/>
        <w:snapToGrid w:val="0"/>
        <w:spacing w:beforeAutospacing="0" w:line="600" w:lineRule="exact"/>
        <w:ind w:firstLine="640" w:firstLineChars="200"/>
        <w:jc w:val="left"/>
        <w:textAlignment w:val="auto"/>
        <w:rPr>
          <w:rStyle w:val="7"/>
          <w:rFonts w:hint="eastAsia" w:ascii="方正仿宋_GBK" w:hAnsi="方正仿宋_GBK" w:eastAsia="方正仿宋_GBK" w:cs="方正仿宋_GBK"/>
          <w:b w:val="0"/>
          <w:kern w:val="0"/>
          <w:sz w:val="32"/>
          <w:szCs w:val="32"/>
        </w:rPr>
      </w:pPr>
      <w:r>
        <w:rPr>
          <w:rStyle w:val="7"/>
          <w:rFonts w:hint="eastAsia" w:ascii="方正仿宋_GBK" w:hAnsi="方正仿宋_GBK" w:eastAsia="方正仿宋_GBK" w:cs="方正仿宋_GBK"/>
          <w:b w:val="0"/>
          <w:kern w:val="0"/>
          <w:sz w:val="32"/>
          <w:szCs w:val="32"/>
        </w:rPr>
        <w:t>本部门无下级预算单位。</w:t>
      </w:r>
    </w:p>
    <w:p>
      <w:pPr>
        <w:pStyle w:val="2"/>
        <w:keepNext w:val="0"/>
        <w:keepLines w:val="0"/>
        <w:pageBreakBefore w:val="0"/>
        <w:widowControl/>
        <w:shd w:val="clear" w:fill="FFFFFF"/>
        <w:kinsoku/>
        <w:wordWrap/>
        <w:overflowPunct/>
        <w:topLinePunct w:val="0"/>
        <w:autoSpaceDN/>
        <w:bidi w:val="0"/>
        <w:adjustRightInd/>
        <w:snapToGrid w:val="0"/>
        <w:spacing w:beforeAutospacing="0" w:line="600" w:lineRule="exact"/>
        <w:textAlignment w:val="auto"/>
        <w:rPr>
          <w:rStyle w:val="5"/>
          <w:rFonts w:hint="eastAsia" w:ascii="方正黑体_GBK" w:hAnsi="方正黑体_GBK" w:eastAsia="方正黑体_GBK" w:cs="方正黑体_GBK"/>
          <w:sz w:val="32"/>
          <w:szCs w:val="32"/>
          <w:shd w:val="clear" w:fill="FFFFFF"/>
          <w:lang w:val="en-US" w:eastAsia="zh-CN"/>
        </w:rPr>
      </w:pPr>
      <w:r>
        <w:rPr>
          <w:rStyle w:val="5"/>
          <w:rFonts w:hint="eastAsia" w:ascii="宋体" w:hAnsi="宋体" w:eastAsia="宋体" w:cs="宋体"/>
          <w:sz w:val="33"/>
          <w:szCs w:val="33"/>
          <w:shd w:val="clear" w:fill="FFFFFF"/>
          <w:lang w:val="en-US"/>
        </w:rPr>
        <w:t> </w:t>
      </w:r>
      <w:r>
        <w:rPr>
          <w:rStyle w:val="5"/>
          <w:rFonts w:hint="eastAsia" w:ascii="方正黑体_GBK" w:hAnsi="方正黑体_GBK" w:eastAsia="方正黑体_GBK" w:cs="方正黑体_GBK"/>
          <w:sz w:val="32"/>
          <w:szCs w:val="32"/>
          <w:shd w:val="clear" w:fill="FFFFFF"/>
          <w:lang w:val="en-US" w:eastAsia="zh-CN"/>
        </w:rPr>
        <w:t xml:space="preserve"> 二、部门决算情况说明</w:t>
      </w:r>
    </w:p>
    <w:p>
      <w:pPr>
        <w:pStyle w:val="2"/>
        <w:keepNext w:val="0"/>
        <w:keepLines w:val="0"/>
        <w:pageBreakBefore w:val="0"/>
        <w:widowControl/>
        <w:shd w:val="clear" w:fill="FFFFFF"/>
        <w:kinsoku/>
        <w:wordWrap/>
        <w:overflowPunct/>
        <w:topLinePunct w:val="0"/>
        <w:autoSpaceDN/>
        <w:bidi w:val="0"/>
        <w:adjustRightInd/>
        <w:snapToGrid w:val="0"/>
        <w:spacing w:beforeAutospacing="0" w:line="600" w:lineRule="exact"/>
        <w:textAlignment w:val="auto"/>
        <w:rPr>
          <w:rStyle w:val="5"/>
          <w:rFonts w:hint="eastAsia" w:ascii="宋体" w:hAnsi="宋体" w:eastAsia="宋体" w:cs="宋体"/>
          <w:sz w:val="27"/>
          <w:szCs w:val="27"/>
          <w:shd w:val="clear" w:fill="FFFFFF"/>
          <w:lang w:val="en-US" w:eastAsia="zh-CN"/>
        </w:rPr>
      </w:pPr>
      <w:r>
        <w:rPr>
          <w:rStyle w:val="5"/>
          <w:rFonts w:hint="eastAsia" w:ascii="宋体" w:hAnsi="宋体" w:eastAsia="宋体" w:cs="宋体"/>
          <w:sz w:val="27"/>
          <w:szCs w:val="27"/>
          <w:shd w:val="clear" w:fill="FFFFFF"/>
          <w:lang w:val="en-US"/>
        </w:rPr>
        <w:t> </w:t>
      </w:r>
      <w:r>
        <w:rPr>
          <w:rStyle w:val="5"/>
          <w:rFonts w:hint="eastAsia" w:ascii="方正楷体_GBK" w:hAnsi="方正楷体_GBK" w:eastAsia="方正楷体_GBK" w:cs="方正楷体_GBK"/>
          <w:sz w:val="32"/>
          <w:szCs w:val="32"/>
          <w:shd w:val="clear" w:fill="FFFFFF"/>
          <w:lang w:val="en-US" w:eastAsia="zh-CN"/>
        </w:rPr>
        <w:t xml:space="preserve"> （一）收入支出决算总体情况说明</w:t>
      </w:r>
    </w:p>
    <w:p>
      <w:pPr>
        <w:pStyle w:val="2"/>
        <w:keepNext w:val="0"/>
        <w:keepLines w:val="0"/>
        <w:pageBreakBefore w:val="0"/>
        <w:widowControl/>
        <w:shd w:val="clear" w:fill="FFFFFF"/>
        <w:kinsoku/>
        <w:wordWrap/>
        <w:overflowPunct/>
        <w:topLinePunct w:val="0"/>
        <w:autoSpaceDN/>
        <w:bidi w:val="0"/>
        <w:adjustRightInd/>
        <w:snapToGrid w:val="0"/>
        <w:spacing w:beforeAutospacing="0" w:line="600" w:lineRule="exact"/>
        <w:jc w:val="both"/>
        <w:textAlignment w:val="auto"/>
        <w:rPr>
          <w:rStyle w:val="7"/>
          <w:rFonts w:hint="eastAsia" w:ascii="方正仿宋_GBK" w:hAnsi="方正仿宋_GBK" w:eastAsia="方正仿宋_GBK" w:cs="方正仿宋_GBK"/>
          <w:b w:val="0"/>
          <w:kern w:val="0"/>
          <w:sz w:val="32"/>
          <w:szCs w:val="32"/>
          <w:lang w:val="en-US" w:eastAsia="zh-CN"/>
        </w:rPr>
      </w:pPr>
      <w:r>
        <w:rPr>
          <w:rStyle w:val="5"/>
          <w:rFonts w:hint="eastAsia" w:ascii="宋体" w:hAnsi="宋体" w:eastAsia="宋体" w:cs="宋体"/>
          <w:sz w:val="27"/>
          <w:szCs w:val="27"/>
          <w:shd w:val="clear" w:fill="FFFFFF"/>
          <w:lang w:val="en-US"/>
        </w:rPr>
        <w:t> </w:t>
      </w:r>
      <w:r>
        <w:rPr>
          <w:rStyle w:val="7"/>
          <w:rFonts w:hint="eastAsia" w:ascii="方正仿宋_GBK" w:hAnsi="方正仿宋_GBK" w:eastAsia="方正仿宋_GBK" w:cs="方正仿宋_GBK"/>
          <w:kern w:val="0"/>
          <w:sz w:val="32"/>
          <w:szCs w:val="32"/>
          <w:shd w:val="clear" w:color="auto" w:fill="FFFFFF"/>
          <w:lang w:val="en-US" w:eastAsia="zh-CN" w:bidi="ar"/>
        </w:rPr>
        <w:t xml:space="preserve"> 1.总体情况。</w:t>
      </w:r>
      <w:r>
        <w:rPr>
          <w:rStyle w:val="7"/>
          <w:rFonts w:hint="eastAsia" w:ascii="方正仿宋_GBK" w:hAnsi="方正仿宋_GBK" w:eastAsia="方正仿宋_GBK" w:cs="方正仿宋_GBK"/>
          <w:b w:val="0"/>
          <w:kern w:val="0"/>
          <w:sz w:val="32"/>
          <w:szCs w:val="32"/>
          <w:lang w:val="en-US" w:eastAsia="zh-CN"/>
        </w:rPr>
        <w:t>2021年度收入总计1,121.66万元，支出总计1,121.66万元。收支较上年决算数增加102.98万元、增长10.1%，主要原因一是新增灾害防治及应急管理支出项目。二是职业年金虚账做实，人员经费增多。</w:t>
      </w:r>
    </w:p>
    <w:p>
      <w:pPr>
        <w:pStyle w:val="2"/>
        <w:keepNext w:val="0"/>
        <w:keepLines w:val="0"/>
        <w:pageBreakBefore w:val="0"/>
        <w:widowControl/>
        <w:shd w:val="clear" w:fill="FFFFFF"/>
        <w:kinsoku/>
        <w:wordWrap/>
        <w:overflowPunct/>
        <w:topLinePunct w:val="0"/>
        <w:autoSpaceDN/>
        <w:bidi w:val="0"/>
        <w:adjustRightInd/>
        <w:snapToGrid w:val="0"/>
        <w:spacing w:beforeAutospacing="0" w:line="600" w:lineRule="exact"/>
        <w:jc w:val="both"/>
        <w:textAlignment w:val="auto"/>
        <w:rPr>
          <w:rStyle w:val="7"/>
          <w:rFonts w:hint="eastAsia" w:ascii="方正仿宋_GBK" w:hAnsi="方正仿宋_GBK" w:eastAsia="方正仿宋_GBK" w:cs="方正仿宋_GBK"/>
          <w:b w:val="0"/>
          <w:kern w:val="0"/>
          <w:sz w:val="32"/>
          <w:szCs w:val="32"/>
          <w:lang w:val="en-US" w:eastAsia="zh-CN"/>
        </w:rPr>
      </w:pPr>
      <w:r>
        <w:rPr>
          <w:rStyle w:val="5"/>
          <w:rFonts w:hint="eastAsia" w:ascii="宋体" w:hAnsi="宋体" w:eastAsia="宋体" w:cs="宋体"/>
          <w:sz w:val="27"/>
          <w:szCs w:val="27"/>
          <w:shd w:val="clear" w:fill="FFFFFF"/>
          <w:lang w:val="en-US"/>
        </w:rPr>
        <w:t> </w:t>
      </w:r>
      <w:r>
        <w:rPr>
          <w:rStyle w:val="7"/>
          <w:rFonts w:hint="eastAsia" w:ascii="方正仿宋_GBK" w:hAnsi="方正仿宋_GBK" w:eastAsia="方正仿宋_GBK" w:cs="方正仿宋_GBK"/>
          <w:kern w:val="0"/>
          <w:sz w:val="32"/>
          <w:szCs w:val="32"/>
          <w:shd w:val="clear" w:color="auto" w:fill="FFFFFF"/>
          <w:lang w:val="en-US" w:eastAsia="zh-CN" w:bidi="ar"/>
        </w:rPr>
        <w:t xml:space="preserve"> 2.收入情况。</w:t>
      </w:r>
      <w:r>
        <w:rPr>
          <w:rStyle w:val="7"/>
          <w:rFonts w:hint="eastAsia" w:ascii="方正仿宋_GBK" w:hAnsi="方正仿宋_GBK" w:eastAsia="方正仿宋_GBK" w:cs="方正仿宋_GBK"/>
          <w:b w:val="0"/>
          <w:kern w:val="0"/>
          <w:sz w:val="32"/>
          <w:szCs w:val="32"/>
          <w:lang w:val="en-US" w:eastAsia="zh-CN"/>
        </w:rPr>
        <w:t>2021年度收入合计1,114.55万元，较上年决算数增加95.87万元，增长9.4%，主要原因是新增灾害防治及应急管理支出项目。其中：财政拨款收入1,114.55万元，占100%；此外，使用非财政拨款结余0万元，年初结转和结余7.11万元。</w:t>
      </w:r>
    </w:p>
    <w:p>
      <w:pPr>
        <w:pStyle w:val="2"/>
        <w:keepNext w:val="0"/>
        <w:keepLines w:val="0"/>
        <w:pageBreakBefore w:val="0"/>
        <w:widowControl/>
        <w:shd w:val="clear" w:fill="FFFFFF"/>
        <w:kinsoku/>
        <w:wordWrap/>
        <w:overflowPunct/>
        <w:topLinePunct w:val="0"/>
        <w:autoSpaceDN/>
        <w:bidi w:val="0"/>
        <w:adjustRightInd/>
        <w:snapToGrid w:val="0"/>
        <w:spacing w:beforeAutospacing="0" w:line="600" w:lineRule="exact"/>
        <w:jc w:val="both"/>
        <w:textAlignment w:val="auto"/>
        <w:rPr>
          <w:rStyle w:val="7"/>
          <w:rFonts w:hint="default" w:ascii="方正仿宋_GBK" w:hAnsi="方正仿宋_GBK" w:eastAsia="方正仿宋_GBK" w:cs="方正仿宋_GBK"/>
          <w:b w:val="0"/>
          <w:kern w:val="0"/>
          <w:sz w:val="32"/>
          <w:szCs w:val="32"/>
          <w:lang w:val="en-US" w:eastAsia="zh-CN"/>
        </w:rPr>
      </w:pPr>
      <w:r>
        <w:rPr>
          <w:rStyle w:val="5"/>
          <w:rFonts w:hint="eastAsia" w:ascii="宋体" w:hAnsi="宋体" w:eastAsia="宋体" w:cs="宋体"/>
          <w:sz w:val="27"/>
          <w:szCs w:val="27"/>
          <w:shd w:val="clear" w:fill="FFFFFF"/>
          <w:lang w:val="en-US"/>
        </w:rPr>
        <w:t xml:space="preserve">  </w:t>
      </w:r>
      <w:r>
        <w:rPr>
          <w:rStyle w:val="7"/>
          <w:rFonts w:hint="eastAsia" w:ascii="方正仿宋_GBK" w:hAnsi="方正仿宋_GBK" w:eastAsia="方正仿宋_GBK" w:cs="方正仿宋_GBK"/>
          <w:kern w:val="0"/>
          <w:sz w:val="32"/>
          <w:szCs w:val="32"/>
          <w:shd w:val="clear" w:color="auto" w:fill="FFFFFF"/>
          <w:lang w:val="en-US" w:eastAsia="zh-CN" w:bidi="ar"/>
        </w:rPr>
        <w:t>3.支出情况</w:t>
      </w:r>
      <w:r>
        <w:rPr>
          <w:rStyle w:val="5"/>
          <w:rFonts w:hint="eastAsia" w:ascii="宋体" w:hAnsi="宋体" w:eastAsia="宋体" w:cs="宋体"/>
          <w:sz w:val="27"/>
          <w:szCs w:val="27"/>
          <w:shd w:val="clear" w:fill="FFFFFF"/>
          <w:lang w:eastAsia="zh-CN"/>
        </w:rPr>
        <w:t>。</w:t>
      </w:r>
      <w:r>
        <w:rPr>
          <w:rStyle w:val="7"/>
          <w:rFonts w:hint="eastAsia" w:ascii="方正仿宋_GBK" w:hAnsi="方正仿宋_GBK" w:eastAsia="方正仿宋_GBK" w:cs="方正仿宋_GBK"/>
          <w:b w:val="0"/>
          <w:kern w:val="0"/>
          <w:sz w:val="32"/>
          <w:szCs w:val="32"/>
          <w:lang w:val="en-US" w:eastAsia="zh-CN"/>
        </w:rPr>
        <w:t>2021年度支出合计1,119.52万元，较上年决算数增加100.84万元，增长9.9%，主要原因一是新增灾害防治及应急管理支出项目；二是职业年金虚账做实，人员经费增多。其中：基本支出705.00万元，占63%；项目支出414.52万元，占37%。此外，结余分配0万元。</w:t>
      </w:r>
    </w:p>
    <w:p>
      <w:pPr>
        <w:pStyle w:val="2"/>
        <w:keepNext w:val="0"/>
        <w:keepLines w:val="0"/>
        <w:pageBreakBefore w:val="0"/>
        <w:widowControl/>
        <w:shd w:val="clear" w:fill="FFFFFF"/>
        <w:kinsoku/>
        <w:wordWrap/>
        <w:overflowPunct/>
        <w:topLinePunct w:val="0"/>
        <w:autoSpaceDN/>
        <w:bidi w:val="0"/>
        <w:adjustRightInd/>
        <w:snapToGrid w:val="0"/>
        <w:spacing w:beforeAutospacing="0" w:line="600" w:lineRule="exact"/>
        <w:jc w:val="both"/>
        <w:textAlignment w:val="auto"/>
        <w:rPr>
          <w:rStyle w:val="7"/>
          <w:rFonts w:hint="eastAsia" w:ascii="方正仿宋_GBK" w:hAnsi="方正仿宋_GBK" w:eastAsia="方正仿宋_GBK" w:cs="方正仿宋_GBK"/>
          <w:b w:val="0"/>
          <w:kern w:val="0"/>
          <w:sz w:val="32"/>
          <w:szCs w:val="32"/>
          <w:lang w:val="en-US" w:eastAsia="zh-CN"/>
        </w:rPr>
      </w:pPr>
      <w:r>
        <w:rPr>
          <w:rStyle w:val="5"/>
          <w:rFonts w:hint="eastAsia" w:ascii="宋体" w:hAnsi="宋体" w:eastAsia="宋体" w:cs="宋体"/>
          <w:sz w:val="27"/>
          <w:szCs w:val="27"/>
          <w:shd w:val="clear" w:fill="FFFFFF"/>
          <w:lang w:val="en-US"/>
        </w:rPr>
        <w:t> </w:t>
      </w:r>
      <w:r>
        <w:rPr>
          <w:rStyle w:val="7"/>
          <w:rFonts w:hint="eastAsia" w:ascii="方正仿宋_GBK" w:hAnsi="方正仿宋_GBK" w:eastAsia="方正仿宋_GBK" w:cs="方正仿宋_GBK"/>
          <w:kern w:val="0"/>
          <w:sz w:val="32"/>
          <w:szCs w:val="32"/>
          <w:highlight w:val="none"/>
          <w:shd w:val="clear" w:color="auto" w:fill="FFFFFF"/>
          <w:lang w:val="en-US" w:eastAsia="zh-CN" w:bidi="ar"/>
        </w:rPr>
        <w:t xml:space="preserve"> 4.结转结余情况</w:t>
      </w:r>
      <w:r>
        <w:rPr>
          <w:rStyle w:val="5"/>
          <w:rFonts w:hint="eastAsia" w:ascii="宋体" w:hAnsi="宋体" w:eastAsia="宋体" w:cs="宋体"/>
          <w:sz w:val="27"/>
          <w:szCs w:val="27"/>
          <w:highlight w:val="none"/>
          <w:shd w:val="clear" w:fill="FFFFFF"/>
          <w:lang w:eastAsia="zh-CN"/>
        </w:rPr>
        <w:t>。</w:t>
      </w:r>
      <w:r>
        <w:rPr>
          <w:rStyle w:val="7"/>
          <w:rFonts w:hint="eastAsia" w:ascii="方正仿宋_GBK" w:hAnsi="方正仿宋_GBK" w:eastAsia="方正仿宋_GBK" w:cs="方正仿宋_GBK"/>
          <w:b w:val="0"/>
          <w:kern w:val="0"/>
          <w:sz w:val="32"/>
          <w:szCs w:val="32"/>
          <w:lang w:val="en-US" w:eastAsia="zh-CN"/>
        </w:rPr>
        <w:t>2021年度年末结转和结余2.14万元，较上年决算数增加2.14万元，增长100%，主要原因是社会管理专项资金结余。</w:t>
      </w:r>
    </w:p>
    <w:p>
      <w:pPr>
        <w:pStyle w:val="2"/>
        <w:keepNext w:val="0"/>
        <w:keepLines w:val="0"/>
        <w:pageBreakBefore w:val="0"/>
        <w:widowControl/>
        <w:shd w:val="clear" w:fill="FFFFFF"/>
        <w:kinsoku/>
        <w:wordWrap/>
        <w:overflowPunct/>
        <w:topLinePunct w:val="0"/>
        <w:autoSpaceDN/>
        <w:bidi w:val="0"/>
        <w:adjustRightInd/>
        <w:snapToGrid w:val="0"/>
        <w:spacing w:beforeAutospacing="0" w:line="600" w:lineRule="exact"/>
        <w:textAlignment w:val="auto"/>
        <w:rPr>
          <w:rStyle w:val="5"/>
          <w:rFonts w:hint="eastAsia" w:ascii="方正楷体_GBK" w:hAnsi="方正楷体_GBK" w:eastAsia="方正楷体_GBK" w:cs="方正楷体_GBK"/>
          <w:sz w:val="32"/>
          <w:szCs w:val="32"/>
          <w:shd w:val="clear" w:fill="FFFFFF"/>
          <w:lang w:val="en-US" w:eastAsia="zh-CN"/>
        </w:rPr>
      </w:pPr>
      <w:r>
        <w:rPr>
          <w:rStyle w:val="5"/>
          <w:rFonts w:hint="eastAsia" w:ascii="宋体" w:hAnsi="宋体" w:eastAsia="宋体" w:cs="宋体"/>
          <w:sz w:val="27"/>
          <w:szCs w:val="27"/>
          <w:shd w:val="clear" w:fill="FFFFFF"/>
          <w:lang w:val="en-US"/>
        </w:rPr>
        <w:t xml:space="preserve">  </w:t>
      </w:r>
      <w:r>
        <w:rPr>
          <w:rStyle w:val="5"/>
          <w:rFonts w:hint="eastAsia" w:ascii="方正楷体_GBK" w:hAnsi="方正楷体_GBK" w:eastAsia="方正楷体_GBK" w:cs="方正楷体_GBK"/>
          <w:sz w:val="32"/>
          <w:szCs w:val="32"/>
          <w:shd w:val="clear" w:fill="FFFFFF"/>
          <w:lang w:val="en-US" w:eastAsia="zh-CN"/>
        </w:rPr>
        <w:t>（二）财政拨款收入支出决算总体情况说明。</w:t>
      </w:r>
    </w:p>
    <w:p>
      <w:pPr>
        <w:pStyle w:val="2"/>
        <w:keepNext w:val="0"/>
        <w:keepLines w:val="0"/>
        <w:pageBreakBefore w:val="0"/>
        <w:widowControl/>
        <w:shd w:val="clear" w:fill="FFFFFF"/>
        <w:kinsoku/>
        <w:wordWrap/>
        <w:overflowPunct/>
        <w:topLinePunct w:val="0"/>
        <w:autoSpaceDN/>
        <w:bidi w:val="0"/>
        <w:adjustRightInd/>
        <w:snapToGrid w:val="0"/>
        <w:spacing w:beforeAutospacing="0" w:line="600" w:lineRule="exact"/>
        <w:ind w:firstLine="640" w:firstLineChars="200"/>
        <w:jc w:val="both"/>
        <w:textAlignment w:val="auto"/>
        <w:rPr>
          <w:rStyle w:val="7"/>
          <w:rFonts w:hint="eastAsia" w:ascii="方正仿宋_GBK" w:hAnsi="方正仿宋_GBK" w:eastAsia="方正仿宋_GBK" w:cs="方正仿宋_GBK"/>
          <w:b w:val="0"/>
          <w:kern w:val="0"/>
          <w:sz w:val="32"/>
          <w:szCs w:val="32"/>
          <w:lang w:val="en-US" w:eastAsia="zh-CN"/>
        </w:rPr>
      </w:pPr>
      <w:r>
        <w:rPr>
          <w:rStyle w:val="7"/>
          <w:rFonts w:hint="eastAsia" w:ascii="方正仿宋_GBK" w:hAnsi="方正仿宋_GBK" w:eastAsia="方正仿宋_GBK" w:cs="方正仿宋_GBK"/>
          <w:b w:val="0"/>
          <w:kern w:val="0"/>
          <w:sz w:val="32"/>
          <w:szCs w:val="32"/>
          <w:lang w:val="en-US" w:eastAsia="zh-CN"/>
        </w:rPr>
        <w:t>2021年度财政拨款收、支总计1,121.66万元。与2020年相比，财政拨款收、支总计各增加102.98万元，增长10.1%。主要原因一是新增灾害防治及应急管理支出项目；二是职业年金虚账做实，人员经费增多。</w:t>
      </w:r>
    </w:p>
    <w:p>
      <w:pPr>
        <w:pStyle w:val="2"/>
        <w:keepNext w:val="0"/>
        <w:keepLines w:val="0"/>
        <w:pageBreakBefore w:val="0"/>
        <w:widowControl/>
        <w:shd w:val="clear" w:fill="FFFFFF"/>
        <w:kinsoku/>
        <w:wordWrap/>
        <w:overflowPunct/>
        <w:topLinePunct w:val="0"/>
        <w:autoSpaceDN/>
        <w:bidi w:val="0"/>
        <w:adjustRightInd/>
        <w:snapToGrid w:val="0"/>
        <w:spacing w:beforeAutospacing="0" w:line="600" w:lineRule="exact"/>
        <w:jc w:val="both"/>
        <w:textAlignment w:val="auto"/>
      </w:pPr>
      <w:r>
        <w:rPr>
          <w:rStyle w:val="5"/>
          <w:rFonts w:hint="eastAsia" w:ascii="宋体" w:hAnsi="宋体" w:eastAsia="宋体" w:cs="宋体"/>
          <w:sz w:val="27"/>
          <w:szCs w:val="27"/>
          <w:shd w:val="clear" w:fill="FFFFFF"/>
          <w:lang w:val="en-US"/>
        </w:rPr>
        <w:t xml:space="preserve">  </w:t>
      </w:r>
      <w:r>
        <w:rPr>
          <w:rStyle w:val="5"/>
          <w:rFonts w:hint="eastAsia" w:ascii="方正楷体_GBK" w:hAnsi="方正楷体_GBK" w:eastAsia="方正楷体_GBK" w:cs="方正楷体_GBK"/>
          <w:sz w:val="32"/>
          <w:szCs w:val="32"/>
          <w:shd w:val="clear" w:fill="FFFFFF"/>
          <w:lang w:val="en-US" w:eastAsia="zh-CN"/>
        </w:rPr>
        <w:t>（三）一般公共预算财政拨款收入支出决算情况说明。</w:t>
      </w:r>
    </w:p>
    <w:p>
      <w:pPr>
        <w:pStyle w:val="2"/>
        <w:keepNext w:val="0"/>
        <w:keepLines w:val="0"/>
        <w:pageBreakBefore w:val="0"/>
        <w:widowControl/>
        <w:shd w:val="clear" w:fill="FFFFFF"/>
        <w:kinsoku/>
        <w:wordWrap/>
        <w:overflowPunct/>
        <w:topLinePunct w:val="0"/>
        <w:autoSpaceDN/>
        <w:bidi w:val="0"/>
        <w:adjustRightInd/>
        <w:snapToGrid w:val="0"/>
        <w:spacing w:beforeAutospacing="0" w:line="600" w:lineRule="exact"/>
        <w:jc w:val="both"/>
        <w:textAlignment w:val="auto"/>
        <w:rPr>
          <w:rStyle w:val="7"/>
          <w:rFonts w:hint="eastAsia" w:ascii="方正仿宋_GBK" w:hAnsi="方正仿宋_GBK" w:eastAsia="方正仿宋_GBK" w:cs="方正仿宋_GBK"/>
          <w:b w:val="0"/>
          <w:kern w:val="0"/>
          <w:sz w:val="32"/>
          <w:szCs w:val="32"/>
          <w:lang w:val="en-US" w:eastAsia="zh-CN"/>
        </w:rPr>
      </w:pPr>
      <w:r>
        <w:rPr>
          <w:rStyle w:val="5"/>
          <w:rFonts w:hint="eastAsia" w:ascii="宋体" w:hAnsi="宋体" w:eastAsia="宋体" w:cs="宋体"/>
          <w:sz w:val="27"/>
          <w:szCs w:val="27"/>
          <w:shd w:val="clear" w:fill="FFFFFF"/>
          <w:lang w:val="en-US"/>
        </w:rPr>
        <w:t> </w:t>
      </w:r>
      <w:r>
        <w:rPr>
          <w:rStyle w:val="7"/>
          <w:rFonts w:hint="eastAsia" w:ascii="方正仿宋_GBK" w:hAnsi="方正仿宋_GBK" w:eastAsia="方正仿宋_GBK" w:cs="方正仿宋_GBK"/>
          <w:kern w:val="0"/>
          <w:sz w:val="32"/>
          <w:szCs w:val="32"/>
          <w:shd w:val="clear" w:color="auto" w:fill="FFFFFF"/>
          <w:lang w:val="en-US" w:eastAsia="zh-CN" w:bidi="ar"/>
        </w:rPr>
        <w:t xml:space="preserve"> 1.收入情况。</w:t>
      </w:r>
      <w:r>
        <w:rPr>
          <w:rStyle w:val="7"/>
          <w:rFonts w:hint="eastAsia" w:ascii="方正仿宋_GBK" w:hAnsi="方正仿宋_GBK" w:eastAsia="方正仿宋_GBK" w:cs="方正仿宋_GBK"/>
          <w:b w:val="0"/>
          <w:kern w:val="0"/>
          <w:sz w:val="32"/>
          <w:szCs w:val="32"/>
          <w:lang w:val="en-US" w:eastAsia="zh-CN"/>
        </w:rPr>
        <w:t>2021年度一般公共预算财政拨款收入1,114.55万元，较上年决算数增加103.87万元，增长10.3%。主要原因是新增灾害防治及应急管理支出项目。较年初预算数减少400.68万元，下降26.4%。主要原因是社会管理专项资金调减指标部分纳入年初预算未纳入本年决算。此外，年初财政拨款结转和结余7.11万元。</w:t>
      </w:r>
    </w:p>
    <w:p>
      <w:pPr>
        <w:pStyle w:val="2"/>
        <w:keepNext w:val="0"/>
        <w:keepLines w:val="0"/>
        <w:pageBreakBefore w:val="0"/>
        <w:widowControl/>
        <w:shd w:val="clear" w:fill="FFFFFF"/>
        <w:kinsoku/>
        <w:wordWrap/>
        <w:overflowPunct/>
        <w:topLinePunct w:val="0"/>
        <w:autoSpaceDN/>
        <w:bidi w:val="0"/>
        <w:adjustRightInd/>
        <w:snapToGrid w:val="0"/>
        <w:spacing w:beforeAutospacing="0" w:line="600" w:lineRule="exact"/>
        <w:ind w:firstLine="643" w:firstLineChars="200"/>
        <w:jc w:val="both"/>
        <w:textAlignment w:val="auto"/>
        <w:rPr>
          <w:rStyle w:val="7"/>
          <w:rFonts w:hint="eastAsia" w:ascii="方正仿宋_GBK" w:hAnsi="方正仿宋_GBK" w:eastAsia="方正仿宋_GBK" w:cs="方正仿宋_GBK"/>
          <w:b w:val="0"/>
          <w:kern w:val="0"/>
          <w:sz w:val="32"/>
          <w:szCs w:val="32"/>
          <w:lang w:val="en-US" w:eastAsia="zh-CN"/>
        </w:rPr>
      </w:pPr>
      <w:r>
        <w:rPr>
          <w:rStyle w:val="7"/>
          <w:rFonts w:hint="eastAsia" w:ascii="方正仿宋_GBK" w:hAnsi="方正仿宋_GBK" w:eastAsia="方正仿宋_GBK" w:cs="方正仿宋_GBK"/>
          <w:kern w:val="0"/>
          <w:sz w:val="32"/>
          <w:szCs w:val="32"/>
          <w:shd w:val="clear" w:color="auto" w:fill="FFFFFF"/>
          <w:lang w:val="en-US" w:eastAsia="zh-CN" w:bidi="ar"/>
        </w:rPr>
        <w:t>2.支出情况。</w:t>
      </w:r>
      <w:r>
        <w:rPr>
          <w:rStyle w:val="7"/>
          <w:rFonts w:hint="eastAsia" w:ascii="方正仿宋_GBK" w:hAnsi="方正仿宋_GBK" w:eastAsia="方正仿宋_GBK" w:cs="方正仿宋_GBK"/>
          <w:b w:val="0"/>
          <w:kern w:val="0"/>
          <w:sz w:val="32"/>
          <w:szCs w:val="32"/>
          <w:lang w:val="en-US" w:eastAsia="zh-CN"/>
        </w:rPr>
        <w:t>2021年度一般公共预算财政拨款支出1,119.52万元，较上年决算数增加108.84万元，增长10.8%。主要原因一是新增灾害防治及应急管理支出项目；二是职业年金虚账做实，人员经费增多。较年初预算数减少395.71万元，下降26.1%。主要原因是社会管理专项资金调减指标部分纳入年初预算未纳入本年决算。</w:t>
      </w:r>
    </w:p>
    <w:p>
      <w:pPr>
        <w:pStyle w:val="2"/>
        <w:keepNext w:val="0"/>
        <w:keepLines w:val="0"/>
        <w:pageBreakBefore w:val="0"/>
        <w:widowControl/>
        <w:shd w:val="clear" w:fill="FFFFFF"/>
        <w:kinsoku/>
        <w:wordWrap/>
        <w:overflowPunct/>
        <w:topLinePunct w:val="0"/>
        <w:autoSpaceDN/>
        <w:bidi w:val="0"/>
        <w:adjustRightInd/>
        <w:snapToGrid w:val="0"/>
        <w:spacing w:beforeAutospacing="0" w:line="600" w:lineRule="exact"/>
        <w:ind w:firstLine="643" w:firstLineChars="200"/>
        <w:jc w:val="both"/>
        <w:textAlignment w:val="auto"/>
        <w:rPr>
          <w:rStyle w:val="7"/>
          <w:rFonts w:hint="eastAsia" w:ascii="方正仿宋_GBK" w:hAnsi="方正仿宋_GBK" w:eastAsia="方正仿宋_GBK" w:cs="方正仿宋_GBK"/>
          <w:b w:val="0"/>
          <w:kern w:val="0"/>
          <w:sz w:val="32"/>
          <w:szCs w:val="32"/>
          <w:lang w:val="en-US" w:eastAsia="zh-CN" w:bidi="ar"/>
        </w:rPr>
      </w:pPr>
      <w:r>
        <w:rPr>
          <w:rStyle w:val="7"/>
          <w:rFonts w:hint="eastAsia" w:ascii="方正仿宋_GBK" w:hAnsi="方正仿宋_GBK" w:eastAsia="方正仿宋_GBK" w:cs="方正仿宋_GBK"/>
          <w:kern w:val="0"/>
          <w:sz w:val="32"/>
          <w:szCs w:val="32"/>
          <w:shd w:val="clear" w:color="auto" w:fill="FFFFFF"/>
          <w:lang w:val="en-US" w:eastAsia="zh-CN" w:bidi="ar"/>
        </w:rPr>
        <w:t>3.结转结余情况。</w:t>
      </w:r>
      <w:r>
        <w:rPr>
          <w:rStyle w:val="7"/>
          <w:rFonts w:hint="eastAsia" w:ascii="方正仿宋_GBK" w:hAnsi="方正仿宋_GBK" w:eastAsia="方正仿宋_GBK" w:cs="方正仿宋_GBK"/>
          <w:b w:val="0"/>
          <w:kern w:val="0"/>
          <w:sz w:val="32"/>
          <w:szCs w:val="32"/>
          <w:lang w:val="en-US" w:eastAsia="zh-CN" w:bidi="ar"/>
        </w:rPr>
        <w:t>2021年度年末一般公共预算财政拨款结转和结余2.14万元，较上年决算数增加2.14万元，增长100%，主要原因是</w:t>
      </w:r>
      <w:r>
        <w:rPr>
          <w:rStyle w:val="7"/>
          <w:rFonts w:hint="eastAsia" w:ascii="方正仿宋_GBK" w:hAnsi="方正仿宋_GBK" w:eastAsia="方正仿宋_GBK" w:cs="方正仿宋_GBK"/>
          <w:b w:val="0"/>
          <w:kern w:val="0"/>
          <w:sz w:val="32"/>
          <w:szCs w:val="32"/>
          <w:highlight w:val="none"/>
          <w:lang w:val="en-US" w:eastAsia="zh-CN" w:bidi="ar"/>
        </w:rPr>
        <w:t>社会管理专项资金结余。</w:t>
      </w:r>
    </w:p>
    <w:p>
      <w:pPr>
        <w:pStyle w:val="2"/>
        <w:keepNext w:val="0"/>
        <w:keepLines w:val="0"/>
        <w:pageBreakBefore w:val="0"/>
        <w:widowControl/>
        <w:shd w:val="clear" w:fill="FFFFFF"/>
        <w:kinsoku/>
        <w:wordWrap/>
        <w:overflowPunct/>
        <w:topLinePunct w:val="0"/>
        <w:autoSpaceDN/>
        <w:bidi w:val="0"/>
        <w:adjustRightInd/>
        <w:snapToGrid w:val="0"/>
        <w:spacing w:beforeAutospacing="0" w:line="600" w:lineRule="exact"/>
        <w:ind w:firstLine="643" w:firstLineChars="200"/>
        <w:textAlignment w:val="auto"/>
        <w:rPr>
          <w:rStyle w:val="7"/>
          <w:rFonts w:hint="eastAsia" w:ascii="方正仿宋_GBK" w:hAnsi="方正仿宋_GBK" w:eastAsia="方正仿宋_GBK" w:cs="方正仿宋_GBK"/>
          <w:b w:val="0"/>
          <w:kern w:val="0"/>
          <w:sz w:val="32"/>
          <w:szCs w:val="32"/>
          <w:lang w:val="en-US" w:eastAsia="zh-CN" w:bidi="ar"/>
        </w:rPr>
      </w:pPr>
      <w:r>
        <w:rPr>
          <w:rStyle w:val="7"/>
          <w:rFonts w:hint="eastAsia" w:ascii="方正仿宋_GBK" w:hAnsi="方正仿宋_GBK" w:eastAsia="方正仿宋_GBK" w:cs="方正仿宋_GBK"/>
          <w:kern w:val="0"/>
          <w:sz w:val="32"/>
          <w:szCs w:val="32"/>
          <w:shd w:val="clear" w:color="auto" w:fill="FFFFFF"/>
          <w:lang w:val="en-US" w:eastAsia="zh-CN" w:bidi="ar"/>
        </w:rPr>
        <w:t> 4.比较情况。</w:t>
      </w:r>
      <w:r>
        <w:rPr>
          <w:rStyle w:val="7"/>
          <w:rFonts w:hint="eastAsia" w:ascii="方正仿宋_GBK" w:hAnsi="方正仿宋_GBK" w:eastAsia="方正仿宋_GBK" w:cs="方正仿宋_GBK"/>
          <w:b w:val="0"/>
          <w:kern w:val="0"/>
          <w:sz w:val="32"/>
          <w:szCs w:val="32"/>
          <w:lang w:val="en-US" w:eastAsia="zh-CN" w:bidi="ar"/>
        </w:rPr>
        <w:t>本部门2021年度一般公共预算财政拨款支出主要用于以下几个方面：</w:t>
      </w:r>
    </w:p>
    <w:p>
      <w:pPr>
        <w:pStyle w:val="2"/>
        <w:keepNext w:val="0"/>
        <w:keepLines w:val="0"/>
        <w:pageBreakBefore w:val="0"/>
        <w:widowControl/>
        <w:shd w:val="clear" w:fill="FFFFFF"/>
        <w:kinsoku/>
        <w:wordWrap/>
        <w:overflowPunct/>
        <w:topLinePunct w:val="0"/>
        <w:autoSpaceDN/>
        <w:bidi w:val="0"/>
        <w:adjustRightInd/>
        <w:snapToGrid w:val="0"/>
        <w:spacing w:beforeAutospacing="0" w:line="600" w:lineRule="exact"/>
        <w:jc w:val="both"/>
        <w:textAlignment w:val="auto"/>
        <w:rPr>
          <w:rStyle w:val="7"/>
          <w:rFonts w:hint="eastAsia" w:ascii="方正仿宋_GBK" w:hAnsi="方正仿宋_GBK" w:eastAsia="方正仿宋_GBK" w:cs="方正仿宋_GBK"/>
          <w:b w:val="0"/>
          <w:kern w:val="0"/>
          <w:sz w:val="32"/>
          <w:szCs w:val="32"/>
          <w:lang w:val="en-US" w:eastAsia="zh-CN" w:bidi="ar"/>
        </w:rPr>
      </w:pPr>
      <w:r>
        <w:rPr>
          <w:sz w:val="27"/>
          <w:szCs w:val="27"/>
          <w:shd w:val="clear" w:fill="FFFFFF"/>
          <w:lang w:val="en-US"/>
        </w:rPr>
        <w:t xml:space="preserve">  </w:t>
      </w:r>
      <w:r>
        <w:rPr>
          <w:rStyle w:val="7"/>
          <w:rFonts w:hint="eastAsia" w:ascii="方正仿宋_GBK" w:hAnsi="方正仿宋_GBK" w:eastAsia="方正仿宋_GBK" w:cs="方正仿宋_GBK"/>
          <w:b w:val="0"/>
          <w:kern w:val="0"/>
          <w:sz w:val="32"/>
          <w:szCs w:val="32"/>
          <w:lang w:val="en-US" w:eastAsia="zh-CN" w:bidi="ar"/>
        </w:rPr>
        <w:t>（1）一般公共服务支</w:t>
      </w:r>
      <w:r>
        <w:rPr>
          <w:rStyle w:val="7"/>
          <w:rFonts w:hint="eastAsia" w:ascii="方正仿宋_GBK" w:hAnsi="方正仿宋_GBK" w:eastAsia="方正仿宋_GBK" w:cs="方正仿宋_GBK"/>
          <w:b w:val="0"/>
          <w:kern w:val="0"/>
          <w:sz w:val="32"/>
          <w:szCs w:val="32"/>
          <w:highlight w:val="none"/>
          <w:lang w:val="en-US" w:eastAsia="zh-CN" w:bidi="ar"/>
        </w:rPr>
        <w:t>出910.75万元</w:t>
      </w:r>
      <w:r>
        <w:rPr>
          <w:rStyle w:val="7"/>
          <w:rFonts w:hint="eastAsia" w:ascii="方正仿宋_GBK" w:hAnsi="方正仿宋_GBK" w:eastAsia="方正仿宋_GBK" w:cs="方正仿宋_GBK"/>
          <w:b w:val="0"/>
          <w:kern w:val="0"/>
          <w:sz w:val="32"/>
          <w:szCs w:val="32"/>
          <w:lang w:val="en-US" w:eastAsia="zh-CN" w:bidi="ar"/>
        </w:rPr>
        <w:t>，占81.4%，较年初预算数减</w:t>
      </w:r>
      <w:r>
        <w:rPr>
          <w:rStyle w:val="7"/>
          <w:rFonts w:hint="eastAsia" w:ascii="方正仿宋_GBK" w:hAnsi="方正仿宋_GBK" w:eastAsia="方正仿宋_GBK" w:cs="方正仿宋_GBK"/>
          <w:b w:val="0"/>
          <w:kern w:val="0"/>
          <w:sz w:val="32"/>
          <w:szCs w:val="32"/>
          <w:highlight w:val="none"/>
          <w:lang w:val="en-US" w:eastAsia="zh-CN" w:bidi="ar"/>
        </w:rPr>
        <w:t>少497.71万</w:t>
      </w:r>
      <w:r>
        <w:rPr>
          <w:rStyle w:val="7"/>
          <w:rFonts w:hint="eastAsia" w:ascii="方正仿宋_GBK" w:hAnsi="方正仿宋_GBK" w:eastAsia="方正仿宋_GBK" w:cs="方正仿宋_GBK"/>
          <w:b w:val="0"/>
          <w:kern w:val="0"/>
          <w:sz w:val="32"/>
          <w:szCs w:val="32"/>
          <w:lang w:val="en-US" w:eastAsia="zh-CN" w:bidi="ar"/>
        </w:rPr>
        <w:t>元，下降35.3%，主要原因是社会管理专项资金调减指标部分纳入年初预算未纳入本年决算。</w:t>
      </w:r>
    </w:p>
    <w:p>
      <w:pPr>
        <w:pStyle w:val="2"/>
        <w:keepNext w:val="0"/>
        <w:keepLines w:val="0"/>
        <w:pageBreakBefore w:val="0"/>
        <w:widowControl/>
        <w:shd w:val="clear" w:fill="FFFFFF"/>
        <w:kinsoku/>
        <w:wordWrap/>
        <w:overflowPunct/>
        <w:topLinePunct w:val="0"/>
        <w:autoSpaceDN/>
        <w:bidi w:val="0"/>
        <w:adjustRightInd/>
        <w:snapToGrid w:val="0"/>
        <w:spacing w:beforeAutospacing="0" w:line="600" w:lineRule="exact"/>
        <w:jc w:val="both"/>
        <w:textAlignment w:val="auto"/>
        <w:rPr>
          <w:rStyle w:val="7"/>
          <w:rFonts w:hint="eastAsia" w:ascii="方正仿宋_GBK" w:hAnsi="方正仿宋_GBK" w:eastAsia="方正仿宋_GBK" w:cs="方正仿宋_GBK"/>
          <w:b w:val="0"/>
          <w:kern w:val="0"/>
          <w:sz w:val="32"/>
          <w:szCs w:val="32"/>
          <w:lang w:val="en-US" w:eastAsia="zh-CN" w:bidi="ar"/>
        </w:rPr>
      </w:pPr>
      <w:r>
        <w:rPr>
          <w:sz w:val="27"/>
          <w:szCs w:val="27"/>
          <w:shd w:val="clear" w:fill="FFFFFF"/>
          <w:lang w:val="en-US"/>
        </w:rPr>
        <w:t xml:space="preserve">  </w:t>
      </w:r>
      <w:r>
        <w:rPr>
          <w:rStyle w:val="7"/>
          <w:rFonts w:hint="eastAsia" w:ascii="方正仿宋_GBK" w:hAnsi="方正仿宋_GBK" w:eastAsia="方正仿宋_GBK" w:cs="方正仿宋_GBK"/>
          <w:b w:val="0"/>
          <w:kern w:val="0"/>
          <w:sz w:val="32"/>
          <w:szCs w:val="32"/>
          <w:lang w:val="en-US" w:eastAsia="zh-CN" w:bidi="ar"/>
        </w:rPr>
        <w:t>（2）社会保障与就业支出106.86万元，占9.5%，较年初预算数增加54.60万元，增长104.5%，主要原因是补缴了职业年金。</w:t>
      </w:r>
    </w:p>
    <w:p>
      <w:pPr>
        <w:pStyle w:val="2"/>
        <w:keepNext w:val="0"/>
        <w:keepLines w:val="0"/>
        <w:pageBreakBefore w:val="0"/>
        <w:widowControl/>
        <w:shd w:val="clear" w:fill="FFFFFF"/>
        <w:kinsoku/>
        <w:wordWrap/>
        <w:overflowPunct/>
        <w:topLinePunct w:val="0"/>
        <w:autoSpaceDN/>
        <w:bidi w:val="0"/>
        <w:adjustRightInd/>
        <w:snapToGrid w:val="0"/>
        <w:spacing w:beforeAutospacing="0" w:line="600" w:lineRule="exact"/>
        <w:jc w:val="both"/>
        <w:textAlignment w:val="auto"/>
        <w:rPr>
          <w:rStyle w:val="7"/>
          <w:rFonts w:hint="eastAsia" w:ascii="方正仿宋_GBK" w:hAnsi="方正仿宋_GBK" w:eastAsia="方正仿宋_GBK" w:cs="方正仿宋_GBK"/>
          <w:b w:val="0"/>
          <w:kern w:val="0"/>
          <w:sz w:val="32"/>
          <w:szCs w:val="32"/>
          <w:lang w:val="en-US" w:eastAsia="zh-CN" w:bidi="ar"/>
        </w:rPr>
      </w:pPr>
      <w:r>
        <w:rPr>
          <w:rStyle w:val="7"/>
          <w:rFonts w:hint="eastAsia" w:ascii="方正仿宋_GBK" w:hAnsi="方正仿宋_GBK" w:eastAsia="方正仿宋_GBK" w:cs="方正仿宋_GBK"/>
          <w:b w:val="0"/>
          <w:kern w:val="0"/>
          <w:sz w:val="32"/>
          <w:szCs w:val="32"/>
          <w:highlight w:val="none"/>
          <w:lang w:val="en-US" w:eastAsia="zh-CN" w:bidi="ar"/>
        </w:rPr>
        <w:t>   （3）</w:t>
      </w:r>
      <w:r>
        <w:rPr>
          <w:rStyle w:val="7"/>
          <w:rFonts w:hint="eastAsia" w:ascii="方正仿宋_GBK" w:hAnsi="方正仿宋_GBK" w:eastAsia="方正仿宋_GBK" w:cs="方正仿宋_GBK"/>
          <w:b w:val="0"/>
          <w:kern w:val="0"/>
          <w:sz w:val="32"/>
          <w:szCs w:val="32"/>
          <w:lang w:val="en-US" w:eastAsia="zh-CN" w:bidi="ar"/>
        </w:rPr>
        <w:t>卫生健康支出</w:t>
      </w:r>
      <w:r>
        <w:rPr>
          <w:rStyle w:val="7"/>
          <w:rFonts w:hint="eastAsia" w:ascii="方正仿宋_GBK" w:hAnsi="方正仿宋_GBK" w:eastAsia="方正仿宋_GBK" w:cs="方正仿宋_GBK"/>
          <w:b w:val="0"/>
          <w:kern w:val="0"/>
          <w:sz w:val="32"/>
          <w:szCs w:val="32"/>
          <w:highlight w:val="none"/>
          <w:lang w:val="en-US" w:eastAsia="zh-CN" w:bidi="ar"/>
        </w:rPr>
        <w:t>28.70</w:t>
      </w:r>
      <w:r>
        <w:rPr>
          <w:rStyle w:val="7"/>
          <w:rFonts w:hint="eastAsia" w:ascii="方正仿宋_GBK" w:hAnsi="方正仿宋_GBK" w:eastAsia="方正仿宋_GBK" w:cs="方正仿宋_GBK"/>
          <w:b w:val="0"/>
          <w:kern w:val="0"/>
          <w:sz w:val="32"/>
          <w:szCs w:val="32"/>
          <w:lang w:val="en-US" w:eastAsia="zh-CN" w:bidi="ar"/>
        </w:rPr>
        <w:t>万元，占2.6%，较年初预算数增加0.00万元，与上年持平。</w:t>
      </w:r>
    </w:p>
    <w:p>
      <w:pPr>
        <w:pStyle w:val="2"/>
        <w:keepNext w:val="0"/>
        <w:keepLines w:val="0"/>
        <w:pageBreakBefore w:val="0"/>
        <w:widowControl/>
        <w:shd w:val="clear" w:fill="FFFFFF"/>
        <w:kinsoku/>
        <w:wordWrap/>
        <w:overflowPunct/>
        <w:topLinePunct w:val="0"/>
        <w:autoSpaceDN/>
        <w:bidi w:val="0"/>
        <w:adjustRightInd/>
        <w:snapToGrid w:val="0"/>
        <w:spacing w:beforeAutospacing="0" w:line="600" w:lineRule="exact"/>
        <w:jc w:val="both"/>
        <w:textAlignment w:val="auto"/>
        <w:rPr>
          <w:rStyle w:val="7"/>
          <w:rFonts w:hint="eastAsia" w:ascii="方正仿宋_GBK" w:hAnsi="方正仿宋_GBK" w:eastAsia="方正仿宋_GBK" w:cs="方正仿宋_GBK"/>
          <w:b w:val="0"/>
          <w:kern w:val="0"/>
          <w:sz w:val="32"/>
          <w:szCs w:val="32"/>
          <w:lang w:val="en-US" w:eastAsia="zh-CN" w:bidi="ar"/>
        </w:rPr>
      </w:pPr>
      <w:r>
        <w:rPr>
          <w:rStyle w:val="7"/>
          <w:rFonts w:hint="eastAsia" w:ascii="方正仿宋_GBK" w:hAnsi="方正仿宋_GBK" w:eastAsia="方正仿宋_GBK" w:cs="方正仿宋_GBK"/>
          <w:b w:val="0"/>
          <w:kern w:val="0"/>
          <w:sz w:val="32"/>
          <w:szCs w:val="32"/>
          <w:highlight w:val="none"/>
          <w:lang w:val="en-US" w:eastAsia="zh-CN" w:bidi="ar"/>
        </w:rPr>
        <w:t>   （4）</w:t>
      </w:r>
      <w:r>
        <w:rPr>
          <w:rStyle w:val="7"/>
          <w:rFonts w:hint="eastAsia" w:ascii="方正仿宋_GBK" w:hAnsi="方正仿宋_GBK" w:eastAsia="方正仿宋_GBK" w:cs="方正仿宋_GBK"/>
          <w:b w:val="0"/>
          <w:kern w:val="0"/>
          <w:sz w:val="32"/>
          <w:szCs w:val="32"/>
          <w:lang w:val="en-US" w:eastAsia="zh-CN" w:bidi="ar"/>
        </w:rPr>
        <w:t>住房保障支出25.81万元，占2.3%，较年初预算数增加0.00万元，与上年持平。</w:t>
      </w:r>
    </w:p>
    <w:p>
      <w:pPr>
        <w:pStyle w:val="2"/>
        <w:keepNext w:val="0"/>
        <w:keepLines w:val="0"/>
        <w:pageBreakBefore w:val="0"/>
        <w:widowControl/>
        <w:shd w:val="clear" w:fill="FFFFFF"/>
        <w:kinsoku/>
        <w:wordWrap/>
        <w:overflowPunct/>
        <w:topLinePunct w:val="0"/>
        <w:autoSpaceDN/>
        <w:bidi w:val="0"/>
        <w:adjustRightInd/>
        <w:snapToGrid w:val="0"/>
        <w:spacing w:beforeAutospacing="0" w:line="600" w:lineRule="exact"/>
        <w:jc w:val="both"/>
        <w:textAlignment w:val="auto"/>
        <w:rPr>
          <w:rStyle w:val="7"/>
          <w:rFonts w:hint="eastAsia" w:ascii="方正仿宋_GBK" w:hAnsi="方正仿宋_GBK" w:eastAsia="方正仿宋_GBK" w:cs="方正仿宋_GBK"/>
          <w:b w:val="0"/>
          <w:kern w:val="0"/>
          <w:sz w:val="32"/>
          <w:szCs w:val="32"/>
          <w:lang w:val="en-US" w:eastAsia="zh-CN" w:bidi="ar"/>
        </w:rPr>
      </w:pPr>
      <w:r>
        <w:rPr>
          <w:rStyle w:val="7"/>
          <w:rFonts w:hint="eastAsia" w:ascii="方正仿宋_GBK" w:hAnsi="方正仿宋_GBK" w:eastAsia="方正仿宋_GBK" w:cs="方正仿宋_GBK"/>
          <w:b w:val="0"/>
          <w:kern w:val="0"/>
          <w:sz w:val="32"/>
          <w:szCs w:val="32"/>
          <w:lang w:val="en-US" w:eastAsia="zh-CN" w:bidi="ar"/>
        </w:rPr>
        <w:t>   （5）灾害防治及应急管理支出47.40万元，占4.2%，较年初预算数增加47.40万元，增长100%，主要原因是该项目是本年度临时新增项目。</w:t>
      </w:r>
    </w:p>
    <w:p>
      <w:pPr>
        <w:pStyle w:val="2"/>
        <w:keepNext w:val="0"/>
        <w:keepLines w:val="0"/>
        <w:pageBreakBefore w:val="0"/>
        <w:widowControl/>
        <w:shd w:val="clear" w:fill="FFFFFF"/>
        <w:kinsoku/>
        <w:wordWrap/>
        <w:overflowPunct/>
        <w:topLinePunct w:val="0"/>
        <w:autoSpaceDN/>
        <w:bidi w:val="0"/>
        <w:adjustRightInd/>
        <w:snapToGrid w:val="0"/>
        <w:spacing w:beforeAutospacing="0" w:line="600" w:lineRule="exact"/>
        <w:textAlignment w:val="auto"/>
      </w:pPr>
      <w:r>
        <w:rPr>
          <w:sz w:val="27"/>
          <w:szCs w:val="27"/>
          <w:shd w:val="clear" w:fill="FFFFFF"/>
          <w:lang w:val="en-US"/>
        </w:rPr>
        <w:t> </w:t>
      </w:r>
      <w:r>
        <w:rPr>
          <w:rStyle w:val="5"/>
          <w:rFonts w:hint="eastAsia" w:ascii="宋体" w:hAnsi="宋体" w:eastAsia="宋体" w:cs="宋体"/>
          <w:sz w:val="27"/>
          <w:szCs w:val="27"/>
          <w:shd w:val="clear" w:fill="FFFFFF"/>
          <w:lang w:val="en-US"/>
        </w:rPr>
        <w:t xml:space="preserve"> </w:t>
      </w:r>
      <w:r>
        <w:rPr>
          <w:rStyle w:val="5"/>
          <w:rFonts w:hint="eastAsia" w:ascii="方正楷体_GBK" w:hAnsi="方正楷体_GBK" w:eastAsia="方正楷体_GBK" w:cs="方正楷体_GBK"/>
          <w:sz w:val="32"/>
          <w:szCs w:val="32"/>
          <w:shd w:val="clear" w:fill="FFFFFF"/>
          <w:lang w:val="en-US" w:eastAsia="zh-CN"/>
        </w:rPr>
        <w:t>（四）一般公共预算财政拨款基本支出决算情况说明。</w:t>
      </w:r>
    </w:p>
    <w:p>
      <w:pPr>
        <w:pStyle w:val="6"/>
        <w:keepNext w:val="0"/>
        <w:keepLines w:val="0"/>
        <w:pageBreakBefore w:val="0"/>
        <w:widowControl w:val="0"/>
        <w:suppressLineNumbers w:val="0"/>
        <w:kinsoku/>
        <w:wordWrap/>
        <w:overflowPunct/>
        <w:topLinePunct w:val="0"/>
        <w:autoSpaceDE w:val="0"/>
        <w:autoSpaceDN/>
        <w:bidi w:val="0"/>
        <w:adjustRightInd/>
        <w:snapToGrid/>
        <w:spacing w:before="0" w:beforeAutospacing="0" w:line="600" w:lineRule="exact"/>
        <w:ind w:firstLine="640" w:firstLineChars="200"/>
        <w:jc w:val="both"/>
        <w:textAlignment w:val="auto"/>
        <w:rPr>
          <w:rStyle w:val="7"/>
          <w:rFonts w:hint="eastAsia" w:ascii="方正仿宋_GBK" w:hAnsi="方正仿宋_GBK" w:eastAsia="方正仿宋_GBK" w:cs="方正仿宋_GBK"/>
          <w:b w:val="0"/>
          <w:kern w:val="0"/>
          <w:sz w:val="32"/>
          <w:szCs w:val="32"/>
          <w:lang w:val="en-US" w:eastAsia="zh-CN" w:bidi="ar"/>
        </w:rPr>
      </w:pPr>
      <w:r>
        <w:rPr>
          <w:rStyle w:val="7"/>
          <w:rFonts w:hint="eastAsia" w:ascii="方正仿宋_GBK" w:hAnsi="方正仿宋_GBK" w:eastAsia="方正仿宋_GBK" w:cs="方正仿宋_GBK"/>
          <w:b w:val="0"/>
          <w:kern w:val="0"/>
          <w:sz w:val="32"/>
          <w:szCs w:val="32"/>
          <w:lang w:val="en-US" w:eastAsia="zh-CN" w:bidi="ar"/>
        </w:rPr>
        <w:t>2021年度一般公共财政拨款基本支出705.00万元。其中：</w:t>
      </w:r>
      <w:r>
        <w:rPr>
          <w:rStyle w:val="7"/>
          <w:rFonts w:hint="eastAsia" w:ascii="方正仿宋_GBK" w:hAnsi="方正仿宋_GBK" w:eastAsia="方正仿宋_GBK" w:cs="方正仿宋_GBK"/>
          <w:b w:val="0"/>
          <w:color w:val="auto"/>
          <w:kern w:val="0"/>
          <w:sz w:val="32"/>
          <w:szCs w:val="32"/>
          <w:lang w:val="en-US" w:eastAsia="zh-CN" w:bidi="ar"/>
        </w:rPr>
        <w:t>人员经费621.66万元，较</w:t>
      </w:r>
      <w:r>
        <w:rPr>
          <w:rStyle w:val="7"/>
          <w:rFonts w:hint="eastAsia" w:ascii="方正仿宋_GBK" w:hAnsi="方正仿宋_GBK" w:eastAsia="方正仿宋_GBK" w:cs="方正仿宋_GBK"/>
          <w:b w:val="0"/>
          <w:kern w:val="0"/>
          <w:sz w:val="32"/>
          <w:szCs w:val="32"/>
          <w:lang w:val="en-US" w:eastAsia="zh-CN" w:bidi="ar"/>
        </w:rPr>
        <w:t>上年决算数增加66.56万元，增长12%，主要原因是人员工资基数调整、补缴职业年金等。人员经费用途主要包括人员经费用途主要包括基本工资、津贴补贴、奖金、社会保障缴费。</w:t>
      </w:r>
      <w:r>
        <w:rPr>
          <w:rStyle w:val="7"/>
          <w:rFonts w:hint="eastAsia" w:ascii="方正仿宋_GBK" w:hAnsi="方正仿宋_GBK" w:eastAsia="方正仿宋_GBK" w:cs="方正仿宋_GBK"/>
          <w:b w:val="0"/>
          <w:color w:val="auto"/>
          <w:kern w:val="0"/>
          <w:sz w:val="32"/>
          <w:szCs w:val="32"/>
          <w:lang w:val="en-US" w:eastAsia="zh-CN" w:bidi="ar"/>
        </w:rPr>
        <w:t>公用经费83.34万元，</w:t>
      </w:r>
      <w:r>
        <w:rPr>
          <w:rStyle w:val="7"/>
          <w:rFonts w:hint="eastAsia" w:ascii="方正仿宋_GBK" w:hAnsi="方正仿宋_GBK" w:eastAsia="方正仿宋_GBK" w:cs="方正仿宋_GBK"/>
          <w:b w:val="0"/>
          <w:kern w:val="0"/>
          <w:sz w:val="32"/>
          <w:szCs w:val="32"/>
          <w:lang w:val="en-US" w:eastAsia="zh-CN" w:bidi="ar"/>
        </w:rPr>
        <w:t>较上年决算数减少28.68万元，下降25.6%，主要原因是压缩开支，厉行节约。公用经费用途主要包括公用经费用途主要包括办公费、印刷费、咨询费、手续费。</w:t>
      </w:r>
    </w:p>
    <w:p>
      <w:pPr>
        <w:pStyle w:val="2"/>
        <w:keepNext w:val="0"/>
        <w:keepLines w:val="0"/>
        <w:pageBreakBefore w:val="0"/>
        <w:widowControl/>
        <w:shd w:val="clear" w:fill="FFFFFF"/>
        <w:kinsoku/>
        <w:wordWrap/>
        <w:overflowPunct/>
        <w:topLinePunct w:val="0"/>
        <w:autoSpaceDN/>
        <w:bidi w:val="0"/>
        <w:adjustRightInd/>
        <w:snapToGrid w:val="0"/>
        <w:spacing w:beforeAutospacing="0" w:line="600" w:lineRule="exact"/>
        <w:textAlignment w:val="auto"/>
      </w:pPr>
      <w:r>
        <w:rPr>
          <w:rStyle w:val="5"/>
          <w:rFonts w:hint="eastAsia" w:ascii="宋体" w:hAnsi="宋体" w:eastAsia="宋体" w:cs="宋体"/>
          <w:sz w:val="27"/>
          <w:szCs w:val="27"/>
          <w:shd w:val="clear" w:fill="FFFFFF"/>
          <w:lang w:val="en-US"/>
        </w:rPr>
        <w:t xml:space="preserve">  </w:t>
      </w:r>
      <w:r>
        <w:rPr>
          <w:rStyle w:val="5"/>
          <w:rFonts w:hint="eastAsia" w:ascii="方正楷体_GBK" w:hAnsi="方正楷体_GBK" w:eastAsia="方正楷体_GBK" w:cs="方正楷体_GBK"/>
          <w:sz w:val="32"/>
          <w:szCs w:val="32"/>
          <w:shd w:val="clear" w:fill="FFFFFF"/>
          <w:lang w:val="en-US" w:eastAsia="zh-CN"/>
        </w:rPr>
        <w:t>（五）政府性基金预算收支决算情况说明。</w:t>
      </w:r>
    </w:p>
    <w:p>
      <w:pPr>
        <w:pStyle w:val="2"/>
        <w:keepNext w:val="0"/>
        <w:keepLines w:val="0"/>
        <w:pageBreakBefore w:val="0"/>
        <w:widowControl/>
        <w:shd w:val="clear" w:fill="FFFFFF"/>
        <w:kinsoku/>
        <w:wordWrap/>
        <w:overflowPunct/>
        <w:topLinePunct w:val="0"/>
        <w:autoSpaceDN/>
        <w:bidi w:val="0"/>
        <w:adjustRightInd/>
        <w:snapToGrid w:val="0"/>
        <w:spacing w:beforeAutospacing="0" w:line="600" w:lineRule="exact"/>
        <w:ind w:firstLine="320" w:firstLineChars="100"/>
        <w:jc w:val="both"/>
        <w:textAlignment w:val="auto"/>
        <w:rPr>
          <w:rStyle w:val="7"/>
          <w:rFonts w:hint="eastAsia" w:ascii="方正仿宋_GBK" w:hAnsi="方正仿宋_GBK" w:eastAsia="方正仿宋_GBK" w:cs="方正仿宋_GBK"/>
          <w:b w:val="0"/>
          <w:kern w:val="0"/>
          <w:sz w:val="32"/>
          <w:szCs w:val="32"/>
          <w:lang w:val="en-US" w:eastAsia="zh-CN" w:bidi="ar"/>
        </w:rPr>
      </w:pPr>
      <w:r>
        <w:rPr>
          <w:rStyle w:val="7"/>
          <w:rFonts w:hint="eastAsia" w:ascii="方正仿宋_GBK" w:hAnsi="方正仿宋_GBK" w:eastAsia="方正仿宋_GBK" w:cs="方正仿宋_GBK"/>
          <w:b w:val="0"/>
          <w:kern w:val="0"/>
          <w:sz w:val="32"/>
          <w:szCs w:val="32"/>
          <w:lang w:val="en-US" w:eastAsia="zh-CN" w:bidi="ar"/>
        </w:rPr>
        <w:t> 本部门2021年度无政府性基金预算财政拨款收支。</w:t>
      </w:r>
    </w:p>
    <w:p>
      <w:pPr>
        <w:pStyle w:val="2"/>
        <w:keepNext w:val="0"/>
        <w:keepLines w:val="0"/>
        <w:pageBreakBefore w:val="0"/>
        <w:widowControl/>
        <w:shd w:val="clear" w:fill="FFFFFF"/>
        <w:kinsoku/>
        <w:wordWrap/>
        <w:overflowPunct/>
        <w:topLinePunct w:val="0"/>
        <w:autoSpaceDN/>
        <w:bidi w:val="0"/>
        <w:adjustRightInd/>
        <w:snapToGrid w:val="0"/>
        <w:spacing w:beforeAutospacing="0" w:line="600" w:lineRule="exact"/>
        <w:textAlignment w:val="auto"/>
      </w:pPr>
      <w:r>
        <w:rPr>
          <w:rStyle w:val="5"/>
          <w:rFonts w:hint="eastAsia" w:ascii="宋体" w:hAnsi="宋体" w:eastAsia="宋体" w:cs="宋体"/>
          <w:sz w:val="27"/>
          <w:szCs w:val="27"/>
          <w:shd w:val="clear" w:fill="FFFFFF"/>
          <w:lang w:val="en-US"/>
        </w:rPr>
        <w:t xml:space="preserve">  </w:t>
      </w:r>
      <w:r>
        <w:rPr>
          <w:rStyle w:val="5"/>
          <w:rFonts w:hint="eastAsia" w:ascii="方正楷体_GBK" w:hAnsi="方正楷体_GBK" w:eastAsia="方正楷体_GBK" w:cs="方正楷体_GBK"/>
          <w:sz w:val="32"/>
          <w:szCs w:val="32"/>
          <w:shd w:val="clear" w:fill="FFFFFF"/>
          <w:lang w:val="en-US" w:eastAsia="zh-CN"/>
        </w:rPr>
        <w:t>（六）国有资本经营预算财政拨款支出决算情况说明。</w:t>
      </w:r>
    </w:p>
    <w:p>
      <w:pPr>
        <w:pStyle w:val="2"/>
        <w:keepNext w:val="0"/>
        <w:keepLines w:val="0"/>
        <w:pageBreakBefore w:val="0"/>
        <w:widowControl/>
        <w:shd w:val="clear" w:fill="FFFFFF"/>
        <w:kinsoku/>
        <w:wordWrap/>
        <w:overflowPunct/>
        <w:topLinePunct w:val="0"/>
        <w:autoSpaceDN/>
        <w:bidi w:val="0"/>
        <w:adjustRightInd/>
        <w:snapToGrid w:val="0"/>
        <w:spacing w:beforeAutospacing="0" w:line="600" w:lineRule="exact"/>
        <w:textAlignment w:val="auto"/>
      </w:pPr>
      <w:r>
        <w:rPr>
          <w:sz w:val="27"/>
          <w:szCs w:val="27"/>
          <w:shd w:val="clear" w:fill="FFFFFF"/>
          <w:lang w:val="en-US"/>
        </w:rPr>
        <w:t> </w:t>
      </w:r>
      <w:r>
        <w:rPr>
          <w:rFonts w:hint="eastAsia"/>
          <w:sz w:val="27"/>
          <w:szCs w:val="27"/>
          <w:shd w:val="clear" w:fill="FFFFFF"/>
          <w:lang w:val="en-US" w:eastAsia="zh-CN"/>
        </w:rPr>
        <w:t xml:space="preserve"> </w:t>
      </w:r>
      <w:r>
        <w:rPr>
          <w:rStyle w:val="7"/>
          <w:rFonts w:hint="eastAsia" w:ascii="方正仿宋_GBK" w:hAnsi="方正仿宋_GBK" w:eastAsia="方正仿宋_GBK" w:cs="方正仿宋_GBK"/>
          <w:b w:val="0"/>
          <w:kern w:val="0"/>
          <w:sz w:val="32"/>
          <w:szCs w:val="32"/>
          <w:lang w:val="en-US" w:eastAsia="zh-CN" w:bidi="ar"/>
        </w:rPr>
        <w:t>本部门2021年度无国有资本经营预算财政拨款支出。</w:t>
      </w:r>
    </w:p>
    <w:p>
      <w:pPr>
        <w:pStyle w:val="2"/>
        <w:keepNext w:val="0"/>
        <w:keepLines w:val="0"/>
        <w:pageBreakBefore w:val="0"/>
        <w:widowControl/>
        <w:shd w:val="clear" w:fill="FFFFFF"/>
        <w:kinsoku/>
        <w:wordWrap/>
        <w:overflowPunct/>
        <w:topLinePunct w:val="0"/>
        <w:autoSpaceDN/>
        <w:bidi w:val="0"/>
        <w:adjustRightInd/>
        <w:snapToGrid w:val="0"/>
        <w:spacing w:beforeAutospacing="0" w:line="600" w:lineRule="exact"/>
        <w:textAlignment w:val="auto"/>
      </w:pPr>
      <w:r>
        <w:rPr>
          <w:rStyle w:val="5"/>
          <w:rFonts w:hint="eastAsia" w:ascii="宋体" w:hAnsi="宋体" w:eastAsia="宋体" w:cs="宋体"/>
          <w:sz w:val="27"/>
          <w:szCs w:val="27"/>
          <w:shd w:val="clear" w:fill="FFFFFF"/>
          <w:lang w:val="en-US"/>
        </w:rPr>
        <w:t> </w:t>
      </w:r>
      <w:r>
        <w:rPr>
          <w:rStyle w:val="5"/>
          <w:rFonts w:hint="eastAsia" w:ascii="方正黑体_GBK" w:hAnsi="方正黑体_GBK" w:eastAsia="方正黑体_GBK" w:cs="方正黑体_GBK"/>
          <w:sz w:val="32"/>
          <w:szCs w:val="32"/>
          <w:shd w:val="clear" w:fill="FFFFFF"/>
          <w:lang w:val="en-US" w:eastAsia="zh-CN"/>
        </w:rPr>
        <w:t xml:space="preserve"> 三、“三公”经费情况说明</w:t>
      </w:r>
    </w:p>
    <w:p>
      <w:pPr>
        <w:pStyle w:val="2"/>
        <w:keepNext w:val="0"/>
        <w:keepLines w:val="0"/>
        <w:pageBreakBefore w:val="0"/>
        <w:widowControl/>
        <w:shd w:val="clear" w:fill="FFFFFF"/>
        <w:kinsoku/>
        <w:wordWrap/>
        <w:overflowPunct/>
        <w:topLinePunct w:val="0"/>
        <w:autoSpaceDN/>
        <w:bidi w:val="0"/>
        <w:adjustRightInd/>
        <w:snapToGrid w:val="0"/>
        <w:spacing w:beforeAutospacing="0" w:line="600" w:lineRule="exact"/>
        <w:textAlignment w:val="auto"/>
      </w:pPr>
      <w:r>
        <w:rPr>
          <w:rStyle w:val="5"/>
          <w:rFonts w:hint="eastAsia" w:ascii="宋体" w:hAnsi="宋体" w:eastAsia="宋体" w:cs="宋体"/>
          <w:sz w:val="27"/>
          <w:szCs w:val="27"/>
          <w:shd w:val="clear" w:fill="FFFFFF"/>
          <w:lang w:val="en-US"/>
        </w:rPr>
        <w:t> </w:t>
      </w:r>
      <w:r>
        <w:rPr>
          <w:rStyle w:val="5"/>
          <w:rFonts w:hint="eastAsia" w:ascii="方正楷体_GBK" w:hAnsi="方正楷体_GBK" w:eastAsia="方正楷体_GBK" w:cs="方正楷体_GBK"/>
          <w:sz w:val="32"/>
          <w:szCs w:val="32"/>
          <w:shd w:val="clear" w:fill="FFFFFF"/>
          <w:lang w:val="en-US" w:eastAsia="zh-CN"/>
        </w:rPr>
        <w:t>（一）“三公”经费支出总体情况说明。</w:t>
      </w:r>
    </w:p>
    <w:p>
      <w:pPr>
        <w:pStyle w:val="6"/>
        <w:keepNext w:val="0"/>
        <w:keepLines w:val="0"/>
        <w:pageBreakBefore w:val="0"/>
        <w:widowControl w:val="0"/>
        <w:suppressLineNumbers w:val="0"/>
        <w:kinsoku/>
        <w:wordWrap/>
        <w:overflowPunct/>
        <w:topLinePunct w:val="0"/>
        <w:autoSpaceDE w:val="0"/>
        <w:autoSpaceDN/>
        <w:bidi w:val="0"/>
        <w:adjustRightInd/>
        <w:snapToGrid/>
        <w:spacing w:before="0" w:beforeAutospacing="0" w:line="600" w:lineRule="exact"/>
        <w:ind w:firstLine="640" w:firstLineChars="200"/>
        <w:jc w:val="both"/>
        <w:textAlignment w:val="auto"/>
        <w:rPr>
          <w:rStyle w:val="7"/>
          <w:rFonts w:hint="eastAsia" w:ascii="方正仿宋_GBK" w:hAnsi="方正仿宋_GBK" w:eastAsia="方正仿宋_GBK" w:cs="方正仿宋_GBK"/>
          <w:b w:val="0"/>
          <w:kern w:val="0"/>
          <w:sz w:val="32"/>
          <w:szCs w:val="32"/>
          <w:lang w:val="en-US" w:eastAsia="zh-CN" w:bidi="ar"/>
        </w:rPr>
      </w:pPr>
      <w:r>
        <w:rPr>
          <w:rStyle w:val="7"/>
          <w:rFonts w:hint="eastAsia" w:ascii="方正仿宋_GBK" w:hAnsi="方正仿宋_GBK" w:eastAsia="方正仿宋_GBK" w:cs="方正仿宋_GBK"/>
          <w:b w:val="0"/>
          <w:kern w:val="0"/>
          <w:sz w:val="32"/>
          <w:szCs w:val="32"/>
          <w:lang w:val="en-US" w:eastAsia="zh-CN" w:bidi="ar"/>
        </w:rPr>
        <w:t>2021年度“三公”经费支出共计15.56万元，较年初预算数减少15.44万元，下降49.8%，主要原因是认真贯彻落实中央八项规定精神，按照只减不增的要求从严控制“三公”经费，较上年支出数增加0.38万元，增长2.5%，主要原因是公务车辆年限已久，维修保养等费用有所增加。</w:t>
      </w:r>
    </w:p>
    <w:p>
      <w:pPr>
        <w:pStyle w:val="2"/>
        <w:keepNext w:val="0"/>
        <w:keepLines w:val="0"/>
        <w:pageBreakBefore w:val="0"/>
        <w:widowControl/>
        <w:shd w:val="clear" w:fill="FFFFFF"/>
        <w:kinsoku/>
        <w:wordWrap/>
        <w:overflowPunct/>
        <w:topLinePunct w:val="0"/>
        <w:autoSpaceDN/>
        <w:bidi w:val="0"/>
        <w:adjustRightInd/>
        <w:snapToGrid w:val="0"/>
        <w:spacing w:beforeAutospacing="0" w:line="600" w:lineRule="exact"/>
        <w:textAlignment w:val="auto"/>
      </w:pPr>
      <w:r>
        <w:rPr>
          <w:rStyle w:val="5"/>
          <w:rFonts w:hint="eastAsia" w:ascii="宋体" w:hAnsi="宋体" w:eastAsia="宋体" w:cs="宋体"/>
          <w:sz w:val="27"/>
          <w:szCs w:val="27"/>
          <w:shd w:val="clear" w:fill="FFFFFF"/>
          <w:lang w:val="en-US"/>
        </w:rPr>
        <w:t> </w:t>
      </w:r>
      <w:r>
        <w:rPr>
          <w:rStyle w:val="5"/>
          <w:rFonts w:hint="eastAsia" w:ascii="方正楷体_GBK" w:hAnsi="方正楷体_GBK" w:eastAsia="方正楷体_GBK" w:cs="方正楷体_GBK"/>
          <w:sz w:val="32"/>
          <w:szCs w:val="32"/>
          <w:shd w:val="clear" w:fill="FFFFFF"/>
          <w:lang w:val="en-US" w:eastAsia="zh-CN"/>
        </w:rPr>
        <w:t>（二）“三公”经费分项支出情况。</w:t>
      </w:r>
    </w:p>
    <w:p>
      <w:pPr>
        <w:pStyle w:val="6"/>
        <w:keepNext w:val="0"/>
        <w:keepLines w:val="0"/>
        <w:pageBreakBefore w:val="0"/>
        <w:widowControl w:val="0"/>
        <w:suppressLineNumbers w:val="0"/>
        <w:kinsoku/>
        <w:wordWrap/>
        <w:overflowPunct/>
        <w:topLinePunct w:val="0"/>
        <w:autoSpaceDE w:val="0"/>
        <w:autoSpaceDN/>
        <w:bidi w:val="0"/>
        <w:adjustRightInd/>
        <w:snapToGrid/>
        <w:spacing w:before="0" w:beforeAutospacing="0" w:line="600" w:lineRule="exact"/>
        <w:ind w:firstLine="640" w:firstLineChars="200"/>
        <w:jc w:val="both"/>
        <w:textAlignment w:val="auto"/>
        <w:rPr>
          <w:rStyle w:val="7"/>
          <w:rFonts w:hint="default" w:ascii="方正仿宋_GBK" w:hAnsi="方正仿宋_GBK" w:eastAsia="方正仿宋_GBK" w:cs="方正仿宋_GBK"/>
          <w:b w:val="0"/>
          <w:kern w:val="0"/>
          <w:sz w:val="32"/>
          <w:szCs w:val="32"/>
          <w:lang w:val="en-US" w:eastAsia="zh-CN" w:bidi="ar"/>
        </w:rPr>
      </w:pPr>
      <w:r>
        <w:rPr>
          <w:rStyle w:val="7"/>
          <w:rFonts w:hint="eastAsia" w:ascii="方正仿宋_GBK" w:hAnsi="方正仿宋_GBK" w:eastAsia="方正仿宋_GBK" w:cs="方正仿宋_GBK"/>
          <w:b w:val="0"/>
          <w:kern w:val="0"/>
          <w:sz w:val="32"/>
          <w:szCs w:val="32"/>
          <w:lang w:val="en-US" w:eastAsia="zh-CN" w:bidi="ar"/>
        </w:rPr>
        <w:t>2021年本部门因公出国（境）费用0万元，费用较年初预算数增加0万元，与年初预算数持平，较上年支出数增加0万元，与上年数持平，主要原因是本部门2021年未安排因公出国（境）。</w:t>
      </w:r>
    </w:p>
    <w:p>
      <w:pPr>
        <w:pStyle w:val="6"/>
        <w:keepNext w:val="0"/>
        <w:keepLines w:val="0"/>
        <w:pageBreakBefore w:val="0"/>
        <w:widowControl w:val="0"/>
        <w:suppressLineNumbers w:val="0"/>
        <w:kinsoku/>
        <w:wordWrap/>
        <w:overflowPunct/>
        <w:topLinePunct w:val="0"/>
        <w:autoSpaceDE w:val="0"/>
        <w:autoSpaceDN/>
        <w:bidi w:val="0"/>
        <w:adjustRightInd/>
        <w:snapToGrid/>
        <w:spacing w:before="0" w:beforeAutospacing="0" w:line="600" w:lineRule="exact"/>
        <w:ind w:firstLine="640" w:firstLineChars="200"/>
        <w:jc w:val="both"/>
        <w:textAlignment w:val="auto"/>
        <w:rPr>
          <w:rStyle w:val="7"/>
          <w:rFonts w:hint="default" w:ascii="方正仿宋_GBK" w:hAnsi="方正仿宋_GBK" w:eastAsia="方正仿宋_GBK" w:cs="方正仿宋_GBK"/>
          <w:b w:val="0"/>
          <w:kern w:val="0"/>
          <w:sz w:val="32"/>
          <w:szCs w:val="32"/>
          <w:lang w:val="en-US" w:eastAsia="zh-CN" w:bidi="ar"/>
        </w:rPr>
      </w:pPr>
      <w:r>
        <w:rPr>
          <w:rStyle w:val="7"/>
          <w:rFonts w:hint="eastAsia" w:ascii="方正仿宋_GBK" w:hAnsi="方正仿宋_GBK" w:eastAsia="方正仿宋_GBK" w:cs="方正仿宋_GBK"/>
          <w:b w:val="0"/>
          <w:kern w:val="0"/>
          <w:sz w:val="32"/>
          <w:szCs w:val="32"/>
          <w:lang w:val="en-US" w:eastAsia="zh-CN" w:bidi="ar"/>
        </w:rPr>
        <w:t>公务车购置费0万元，费用较年初预算数增加0万元，与年初预算数持平，较上年支出数增加0万元，与上年数持平，主要原因是2021年未发生公务用车购置支出。</w:t>
      </w:r>
    </w:p>
    <w:p>
      <w:pPr>
        <w:pStyle w:val="6"/>
        <w:keepNext w:val="0"/>
        <w:keepLines w:val="0"/>
        <w:pageBreakBefore w:val="0"/>
        <w:widowControl w:val="0"/>
        <w:suppressLineNumbers w:val="0"/>
        <w:kinsoku/>
        <w:wordWrap/>
        <w:overflowPunct/>
        <w:topLinePunct w:val="0"/>
        <w:autoSpaceDE w:val="0"/>
        <w:autoSpaceDN/>
        <w:bidi w:val="0"/>
        <w:adjustRightInd/>
        <w:snapToGrid/>
        <w:spacing w:before="0" w:beforeAutospacing="0" w:line="600" w:lineRule="exact"/>
        <w:ind w:firstLine="640" w:firstLineChars="200"/>
        <w:jc w:val="both"/>
        <w:textAlignment w:val="auto"/>
        <w:rPr>
          <w:rStyle w:val="7"/>
          <w:rFonts w:hint="eastAsia" w:ascii="方正仿宋_GBK" w:hAnsi="方正仿宋_GBK" w:eastAsia="方正仿宋_GBK" w:cs="方正仿宋_GBK"/>
          <w:b w:val="0"/>
          <w:kern w:val="0"/>
          <w:sz w:val="32"/>
          <w:szCs w:val="32"/>
          <w:lang w:val="en-US" w:eastAsia="zh-CN" w:bidi="ar"/>
        </w:rPr>
      </w:pPr>
      <w:r>
        <w:rPr>
          <w:rStyle w:val="7"/>
          <w:rFonts w:hint="eastAsia" w:ascii="方正仿宋_GBK" w:hAnsi="方正仿宋_GBK" w:eastAsia="方正仿宋_GBK" w:cs="方正仿宋_GBK"/>
          <w:b w:val="0"/>
          <w:kern w:val="0"/>
          <w:sz w:val="32"/>
          <w:szCs w:val="32"/>
          <w:lang w:val="en-US" w:eastAsia="zh-CN" w:bidi="ar"/>
        </w:rPr>
        <w:t>公务车运行维护费10.32万元，主要用于机要文件交换、市内因公出行、扶贫帮扶等工作所需车辆的燃料费、维修费、过桥过路费、保险费等。费用支出较年初预算数减少7.68万元，下降42.7%，主要原因是认真贯彻落实中央八项规定精神，按照只减不增的要求从严控制“三公”经费。较上年支出数增加1.18万元，增长12.9%，主要原因是公务车辆年限已久，维修保养等费用有所增加。</w:t>
      </w:r>
    </w:p>
    <w:p>
      <w:pPr>
        <w:pStyle w:val="6"/>
        <w:keepNext w:val="0"/>
        <w:keepLines w:val="0"/>
        <w:pageBreakBefore w:val="0"/>
        <w:widowControl w:val="0"/>
        <w:suppressLineNumbers w:val="0"/>
        <w:kinsoku/>
        <w:wordWrap/>
        <w:overflowPunct/>
        <w:topLinePunct w:val="0"/>
        <w:autoSpaceDE w:val="0"/>
        <w:autoSpaceDN/>
        <w:bidi w:val="0"/>
        <w:adjustRightInd/>
        <w:snapToGrid/>
        <w:spacing w:before="0" w:beforeAutospacing="0" w:line="600" w:lineRule="exact"/>
        <w:ind w:firstLine="640" w:firstLineChars="200"/>
        <w:jc w:val="both"/>
        <w:textAlignment w:val="auto"/>
        <w:rPr>
          <w:rStyle w:val="7"/>
          <w:rFonts w:hint="eastAsia" w:ascii="方正仿宋_GBK" w:hAnsi="方正仿宋_GBK" w:eastAsia="方正仿宋_GBK" w:cs="方正仿宋_GBK"/>
          <w:b w:val="0"/>
          <w:kern w:val="0"/>
          <w:sz w:val="32"/>
          <w:szCs w:val="32"/>
          <w:lang w:val="en-US" w:eastAsia="zh-CN" w:bidi="ar"/>
        </w:rPr>
      </w:pPr>
      <w:r>
        <w:rPr>
          <w:rStyle w:val="7"/>
          <w:rFonts w:hint="eastAsia" w:ascii="方正仿宋_GBK" w:hAnsi="方正仿宋_GBK" w:eastAsia="方正仿宋_GBK" w:cs="方正仿宋_GBK"/>
          <w:b w:val="0"/>
          <w:kern w:val="0"/>
          <w:sz w:val="32"/>
          <w:szCs w:val="32"/>
          <w:lang w:val="en-US" w:eastAsia="zh-CN" w:bidi="ar"/>
        </w:rPr>
        <w:t>公务接待费5.24万元，主要用于接待上级部门到我办检查指导工作以及各区县信访办调研工作等发生的接待支出。费用支出较年初预算数减少7.76万元，下降59.7%，较上年支出数减少0.81万元，下降13.4%，较年初预算和上年决算下降的主要原因是强化公务接待支出管理，严格遵守公务接待开支范围和开支标准，严格控制陪餐人数。</w:t>
      </w:r>
    </w:p>
    <w:p>
      <w:pPr>
        <w:pStyle w:val="2"/>
        <w:keepNext w:val="0"/>
        <w:keepLines w:val="0"/>
        <w:pageBreakBefore w:val="0"/>
        <w:widowControl/>
        <w:shd w:val="clear" w:fill="FFFFFF"/>
        <w:kinsoku/>
        <w:wordWrap/>
        <w:overflowPunct/>
        <w:topLinePunct w:val="0"/>
        <w:autoSpaceDN/>
        <w:bidi w:val="0"/>
        <w:adjustRightInd/>
        <w:snapToGrid w:val="0"/>
        <w:spacing w:beforeAutospacing="0" w:line="600" w:lineRule="exact"/>
        <w:textAlignment w:val="auto"/>
      </w:pPr>
      <w:r>
        <w:rPr>
          <w:rStyle w:val="5"/>
          <w:rFonts w:hint="eastAsia" w:ascii="宋体" w:hAnsi="宋体" w:eastAsia="宋体" w:cs="宋体"/>
          <w:sz w:val="27"/>
          <w:szCs w:val="27"/>
          <w:shd w:val="clear" w:fill="FFFFFF"/>
          <w:lang w:val="en-US"/>
        </w:rPr>
        <w:t xml:space="preserve">  </w:t>
      </w:r>
      <w:r>
        <w:rPr>
          <w:rStyle w:val="5"/>
          <w:rFonts w:hint="eastAsia" w:ascii="方正楷体_GBK" w:hAnsi="方正楷体_GBK" w:eastAsia="方正楷体_GBK" w:cs="方正楷体_GBK"/>
          <w:sz w:val="32"/>
          <w:szCs w:val="32"/>
          <w:shd w:val="clear" w:fill="FFFFFF"/>
          <w:lang w:val="en-US" w:eastAsia="zh-CN"/>
        </w:rPr>
        <w:t>（三）“三公”经费实物量情况。</w:t>
      </w:r>
    </w:p>
    <w:p>
      <w:pPr>
        <w:pStyle w:val="6"/>
        <w:keepNext w:val="0"/>
        <w:keepLines w:val="0"/>
        <w:pageBreakBefore w:val="0"/>
        <w:widowControl w:val="0"/>
        <w:suppressLineNumbers w:val="0"/>
        <w:kinsoku/>
        <w:wordWrap/>
        <w:overflowPunct/>
        <w:topLinePunct w:val="0"/>
        <w:autoSpaceDE w:val="0"/>
        <w:autoSpaceDN/>
        <w:bidi w:val="0"/>
        <w:adjustRightInd/>
        <w:snapToGrid/>
        <w:spacing w:before="0" w:beforeAutospacing="0" w:line="600" w:lineRule="exact"/>
        <w:ind w:firstLine="640" w:firstLineChars="200"/>
        <w:jc w:val="both"/>
        <w:textAlignment w:val="auto"/>
        <w:rPr>
          <w:rStyle w:val="7"/>
          <w:rFonts w:hint="eastAsia" w:ascii="方正仿宋_GBK" w:hAnsi="方正仿宋_GBK" w:eastAsia="方正仿宋_GBK" w:cs="方正仿宋_GBK"/>
          <w:b w:val="0"/>
          <w:kern w:val="0"/>
          <w:sz w:val="32"/>
          <w:szCs w:val="32"/>
          <w:lang w:val="en-US" w:eastAsia="zh-CN" w:bidi="ar"/>
        </w:rPr>
      </w:pPr>
      <w:r>
        <w:rPr>
          <w:rStyle w:val="7"/>
          <w:rFonts w:hint="eastAsia" w:ascii="方正仿宋_GBK" w:hAnsi="方正仿宋_GBK" w:eastAsia="方正仿宋_GBK" w:cs="方正仿宋_GBK"/>
          <w:b w:val="0"/>
          <w:kern w:val="0"/>
          <w:sz w:val="32"/>
          <w:szCs w:val="32"/>
          <w:lang w:val="en-US" w:eastAsia="zh-CN" w:bidi="ar"/>
        </w:rPr>
        <w:t>2021年度本部门因公出国（境）共计0个团组，0人；公务用车购置0辆，公务车保有量为2辆；国内公务接待38批次437人，其中：国内外事接待0批次，0人；国（境）外公务接待0批次，0人。2021年本部门人均接待费119.93元，车均购置费0.00万元，车均维护费5.16万元。</w:t>
      </w:r>
    </w:p>
    <w:p>
      <w:pPr>
        <w:pStyle w:val="2"/>
        <w:keepNext w:val="0"/>
        <w:keepLines w:val="0"/>
        <w:pageBreakBefore w:val="0"/>
        <w:widowControl/>
        <w:shd w:val="clear" w:fill="FFFFFF"/>
        <w:kinsoku/>
        <w:wordWrap/>
        <w:overflowPunct/>
        <w:topLinePunct w:val="0"/>
        <w:autoSpaceDN/>
        <w:bidi w:val="0"/>
        <w:adjustRightInd/>
        <w:snapToGrid w:val="0"/>
        <w:spacing w:beforeAutospacing="0" w:line="600" w:lineRule="exact"/>
        <w:textAlignment w:val="auto"/>
        <w:rPr>
          <w:rStyle w:val="5"/>
          <w:rFonts w:hint="eastAsia" w:ascii="方正黑体_GBK" w:hAnsi="方正黑体_GBK" w:eastAsia="方正黑体_GBK" w:cs="方正黑体_GBK"/>
          <w:sz w:val="32"/>
          <w:szCs w:val="32"/>
          <w:shd w:val="clear" w:fill="FFFFFF"/>
          <w:lang w:val="en-US" w:eastAsia="zh-CN"/>
        </w:rPr>
      </w:pPr>
      <w:r>
        <w:rPr>
          <w:rStyle w:val="5"/>
          <w:rFonts w:hint="eastAsia" w:ascii="宋体" w:hAnsi="宋体" w:eastAsia="宋体" w:cs="宋体"/>
          <w:sz w:val="27"/>
          <w:szCs w:val="27"/>
          <w:shd w:val="clear" w:fill="FFFFFF"/>
          <w:lang w:val="en-US"/>
        </w:rPr>
        <w:t> </w:t>
      </w:r>
      <w:r>
        <w:rPr>
          <w:rStyle w:val="5"/>
          <w:rFonts w:hint="eastAsia" w:ascii="方正黑体_GBK" w:hAnsi="方正黑体_GBK" w:eastAsia="方正黑体_GBK" w:cs="方正黑体_GBK"/>
          <w:sz w:val="32"/>
          <w:szCs w:val="32"/>
          <w:shd w:val="clear" w:fill="FFFFFF"/>
          <w:lang w:val="en-US" w:eastAsia="zh-CN"/>
        </w:rPr>
        <w:t xml:space="preserve"> 四、其他需要说明的事项</w:t>
      </w:r>
    </w:p>
    <w:p>
      <w:pPr>
        <w:pStyle w:val="2"/>
        <w:keepNext w:val="0"/>
        <w:keepLines w:val="0"/>
        <w:pageBreakBefore w:val="0"/>
        <w:widowControl/>
        <w:shd w:val="clear" w:fill="FFFFFF"/>
        <w:kinsoku/>
        <w:wordWrap/>
        <w:overflowPunct/>
        <w:topLinePunct w:val="0"/>
        <w:autoSpaceDN/>
        <w:bidi w:val="0"/>
        <w:adjustRightInd/>
        <w:snapToGrid w:val="0"/>
        <w:spacing w:beforeAutospacing="0" w:line="600" w:lineRule="exact"/>
        <w:textAlignment w:val="auto"/>
      </w:pPr>
      <w:r>
        <w:rPr>
          <w:rStyle w:val="5"/>
          <w:rFonts w:hint="eastAsia" w:ascii="宋体" w:hAnsi="宋体" w:eastAsia="宋体" w:cs="宋体"/>
          <w:sz w:val="27"/>
          <w:szCs w:val="27"/>
          <w:shd w:val="clear" w:fill="FFFFFF"/>
          <w:lang w:val="en-US"/>
        </w:rPr>
        <w:t xml:space="preserve">  </w:t>
      </w:r>
      <w:r>
        <w:rPr>
          <w:rStyle w:val="5"/>
          <w:rFonts w:hint="eastAsia" w:ascii="方正楷体_GBK" w:hAnsi="方正楷体_GBK" w:eastAsia="方正楷体_GBK" w:cs="方正楷体_GBK"/>
          <w:sz w:val="32"/>
          <w:szCs w:val="32"/>
          <w:shd w:val="clear" w:fill="FFFFFF"/>
          <w:lang w:val="en-US" w:eastAsia="zh-CN"/>
        </w:rPr>
        <w:t>（一）机关运行经费情况说明。</w:t>
      </w:r>
    </w:p>
    <w:p>
      <w:pPr>
        <w:pStyle w:val="2"/>
        <w:keepNext w:val="0"/>
        <w:keepLines w:val="0"/>
        <w:pageBreakBefore w:val="0"/>
        <w:widowControl/>
        <w:shd w:val="clear" w:fill="FFFFFF"/>
        <w:kinsoku/>
        <w:wordWrap/>
        <w:overflowPunct/>
        <w:topLinePunct w:val="0"/>
        <w:autoSpaceDN/>
        <w:bidi w:val="0"/>
        <w:adjustRightInd/>
        <w:snapToGrid w:val="0"/>
        <w:spacing w:beforeAutospacing="0" w:line="600" w:lineRule="exact"/>
        <w:ind w:firstLine="640" w:firstLineChars="200"/>
        <w:jc w:val="both"/>
        <w:textAlignment w:val="auto"/>
        <w:rPr>
          <w:rStyle w:val="7"/>
          <w:rFonts w:hint="eastAsia" w:ascii="方正仿宋_GBK" w:hAnsi="方正仿宋_GBK" w:eastAsia="方正仿宋_GBK" w:cs="方正仿宋_GBK"/>
          <w:b w:val="0"/>
          <w:kern w:val="0"/>
          <w:sz w:val="32"/>
          <w:szCs w:val="32"/>
          <w:lang w:val="en-US" w:eastAsia="zh-CN" w:bidi="ar"/>
        </w:rPr>
      </w:pPr>
      <w:r>
        <w:rPr>
          <w:rStyle w:val="7"/>
          <w:rFonts w:hint="eastAsia" w:ascii="方正仿宋_GBK" w:hAnsi="方正仿宋_GBK" w:eastAsia="方正仿宋_GBK" w:cs="方正仿宋_GBK"/>
          <w:b w:val="0"/>
          <w:kern w:val="0"/>
          <w:sz w:val="32"/>
          <w:szCs w:val="32"/>
          <w:lang w:val="en-US" w:eastAsia="zh-CN" w:bidi="ar"/>
        </w:rPr>
        <w:t>2021年度本部门机关运行经费支出83.35万元，机关运行经费主要用于开支办公费、差旅费、会议费、公务车运行维护费、维稳专网及视频信息系统维护费。机关运行经费较上年决算数减少28.68万元，下降25.6%，主要原因是压缩开支，厉行节约。</w:t>
      </w:r>
    </w:p>
    <w:p>
      <w:pPr>
        <w:pStyle w:val="2"/>
        <w:keepNext w:val="0"/>
        <w:keepLines w:val="0"/>
        <w:pageBreakBefore w:val="0"/>
        <w:widowControl/>
        <w:shd w:val="clear" w:fill="FFFFFF"/>
        <w:kinsoku/>
        <w:wordWrap/>
        <w:overflowPunct/>
        <w:topLinePunct w:val="0"/>
        <w:autoSpaceDN/>
        <w:bidi w:val="0"/>
        <w:adjustRightInd/>
        <w:snapToGrid w:val="0"/>
        <w:spacing w:beforeAutospacing="0" w:line="600" w:lineRule="exact"/>
        <w:ind w:firstLine="640" w:firstLineChars="200"/>
        <w:jc w:val="both"/>
        <w:textAlignment w:val="auto"/>
        <w:rPr>
          <w:rStyle w:val="7"/>
          <w:rFonts w:hint="eastAsia" w:ascii="方正仿宋_GBK" w:hAnsi="方正仿宋_GBK" w:eastAsia="方正仿宋_GBK" w:cs="方正仿宋_GBK"/>
          <w:b w:val="0"/>
          <w:kern w:val="0"/>
          <w:sz w:val="32"/>
          <w:szCs w:val="32"/>
          <w:lang w:val="en-US" w:eastAsia="zh-CN" w:bidi="ar"/>
        </w:rPr>
      </w:pPr>
      <w:r>
        <w:rPr>
          <w:rStyle w:val="7"/>
          <w:rFonts w:hint="eastAsia" w:ascii="方正仿宋_GBK" w:hAnsi="方正仿宋_GBK" w:eastAsia="方正仿宋_GBK" w:cs="方正仿宋_GBK"/>
          <w:b w:val="0"/>
          <w:kern w:val="0"/>
          <w:sz w:val="32"/>
          <w:szCs w:val="32"/>
          <w:lang w:val="en-US" w:eastAsia="zh-CN" w:bidi="ar"/>
        </w:rPr>
        <w:t>本年度会议费支出2.30万元，较上年决算数减少0.01万元，下降0.4%，主要原因是本着节约办会的原则，减少会议开支。本年度培训费支出2.31万元，较上年决算数减少0.31万元，下降11.8%，主要原因是减少培训量，支出下降。</w:t>
      </w:r>
    </w:p>
    <w:p>
      <w:pPr>
        <w:pStyle w:val="2"/>
        <w:keepNext w:val="0"/>
        <w:keepLines w:val="0"/>
        <w:pageBreakBefore w:val="0"/>
        <w:widowControl/>
        <w:shd w:val="clear" w:fill="FFFFFF"/>
        <w:kinsoku/>
        <w:wordWrap/>
        <w:overflowPunct/>
        <w:topLinePunct w:val="0"/>
        <w:autoSpaceDN/>
        <w:bidi w:val="0"/>
        <w:adjustRightInd/>
        <w:snapToGrid w:val="0"/>
        <w:spacing w:beforeAutospacing="0" w:line="600" w:lineRule="exact"/>
        <w:textAlignment w:val="auto"/>
        <w:rPr>
          <w:rStyle w:val="5"/>
          <w:rFonts w:hint="eastAsia" w:ascii="方正楷体_GBK" w:hAnsi="方正楷体_GBK" w:eastAsia="方正楷体_GBK" w:cs="方正楷体_GBK"/>
          <w:sz w:val="32"/>
          <w:szCs w:val="32"/>
          <w:shd w:val="clear" w:fill="FFFFFF"/>
          <w:lang w:val="en-US" w:eastAsia="zh-CN"/>
        </w:rPr>
      </w:pPr>
      <w:r>
        <w:rPr>
          <w:rStyle w:val="5"/>
          <w:rFonts w:hint="eastAsia" w:ascii="方正楷体_GBK" w:hAnsi="方正楷体_GBK" w:eastAsia="方正楷体_GBK" w:cs="方正楷体_GBK"/>
          <w:sz w:val="32"/>
          <w:szCs w:val="32"/>
          <w:shd w:val="clear" w:fill="FFFFFF"/>
          <w:lang w:val="en-US" w:eastAsia="zh-CN"/>
        </w:rPr>
        <w:t>（二）国有资产占用情况说明。</w:t>
      </w:r>
    </w:p>
    <w:p>
      <w:pPr>
        <w:pStyle w:val="2"/>
        <w:keepNext w:val="0"/>
        <w:keepLines w:val="0"/>
        <w:pageBreakBefore w:val="0"/>
        <w:widowControl/>
        <w:shd w:val="clear" w:fill="FFFFFF"/>
        <w:kinsoku/>
        <w:wordWrap/>
        <w:overflowPunct/>
        <w:topLinePunct w:val="0"/>
        <w:autoSpaceDN/>
        <w:bidi w:val="0"/>
        <w:adjustRightInd/>
        <w:snapToGrid w:val="0"/>
        <w:spacing w:beforeAutospacing="0" w:line="600" w:lineRule="exact"/>
        <w:ind w:firstLine="640" w:firstLineChars="200"/>
        <w:jc w:val="both"/>
        <w:textAlignment w:val="auto"/>
        <w:rPr>
          <w:rStyle w:val="7"/>
          <w:rFonts w:hint="eastAsia" w:ascii="方正仿宋_GBK" w:hAnsi="方正仿宋_GBK" w:eastAsia="方正仿宋_GBK" w:cs="方正仿宋_GBK"/>
          <w:b w:val="0"/>
          <w:kern w:val="0"/>
          <w:sz w:val="32"/>
          <w:szCs w:val="32"/>
          <w:lang w:val="en-US" w:eastAsia="zh-CN" w:bidi="ar"/>
        </w:rPr>
      </w:pPr>
      <w:r>
        <w:rPr>
          <w:rStyle w:val="7"/>
          <w:rFonts w:hint="eastAsia" w:ascii="方正仿宋_GBK" w:hAnsi="方正仿宋_GBK" w:eastAsia="方正仿宋_GBK" w:cs="方正仿宋_GBK"/>
          <w:b w:val="0"/>
          <w:kern w:val="0"/>
          <w:sz w:val="32"/>
          <w:szCs w:val="32"/>
          <w:lang w:val="en-US" w:eastAsia="zh-CN" w:bidi="ar"/>
        </w:rPr>
        <w:t>截至2021年12月31日，本部门共有车辆2辆，其中，副部（省）级及以上领导用车0辆、主要领导干部用车0辆、机要通信用车1辆、应急保障用车1辆、执法执勤用车0辆，特种专业技术用车0辆，离退休干部用车0辆，其他用车0辆。单价50万元（含）以上通用设备0台（套），单价100万元（含）以上专用设备0台（套）。</w:t>
      </w:r>
    </w:p>
    <w:p>
      <w:pPr>
        <w:pStyle w:val="2"/>
        <w:keepNext w:val="0"/>
        <w:keepLines w:val="0"/>
        <w:pageBreakBefore w:val="0"/>
        <w:widowControl/>
        <w:shd w:val="clear" w:fill="FFFFFF"/>
        <w:kinsoku/>
        <w:wordWrap/>
        <w:overflowPunct/>
        <w:topLinePunct w:val="0"/>
        <w:autoSpaceDN/>
        <w:bidi w:val="0"/>
        <w:adjustRightInd/>
        <w:snapToGrid w:val="0"/>
        <w:spacing w:beforeAutospacing="0" w:line="600" w:lineRule="exact"/>
        <w:jc w:val="both"/>
        <w:textAlignment w:val="auto"/>
      </w:pPr>
      <w:r>
        <w:rPr>
          <w:rStyle w:val="5"/>
          <w:rFonts w:hint="eastAsia" w:ascii="宋体" w:hAnsi="宋体" w:eastAsia="宋体" w:cs="宋体"/>
          <w:sz w:val="27"/>
          <w:szCs w:val="27"/>
          <w:shd w:val="clear" w:fill="FFFFFF"/>
          <w:lang w:val="en-US"/>
        </w:rPr>
        <w:t xml:space="preserve">  </w:t>
      </w:r>
      <w:r>
        <w:rPr>
          <w:rStyle w:val="5"/>
          <w:rFonts w:hint="eastAsia" w:ascii="方正楷体_GBK" w:hAnsi="方正楷体_GBK" w:eastAsia="方正楷体_GBK" w:cs="方正楷体_GBK"/>
          <w:sz w:val="32"/>
          <w:szCs w:val="32"/>
          <w:shd w:val="clear" w:fill="FFFFFF"/>
          <w:lang w:val="en-US" w:eastAsia="zh-CN"/>
        </w:rPr>
        <w:t>（三）政府采购支出情况说明。</w:t>
      </w:r>
    </w:p>
    <w:p>
      <w:pPr>
        <w:pStyle w:val="2"/>
        <w:keepNext w:val="0"/>
        <w:keepLines w:val="0"/>
        <w:pageBreakBefore w:val="0"/>
        <w:widowControl/>
        <w:shd w:val="clear" w:fill="FFFFFF"/>
        <w:kinsoku/>
        <w:wordWrap/>
        <w:overflowPunct/>
        <w:topLinePunct w:val="0"/>
        <w:autoSpaceDN/>
        <w:bidi w:val="0"/>
        <w:adjustRightInd/>
        <w:snapToGrid w:val="0"/>
        <w:spacing w:beforeAutospacing="0" w:line="600" w:lineRule="exact"/>
        <w:textAlignment w:val="auto"/>
        <w:rPr>
          <w:rStyle w:val="7"/>
          <w:rFonts w:hint="eastAsia" w:ascii="方正仿宋_GBK" w:hAnsi="方正仿宋_GBK" w:eastAsia="方正仿宋_GBK" w:cs="方正仿宋_GBK"/>
          <w:b w:val="0"/>
          <w:kern w:val="0"/>
          <w:sz w:val="32"/>
          <w:szCs w:val="32"/>
          <w:lang w:val="en-US" w:eastAsia="zh-CN" w:bidi="ar"/>
        </w:rPr>
      </w:pPr>
      <w:r>
        <w:rPr>
          <w:sz w:val="27"/>
          <w:szCs w:val="27"/>
          <w:shd w:val="clear" w:fill="FFFFFF"/>
          <w:lang w:val="en-US"/>
        </w:rPr>
        <w:t> </w:t>
      </w:r>
      <w:r>
        <w:rPr>
          <w:rStyle w:val="7"/>
          <w:rFonts w:hint="eastAsia" w:ascii="方正仿宋_GBK" w:hAnsi="方正仿宋_GBK" w:eastAsia="方正仿宋_GBK" w:cs="方正仿宋_GBK"/>
          <w:b w:val="0"/>
          <w:kern w:val="0"/>
          <w:sz w:val="32"/>
          <w:szCs w:val="32"/>
          <w:lang w:val="en-US" w:eastAsia="zh-CN" w:bidi="ar"/>
        </w:rPr>
        <w:t xml:space="preserve"> 2021年度我单位未发生政府采购事项，无相关经费支出。</w:t>
      </w:r>
    </w:p>
    <w:p>
      <w:pPr>
        <w:pStyle w:val="2"/>
        <w:keepNext w:val="0"/>
        <w:keepLines w:val="0"/>
        <w:pageBreakBefore w:val="0"/>
        <w:widowControl/>
        <w:shd w:val="clear" w:fill="FFFFFF"/>
        <w:kinsoku/>
        <w:wordWrap/>
        <w:overflowPunct/>
        <w:topLinePunct w:val="0"/>
        <w:autoSpaceDN/>
        <w:bidi w:val="0"/>
        <w:adjustRightInd/>
        <w:snapToGrid w:val="0"/>
        <w:spacing w:beforeAutospacing="0" w:line="600" w:lineRule="exact"/>
        <w:textAlignment w:val="auto"/>
        <w:rPr>
          <w:rStyle w:val="5"/>
          <w:rFonts w:hint="eastAsia" w:ascii="方正黑体_GBK" w:hAnsi="方正黑体_GBK" w:eastAsia="方正黑体_GBK" w:cs="方正黑体_GBK"/>
          <w:sz w:val="32"/>
          <w:szCs w:val="32"/>
          <w:shd w:val="clear" w:fill="FFFFFF"/>
          <w:lang w:val="en-US" w:eastAsia="zh-CN"/>
        </w:rPr>
      </w:pPr>
      <w:r>
        <w:rPr>
          <w:rStyle w:val="5"/>
          <w:rFonts w:hint="eastAsia" w:ascii="方正黑体_GBK" w:hAnsi="方正黑体_GBK" w:eastAsia="方正黑体_GBK" w:cs="方正黑体_GBK"/>
          <w:sz w:val="32"/>
          <w:szCs w:val="32"/>
          <w:shd w:val="clear" w:fill="FFFFFF"/>
          <w:lang w:val="en-US" w:eastAsia="zh-CN"/>
        </w:rPr>
        <w:t>  五、预算绩效管理情况说明</w:t>
      </w:r>
    </w:p>
    <w:p>
      <w:pPr>
        <w:pStyle w:val="2"/>
        <w:keepNext w:val="0"/>
        <w:keepLines w:val="0"/>
        <w:pageBreakBefore w:val="0"/>
        <w:widowControl/>
        <w:shd w:val="clear" w:fill="FFFFFF"/>
        <w:kinsoku/>
        <w:wordWrap/>
        <w:overflowPunct/>
        <w:topLinePunct w:val="0"/>
        <w:autoSpaceDE/>
        <w:autoSpaceDN/>
        <w:bidi w:val="0"/>
        <w:adjustRightInd/>
        <w:snapToGrid w:val="0"/>
        <w:spacing w:beforeAutospacing="0" w:line="520" w:lineRule="exact"/>
        <w:textAlignment w:val="auto"/>
        <w:rPr>
          <w:rStyle w:val="5"/>
          <w:rFonts w:hint="eastAsia" w:ascii="方正楷体_GBK" w:hAnsi="方正楷体_GBK" w:eastAsia="方正楷体_GBK" w:cs="方正楷体_GBK"/>
          <w:sz w:val="32"/>
          <w:szCs w:val="32"/>
          <w:shd w:val="clear" w:fill="FFFFFF"/>
          <w:lang w:val="en-US" w:eastAsia="zh-CN"/>
        </w:rPr>
      </w:pPr>
      <w:r>
        <w:rPr>
          <w:rStyle w:val="5"/>
          <w:rFonts w:hint="eastAsia" w:ascii="宋体" w:hAnsi="宋体" w:eastAsia="宋体" w:cs="宋体"/>
          <w:sz w:val="27"/>
          <w:szCs w:val="27"/>
          <w:shd w:val="clear" w:fill="FFFFFF"/>
          <w:lang w:val="en-US"/>
        </w:rPr>
        <w:t xml:space="preserve">  </w:t>
      </w:r>
      <w:r>
        <w:rPr>
          <w:rStyle w:val="5"/>
          <w:rFonts w:hint="eastAsia" w:ascii="方正楷体_GBK" w:hAnsi="方正楷体_GBK" w:eastAsia="方正楷体_GBK" w:cs="方正楷体_GBK"/>
          <w:sz w:val="32"/>
          <w:szCs w:val="32"/>
          <w:shd w:val="clear" w:fill="FFFFFF"/>
          <w:lang w:val="en-US" w:eastAsia="zh-CN"/>
        </w:rPr>
        <w:t>（一）预算绩效管理工作开展情况。</w:t>
      </w:r>
    </w:p>
    <w:p>
      <w:pPr>
        <w:pStyle w:val="2"/>
        <w:keepNext w:val="0"/>
        <w:keepLines w:val="0"/>
        <w:pageBreakBefore w:val="0"/>
        <w:widowControl/>
        <w:shd w:val="clear" w:fill="FFFFFF"/>
        <w:kinsoku/>
        <w:wordWrap/>
        <w:overflowPunct/>
        <w:topLinePunct w:val="0"/>
        <w:autoSpaceDE/>
        <w:autoSpaceDN/>
        <w:bidi w:val="0"/>
        <w:adjustRightInd/>
        <w:snapToGrid w:val="0"/>
        <w:spacing w:beforeAutospacing="0" w:line="520" w:lineRule="exact"/>
        <w:ind w:firstLine="640" w:firstLineChars="200"/>
        <w:textAlignment w:val="auto"/>
        <w:rPr>
          <w:rStyle w:val="7"/>
          <w:rFonts w:hint="eastAsia" w:ascii="方正仿宋_GBK" w:hAnsi="方正仿宋_GBK" w:eastAsia="方正仿宋_GBK" w:cs="方正仿宋_GBK"/>
          <w:b w:val="0"/>
          <w:kern w:val="0"/>
          <w:sz w:val="32"/>
          <w:szCs w:val="32"/>
          <w:lang w:val="en-US" w:eastAsia="zh-CN" w:bidi="ar"/>
        </w:rPr>
      </w:pPr>
      <w:r>
        <w:rPr>
          <w:rStyle w:val="7"/>
          <w:rFonts w:hint="eastAsia" w:ascii="方正仿宋_GBK" w:hAnsi="方正仿宋_GBK" w:eastAsia="方正仿宋_GBK" w:cs="方正仿宋_GBK"/>
          <w:b w:val="0"/>
          <w:kern w:val="0"/>
          <w:sz w:val="32"/>
          <w:szCs w:val="32"/>
          <w:lang w:val="en-US" w:eastAsia="zh-CN" w:bidi="ar"/>
        </w:rPr>
        <w:t>根据预算绩效管理要求，我办对2个项目开展了绩效自评，其中，以填报自评表形式开展自评6项，涉及资金47.4万元；本单位没有委托第三方开展绩效自评。</w:t>
      </w:r>
    </w:p>
    <w:p>
      <w:pPr>
        <w:pStyle w:val="2"/>
        <w:keepNext w:val="0"/>
        <w:keepLines w:val="0"/>
        <w:pageBreakBefore w:val="0"/>
        <w:widowControl/>
        <w:shd w:val="clear" w:fill="FFFFFF"/>
        <w:kinsoku/>
        <w:wordWrap/>
        <w:overflowPunct/>
        <w:topLinePunct w:val="0"/>
        <w:autoSpaceDN/>
        <w:bidi w:val="0"/>
        <w:adjustRightInd/>
        <w:snapToGrid w:val="0"/>
        <w:spacing w:beforeAutospacing="0" w:line="600" w:lineRule="exact"/>
        <w:textAlignment w:val="auto"/>
      </w:pPr>
      <w:r>
        <w:rPr>
          <w:rStyle w:val="5"/>
          <w:rFonts w:hint="eastAsia" w:ascii="宋体" w:hAnsi="宋体" w:eastAsia="宋体" w:cs="宋体"/>
          <w:sz w:val="27"/>
          <w:szCs w:val="27"/>
          <w:shd w:val="clear" w:fill="FFFFFF"/>
          <w:lang w:val="en-US"/>
        </w:rPr>
        <w:t> </w:t>
      </w:r>
      <w:r>
        <w:rPr>
          <w:rStyle w:val="5"/>
          <w:rFonts w:hint="eastAsia" w:ascii="方正楷体_GBK" w:hAnsi="方正楷体_GBK" w:eastAsia="方正楷体_GBK" w:cs="方正楷体_GBK"/>
          <w:sz w:val="32"/>
          <w:szCs w:val="32"/>
          <w:shd w:val="clear" w:fill="FFFFFF"/>
          <w:lang w:val="en-US" w:eastAsia="zh-CN"/>
        </w:rPr>
        <w:t xml:space="preserve"> （二）绩效自评结果。</w:t>
      </w:r>
    </w:p>
    <w:p>
      <w:pPr>
        <w:pStyle w:val="2"/>
        <w:keepNext w:val="0"/>
        <w:keepLines w:val="0"/>
        <w:pageBreakBefore w:val="0"/>
        <w:widowControl/>
        <w:shd w:val="clear" w:fill="FFFFFF"/>
        <w:kinsoku/>
        <w:wordWrap/>
        <w:overflowPunct/>
        <w:topLinePunct w:val="0"/>
        <w:autoSpaceDN/>
        <w:bidi w:val="0"/>
        <w:adjustRightInd/>
        <w:snapToGrid w:val="0"/>
        <w:spacing w:beforeAutospacing="0" w:line="600" w:lineRule="exact"/>
        <w:textAlignment w:val="auto"/>
        <w:rPr>
          <w:rStyle w:val="7"/>
          <w:rFonts w:hint="eastAsia" w:ascii="方正仿宋_GBK" w:hAnsi="方正仿宋_GBK" w:eastAsia="方正仿宋_GBK" w:cs="方正仿宋_GBK"/>
          <w:b/>
          <w:bCs/>
          <w:kern w:val="0"/>
          <w:sz w:val="32"/>
          <w:szCs w:val="32"/>
          <w:lang w:val="en-US" w:eastAsia="zh-CN" w:bidi="ar"/>
        </w:rPr>
      </w:pPr>
      <w:r>
        <w:rPr>
          <w:rStyle w:val="5"/>
          <w:rFonts w:hint="eastAsia" w:ascii="宋体" w:hAnsi="宋体" w:eastAsia="宋体" w:cs="宋体"/>
          <w:sz w:val="27"/>
          <w:szCs w:val="27"/>
          <w:shd w:val="clear" w:fill="FFFFFF"/>
          <w:lang w:val="en-US"/>
        </w:rPr>
        <w:t> </w:t>
      </w:r>
      <w:r>
        <w:rPr>
          <w:rStyle w:val="7"/>
          <w:rFonts w:hint="eastAsia" w:ascii="方正仿宋_GBK" w:hAnsi="方正仿宋_GBK" w:eastAsia="方正仿宋_GBK" w:cs="方正仿宋_GBK"/>
          <w:b/>
          <w:bCs/>
          <w:kern w:val="0"/>
          <w:sz w:val="32"/>
          <w:szCs w:val="32"/>
          <w:lang w:val="en-US" w:eastAsia="zh-CN" w:bidi="ar"/>
        </w:rPr>
        <w:t xml:space="preserve"> 1.绩效目标自评表。</w:t>
      </w:r>
    </w:p>
    <w:p>
      <w:pPr>
        <w:pStyle w:val="8"/>
        <w:tabs>
          <w:tab w:val="center" w:pos="4153"/>
          <w:tab w:val="left" w:pos="7275"/>
        </w:tabs>
        <w:spacing w:line="600" w:lineRule="exact"/>
        <w:ind w:firstLine="0" w:firstLineChars="0"/>
        <w:jc w:val="center"/>
        <w:rPr>
          <w:rFonts w:hint="eastAsia" w:ascii="Times New Roman" w:hAnsi="Times New Roman" w:eastAsia="方正小标宋_GBK" w:cs="宋体"/>
          <w:color w:val="000000"/>
          <w:kern w:val="0"/>
          <w:sz w:val="36"/>
          <w:szCs w:val="36"/>
        </w:rPr>
      </w:pPr>
      <w:r>
        <w:rPr>
          <w:rFonts w:hint="eastAsia" w:ascii="Times New Roman" w:hAnsi="Times New Roman" w:eastAsia="方正小标宋_GBK" w:cs="宋体"/>
          <w:color w:val="000000"/>
          <w:kern w:val="0"/>
          <w:sz w:val="36"/>
          <w:szCs w:val="36"/>
          <w:lang w:val="en-US" w:eastAsia="zh-CN"/>
        </w:rPr>
        <w:t>一般性</w:t>
      </w:r>
      <w:r>
        <w:rPr>
          <w:rFonts w:hint="eastAsia" w:ascii="Times New Roman" w:hAnsi="Times New Roman" w:eastAsia="方正小标宋_GBK" w:cs="宋体"/>
          <w:color w:val="000000"/>
          <w:kern w:val="0"/>
          <w:sz w:val="36"/>
          <w:szCs w:val="36"/>
        </w:rPr>
        <w:t>项目绩效自评表</w:t>
      </w:r>
    </w:p>
    <w:tbl>
      <w:tblPr>
        <w:tblStyle w:val="3"/>
        <w:tblpPr w:leftFromText="181" w:rightFromText="181" w:vertAnchor="text" w:horzAnchor="page" w:tblpX="1299" w:tblpY="1"/>
        <w:tblOverlap w:val="never"/>
        <w:tblW w:w="10277" w:type="dxa"/>
        <w:tblInd w:w="0" w:type="dxa"/>
        <w:tblLayout w:type="fixed"/>
        <w:tblCellMar>
          <w:top w:w="0" w:type="dxa"/>
          <w:left w:w="108" w:type="dxa"/>
          <w:bottom w:w="0" w:type="dxa"/>
          <w:right w:w="108" w:type="dxa"/>
        </w:tblCellMar>
      </w:tblPr>
      <w:tblGrid>
        <w:gridCol w:w="858"/>
        <w:gridCol w:w="1225"/>
        <w:gridCol w:w="90"/>
        <w:gridCol w:w="425"/>
        <w:gridCol w:w="818"/>
        <w:gridCol w:w="829"/>
        <w:gridCol w:w="471"/>
        <w:gridCol w:w="1064"/>
        <w:gridCol w:w="1162"/>
        <w:gridCol w:w="1070"/>
        <w:gridCol w:w="1007"/>
        <w:gridCol w:w="1258"/>
      </w:tblGrid>
      <w:tr>
        <w:tblPrEx>
          <w:tblCellMar>
            <w:top w:w="0" w:type="dxa"/>
            <w:left w:w="108" w:type="dxa"/>
            <w:bottom w:w="0" w:type="dxa"/>
            <w:right w:w="108" w:type="dxa"/>
          </w:tblCellMar>
        </w:tblPrEx>
        <w:trPr>
          <w:trHeight w:val="1098" w:hRule="atLeast"/>
        </w:trPr>
        <w:tc>
          <w:tcPr>
            <w:tcW w:w="8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both"/>
              <w:textAlignment w:val="auto"/>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项目</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名称</w:t>
            </w:r>
          </w:p>
        </w:tc>
        <w:tc>
          <w:tcPr>
            <w:tcW w:w="1740"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鼎尚国际地质灾害搬迁点住户搬迁</w:t>
            </w:r>
          </w:p>
        </w:tc>
        <w:tc>
          <w:tcPr>
            <w:tcW w:w="8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项目</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编码</w:t>
            </w:r>
          </w:p>
        </w:tc>
        <w:tc>
          <w:tcPr>
            <w:tcW w:w="130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p>
        </w:tc>
        <w:tc>
          <w:tcPr>
            <w:tcW w:w="10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自评</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总分</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rPr>
              <w:t>（分）</w:t>
            </w:r>
          </w:p>
        </w:tc>
        <w:tc>
          <w:tcPr>
            <w:tcW w:w="4497"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r>
      <w:tr>
        <w:tblPrEx>
          <w:tblCellMar>
            <w:top w:w="0" w:type="dxa"/>
            <w:left w:w="108" w:type="dxa"/>
            <w:bottom w:w="0" w:type="dxa"/>
            <w:right w:w="108" w:type="dxa"/>
          </w:tblCellMar>
        </w:tblPrEx>
        <w:trPr>
          <w:trHeight w:val="738" w:hRule="atLeast"/>
        </w:trPr>
        <w:tc>
          <w:tcPr>
            <w:tcW w:w="85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主管</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部门</w:t>
            </w:r>
          </w:p>
        </w:tc>
        <w:tc>
          <w:tcPr>
            <w:tcW w:w="1740"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区信访办</w:t>
            </w:r>
          </w:p>
        </w:tc>
        <w:tc>
          <w:tcPr>
            <w:tcW w:w="8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财政</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lang w:val="en-US" w:eastAsia="zh-CN"/>
              </w:rPr>
              <w:t>科</w:t>
            </w:r>
            <w:r>
              <w:rPr>
                <w:rFonts w:hint="eastAsia" w:ascii="Times New Roman" w:hAnsi="Times New Roman" w:eastAsia="方正仿宋_GBK" w:cs="宋体"/>
                <w:color w:val="000000"/>
                <w:kern w:val="0"/>
                <w:sz w:val="24"/>
                <w:szCs w:val="24"/>
              </w:rPr>
              <w:t>室</w:t>
            </w:r>
          </w:p>
        </w:tc>
        <w:tc>
          <w:tcPr>
            <w:tcW w:w="130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行政政法科</w:t>
            </w:r>
          </w:p>
        </w:tc>
        <w:tc>
          <w:tcPr>
            <w:tcW w:w="10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项目</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联系人</w:t>
            </w:r>
          </w:p>
        </w:tc>
        <w:tc>
          <w:tcPr>
            <w:tcW w:w="116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梁静</w:t>
            </w:r>
          </w:p>
        </w:tc>
        <w:tc>
          <w:tcPr>
            <w:tcW w:w="10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联系电话</w:t>
            </w:r>
          </w:p>
        </w:tc>
        <w:tc>
          <w:tcPr>
            <w:tcW w:w="226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 xml:space="preserve">  023-58520179</w:t>
            </w:r>
          </w:p>
        </w:tc>
      </w:tr>
      <w:tr>
        <w:tblPrEx>
          <w:tblCellMar>
            <w:top w:w="0" w:type="dxa"/>
            <w:left w:w="108" w:type="dxa"/>
            <w:bottom w:w="0" w:type="dxa"/>
            <w:right w:w="108" w:type="dxa"/>
          </w:tblCellMar>
        </w:tblPrEx>
        <w:trPr>
          <w:trHeight w:val="1098" w:hRule="atLeast"/>
        </w:trPr>
        <w:tc>
          <w:tcPr>
            <w:tcW w:w="858" w:type="dxa"/>
            <w:vMerge w:val="restart"/>
            <w:tcBorders>
              <w:top w:val="nil"/>
              <w:left w:val="single" w:color="auto" w:sz="4" w:space="0"/>
              <w:bottom w:val="single" w:color="auto" w:sz="4" w:space="0"/>
              <w:right w:val="single" w:color="auto" w:sz="4" w:space="0"/>
            </w:tcBorders>
            <w:noWrap w:val="0"/>
            <w:textDirection w:val="tbRlV"/>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113" w:right="113"/>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项目资金（万元）</w:t>
            </w:r>
          </w:p>
        </w:tc>
        <w:tc>
          <w:tcPr>
            <w:tcW w:w="1315" w:type="dxa"/>
            <w:gridSpan w:val="2"/>
            <w:vMerge w:val="restart"/>
            <w:tcBorders>
              <w:top w:val="nil"/>
              <w:left w:val="nil"/>
              <w:right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年度</w:t>
            </w:r>
          </w:p>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总金额</w:t>
            </w:r>
          </w:p>
        </w:tc>
        <w:tc>
          <w:tcPr>
            <w:tcW w:w="1243"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年初</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预算数</w:t>
            </w:r>
          </w:p>
        </w:tc>
        <w:tc>
          <w:tcPr>
            <w:tcW w:w="130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全年</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（调整）预算数</w:t>
            </w:r>
          </w:p>
        </w:tc>
        <w:tc>
          <w:tcPr>
            <w:tcW w:w="222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全年执行数</w:t>
            </w:r>
          </w:p>
        </w:tc>
        <w:tc>
          <w:tcPr>
            <w:tcW w:w="10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执行率</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w:t>
            </w:r>
          </w:p>
        </w:tc>
        <w:tc>
          <w:tcPr>
            <w:tcW w:w="10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执行率</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权重</w:t>
            </w:r>
          </w:p>
        </w:tc>
        <w:tc>
          <w:tcPr>
            <w:tcW w:w="12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执行率</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得分</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（分）</w:t>
            </w:r>
          </w:p>
        </w:tc>
      </w:tr>
      <w:tr>
        <w:tblPrEx>
          <w:tblCellMar>
            <w:top w:w="0" w:type="dxa"/>
            <w:left w:w="108" w:type="dxa"/>
            <w:bottom w:w="0" w:type="dxa"/>
            <w:right w:w="108" w:type="dxa"/>
          </w:tblCellMar>
        </w:tblPrEx>
        <w:trPr>
          <w:trHeight w:val="488" w:hRule="atLeast"/>
        </w:trPr>
        <w:tc>
          <w:tcPr>
            <w:tcW w:w="85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ascii="Times New Roman" w:hAnsi="Times New Roman" w:eastAsia="方正仿宋_GBK" w:cs="宋体"/>
                <w:color w:val="000000"/>
                <w:kern w:val="0"/>
                <w:sz w:val="24"/>
                <w:szCs w:val="24"/>
              </w:rPr>
            </w:pPr>
          </w:p>
        </w:tc>
        <w:tc>
          <w:tcPr>
            <w:tcW w:w="1315" w:type="dxa"/>
            <w:gridSpan w:val="2"/>
            <w:vMerge w:val="continue"/>
            <w:tcBorders>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p>
        </w:tc>
        <w:tc>
          <w:tcPr>
            <w:tcW w:w="1243"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0</w:t>
            </w:r>
          </w:p>
        </w:tc>
        <w:tc>
          <w:tcPr>
            <w:tcW w:w="130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32.4</w:t>
            </w:r>
          </w:p>
        </w:tc>
        <w:tc>
          <w:tcPr>
            <w:tcW w:w="222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32.4</w:t>
            </w:r>
          </w:p>
        </w:tc>
        <w:tc>
          <w:tcPr>
            <w:tcW w:w="10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10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宋体"/>
                <w:kern w:val="0"/>
                <w:sz w:val="24"/>
                <w:szCs w:val="24"/>
                <w:lang w:val="en-US" w:eastAsia="zh-CN"/>
              </w:rPr>
            </w:pPr>
            <w:r>
              <w:rPr>
                <w:rFonts w:hint="eastAsia" w:ascii="Times New Roman" w:hAnsi="Times New Roman" w:eastAsia="方正仿宋_GBK" w:cs="宋体"/>
                <w:kern w:val="0"/>
                <w:sz w:val="24"/>
                <w:szCs w:val="24"/>
                <w:lang w:val="en-US" w:eastAsia="zh-CN"/>
              </w:rPr>
              <w:t>10</w:t>
            </w:r>
          </w:p>
        </w:tc>
        <w:tc>
          <w:tcPr>
            <w:tcW w:w="12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w:t>
            </w:r>
          </w:p>
        </w:tc>
      </w:tr>
      <w:tr>
        <w:tblPrEx>
          <w:tblCellMar>
            <w:top w:w="0" w:type="dxa"/>
            <w:left w:w="108" w:type="dxa"/>
            <w:bottom w:w="0" w:type="dxa"/>
            <w:right w:w="108" w:type="dxa"/>
          </w:tblCellMar>
        </w:tblPrEx>
        <w:trPr>
          <w:trHeight w:val="738" w:hRule="atLeast"/>
        </w:trPr>
        <w:tc>
          <w:tcPr>
            <w:tcW w:w="85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ascii="Times New Roman" w:hAnsi="Times New Roman" w:eastAsia="方正仿宋_GBK" w:cs="宋体"/>
                <w:color w:val="000000"/>
                <w:kern w:val="0"/>
                <w:sz w:val="24"/>
                <w:szCs w:val="24"/>
              </w:rPr>
            </w:pPr>
          </w:p>
        </w:tc>
        <w:tc>
          <w:tcPr>
            <w:tcW w:w="1315" w:type="dxa"/>
            <w:gridSpan w:val="2"/>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其中：</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上级资金</w:t>
            </w:r>
          </w:p>
        </w:tc>
        <w:tc>
          <w:tcPr>
            <w:tcW w:w="1243"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p>
        </w:tc>
        <w:tc>
          <w:tcPr>
            <w:tcW w:w="130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p>
        </w:tc>
        <w:tc>
          <w:tcPr>
            <w:tcW w:w="222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p>
        </w:tc>
        <w:tc>
          <w:tcPr>
            <w:tcW w:w="10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p>
        </w:tc>
        <w:tc>
          <w:tcPr>
            <w:tcW w:w="10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p>
        </w:tc>
        <w:tc>
          <w:tcPr>
            <w:tcW w:w="12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p>
        </w:tc>
      </w:tr>
      <w:tr>
        <w:tblPrEx>
          <w:tblCellMar>
            <w:top w:w="0" w:type="dxa"/>
            <w:left w:w="108" w:type="dxa"/>
            <w:bottom w:w="0" w:type="dxa"/>
            <w:right w:w="108" w:type="dxa"/>
          </w:tblCellMar>
        </w:tblPrEx>
        <w:trPr>
          <w:trHeight w:val="488" w:hRule="atLeast"/>
        </w:trPr>
        <w:tc>
          <w:tcPr>
            <w:tcW w:w="85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ascii="Times New Roman" w:hAnsi="Times New Roman" w:eastAsia="方正仿宋_GBK" w:cs="宋体"/>
                <w:color w:val="000000"/>
                <w:kern w:val="0"/>
                <w:sz w:val="24"/>
                <w:szCs w:val="24"/>
              </w:rPr>
            </w:pPr>
          </w:p>
        </w:tc>
        <w:tc>
          <w:tcPr>
            <w:tcW w:w="1315" w:type="dxa"/>
            <w:gridSpan w:val="2"/>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区级资金</w:t>
            </w:r>
          </w:p>
        </w:tc>
        <w:tc>
          <w:tcPr>
            <w:tcW w:w="1243"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0</w:t>
            </w:r>
          </w:p>
        </w:tc>
        <w:tc>
          <w:tcPr>
            <w:tcW w:w="130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32.4</w:t>
            </w:r>
          </w:p>
        </w:tc>
        <w:tc>
          <w:tcPr>
            <w:tcW w:w="222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32.4</w:t>
            </w:r>
          </w:p>
        </w:tc>
        <w:tc>
          <w:tcPr>
            <w:tcW w:w="10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10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w:t>
            </w:r>
          </w:p>
        </w:tc>
        <w:tc>
          <w:tcPr>
            <w:tcW w:w="12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w:t>
            </w:r>
          </w:p>
        </w:tc>
      </w:tr>
      <w:tr>
        <w:tblPrEx>
          <w:tblCellMar>
            <w:top w:w="0" w:type="dxa"/>
            <w:left w:w="108" w:type="dxa"/>
            <w:bottom w:w="0" w:type="dxa"/>
            <w:right w:w="108" w:type="dxa"/>
          </w:tblCellMar>
        </w:tblPrEx>
        <w:trPr>
          <w:trHeight w:val="597" w:hRule="atLeast"/>
        </w:trPr>
        <w:tc>
          <w:tcPr>
            <w:tcW w:w="858"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当年绩效目标</w:t>
            </w:r>
          </w:p>
        </w:tc>
        <w:tc>
          <w:tcPr>
            <w:tcW w:w="255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年初绩效目标</w:t>
            </w:r>
          </w:p>
        </w:tc>
        <w:tc>
          <w:tcPr>
            <w:tcW w:w="3526"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全年（调整）绩效目标</w:t>
            </w:r>
          </w:p>
        </w:tc>
        <w:tc>
          <w:tcPr>
            <w:tcW w:w="3335"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全年目标实际完成情况</w:t>
            </w:r>
          </w:p>
        </w:tc>
      </w:tr>
      <w:tr>
        <w:tblPrEx>
          <w:tblCellMar>
            <w:top w:w="0" w:type="dxa"/>
            <w:left w:w="108" w:type="dxa"/>
            <w:bottom w:w="0" w:type="dxa"/>
            <w:right w:w="108" w:type="dxa"/>
          </w:tblCellMar>
        </w:tblPrEx>
        <w:trPr>
          <w:trHeight w:val="1463" w:hRule="atLeast"/>
        </w:trPr>
        <w:tc>
          <w:tcPr>
            <w:tcW w:w="85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ascii="Times New Roman" w:hAnsi="Times New Roman" w:eastAsia="方正仿宋_GBK" w:cs="宋体"/>
                <w:color w:val="000000"/>
                <w:kern w:val="0"/>
                <w:sz w:val="24"/>
                <w:szCs w:val="24"/>
              </w:rPr>
            </w:pPr>
          </w:p>
        </w:tc>
        <w:tc>
          <w:tcPr>
            <w:tcW w:w="255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推动铁峰山鼎尚国际地质灾害搬迁避让户103户（涉及108套房）有序搬迁。</w:t>
            </w:r>
          </w:p>
        </w:tc>
        <w:tc>
          <w:tcPr>
            <w:tcW w:w="3526"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rPr>
            </w:pPr>
          </w:p>
        </w:tc>
        <w:tc>
          <w:tcPr>
            <w:tcW w:w="3335"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完成铁峰山鼎尚国际地质灾害搬迁103户，</w:t>
            </w:r>
            <w:r>
              <w:rPr>
                <w:rFonts w:hint="eastAsia" w:ascii="Times New Roman" w:hAnsi="Times New Roman" w:eastAsia="方正仿宋_GBK" w:cs="宋体"/>
                <w:color w:val="000000"/>
                <w:kern w:val="0"/>
                <w:sz w:val="24"/>
                <w:szCs w:val="24"/>
                <w:lang w:eastAsia="zh-CN"/>
              </w:rPr>
              <w:t>兑付</w:t>
            </w:r>
            <w:bookmarkStart w:id="0" w:name="_GoBack"/>
            <w:bookmarkEnd w:id="0"/>
            <w:r>
              <w:rPr>
                <w:rFonts w:hint="eastAsia" w:ascii="Times New Roman" w:hAnsi="Times New Roman" w:eastAsia="方正仿宋_GBK" w:cs="宋体"/>
                <w:color w:val="000000"/>
                <w:kern w:val="0"/>
                <w:sz w:val="24"/>
                <w:szCs w:val="24"/>
              </w:rPr>
              <w:t>搬迁奖励金32.4万元。</w:t>
            </w:r>
          </w:p>
        </w:tc>
      </w:tr>
      <w:tr>
        <w:tblPrEx>
          <w:tblCellMar>
            <w:top w:w="0" w:type="dxa"/>
            <w:left w:w="108" w:type="dxa"/>
            <w:bottom w:w="0" w:type="dxa"/>
            <w:right w:w="108" w:type="dxa"/>
          </w:tblCellMar>
        </w:tblPrEx>
        <w:trPr>
          <w:trHeight w:val="1817" w:hRule="atLeast"/>
        </w:trPr>
        <w:tc>
          <w:tcPr>
            <w:tcW w:w="858" w:type="dxa"/>
            <w:vMerge w:val="restart"/>
            <w:tcBorders>
              <w:top w:val="nil"/>
              <w:left w:val="single" w:color="auto" w:sz="4" w:space="0"/>
              <w:right w:val="single" w:color="auto" w:sz="4" w:space="0"/>
            </w:tcBorders>
            <w:noWrap w:val="0"/>
            <w:textDirection w:val="tbRlV"/>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绩效指标</w:t>
            </w:r>
          </w:p>
        </w:tc>
        <w:tc>
          <w:tcPr>
            <w:tcW w:w="1225" w:type="dxa"/>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名称</w:t>
            </w:r>
          </w:p>
        </w:tc>
        <w:tc>
          <w:tcPr>
            <w:tcW w:w="515"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计量</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单位</w:t>
            </w:r>
          </w:p>
        </w:tc>
        <w:tc>
          <w:tcPr>
            <w:tcW w:w="8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性质</w:t>
            </w:r>
          </w:p>
        </w:tc>
        <w:tc>
          <w:tcPr>
            <w:tcW w:w="8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年初</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值</w:t>
            </w:r>
          </w:p>
        </w:tc>
        <w:tc>
          <w:tcPr>
            <w:tcW w:w="4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调整</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值</w:t>
            </w:r>
          </w:p>
        </w:tc>
        <w:tc>
          <w:tcPr>
            <w:tcW w:w="10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全年</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完成值</w:t>
            </w:r>
          </w:p>
        </w:tc>
        <w:tc>
          <w:tcPr>
            <w:tcW w:w="116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得分</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系数</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w:t>
            </w:r>
          </w:p>
        </w:tc>
        <w:tc>
          <w:tcPr>
            <w:tcW w:w="10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权重</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（分）</w:t>
            </w:r>
          </w:p>
        </w:tc>
        <w:tc>
          <w:tcPr>
            <w:tcW w:w="10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指标得分</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（分）</w:t>
            </w:r>
          </w:p>
        </w:tc>
        <w:tc>
          <w:tcPr>
            <w:tcW w:w="12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是否核心</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tc>
      </w:tr>
      <w:tr>
        <w:tblPrEx>
          <w:tblCellMar>
            <w:top w:w="0" w:type="dxa"/>
            <w:left w:w="108" w:type="dxa"/>
            <w:bottom w:w="0" w:type="dxa"/>
            <w:right w:w="108" w:type="dxa"/>
          </w:tblCellMar>
        </w:tblPrEx>
        <w:trPr>
          <w:trHeight w:val="738" w:hRule="atLeast"/>
        </w:trPr>
        <w:tc>
          <w:tcPr>
            <w:tcW w:w="85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ascii="Times New Roman" w:hAnsi="Times New Roman" w:eastAsia="方正仿宋_GBK" w:cs="宋体"/>
                <w:color w:val="000000"/>
                <w:kern w:val="0"/>
                <w:sz w:val="24"/>
                <w:szCs w:val="24"/>
              </w:rPr>
            </w:pPr>
          </w:p>
        </w:tc>
        <w:tc>
          <w:tcPr>
            <w:tcW w:w="1225" w:type="dxa"/>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完成地质灾害搬迁</w:t>
            </w:r>
          </w:p>
        </w:tc>
        <w:tc>
          <w:tcPr>
            <w:tcW w:w="515" w:type="dxa"/>
            <w:gridSpan w:val="2"/>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户</w:t>
            </w:r>
          </w:p>
        </w:tc>
        <w:tc>
          <w:tcPr>
            <w:tcW w:w="818"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w:t>
            </w:r>
          </w:p>
        </w:tc>
        <w:tc>
          <w:tcPr>
            <w:tcW w:w="829"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103</w:t>
            </w:r>
          </w:p>
        </w:tc>
        <w:tc>
          <w:tcPr>
            <w:tcW w:w="471"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rPr>
            </w:pPr>
          </w:p>
        </w:tc>
        <w:tc>
          <w:tcPr>
            <w:tcW w:w="1064"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103</w:t>
            </w:r>
          </w:p>
        </w:tc>
        <w:tc>
          <w:tcPr>
            <w:tcW w:w="1162"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lang w:val="en-US" w:eastAsia="zh-CN"/>
              </w:rPr>
              <w:t>100%</w:t>
            </w:r>
          </w:p>
        </w:tc>
        <w:tc>
          <w:tcPr>
            <w:tcW w:w="1070"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60</w:t>
            </w:r>
          </w:p>
        </w:tc>
        <w:tc>
          <w:tcPr>
            <w:tcW w:w="1007"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60</w:t>
            </w:r>
          </w:p>
        </w:tc>
        <w:tc>
          <w:tcPr>
            <w:tcW w:w="125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是</w:t>
            </w:r>
          </w:p>
        </w:tc>
      </w:tr>
      <w:tr>
        <w:tblPrEx>
          <w:tblCellMar>
            <w:top w:w="0" w:type="dxa"/>
            <w:left w:w="108" w:type="dxa"/>
            <w:bottom w:w="0" w:type="dxa"/>
            <w:right w:w="108" w:type="dxa"/>
          </w:tblCellMar>
        </w:tblPrEx>
        <w:trPr>
          <w:trHeight w:val="738" w:hRule="atLeast"/>
        </w:trPr>
        <w:tc>
          <w:tcPr>
            <w:tcW w:w="85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ascii="Times New Roman" w:hAnsi="Times New Roman" w:eastAsia="方正仿宋_GBK" w:cs="宋体"/>
                <w:color w:val="000000"/>
                <w:kern w:val="0"/>
                <w:sz w:val="24"/>
                <w:szCs w:val="24"/>
              </w:rPr>
            </w:pPr>
          </w:p>
        </w:tc>
        <w:tc>
          <w:tcPr>
            <w:tcW w:w="1225" w:type="dxa"/>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搬迁奖励金兑付率</w:t>
            </w:r>
          </w:p>
        </w:tc>
        <w:tc>
          <w:tcPr>
            <w:tcW w:w="515" w:type="dxa"/>
            <w:gridSpan w:val="2"/>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rPr>
            </w:pPr>
          </w:p>
        </w:tc>
        <w:tc>
          <w:tcPr>
            <w:tcW w:w="818"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w:t>
            </w:r>
          </w:p>
        </w:tc>
        <w:tc>
          <w:tcPr>
            <w:tcW w:w="829"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471"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rPr>
            </w:pPr>
          </w:p>
        </w:tc>
        <w:tc>
          <w:tcPr>
            <w:tcW w:w="1064"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1162"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1070"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20</w:t>
            </w:r>
          </w:p>
        </w:tc>
        <w:tc>
          <w:tcPr>
            <w:tcW w:w="1007"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20</w:t>
            </w:r>
          </w:p>
        </w:tc>
        <w:tc>
          <w:tcPr>
            <w:tcW w:w="125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否</w:t>
            </w:r>
          </w:p>
        </w:tc>
      </w:tr>
      <w:tr>
        <w:tblPrEx>
          <w:tblCellMar>
            <w:top w:w="0" w:type="dxa"/>
            <w:left w:w="108" w:type="dxa"/>
            <w:bottom w:w="0" w:type="dxa"/>
            <w:right w:w="108" w:type="dxa"/>
          </w:tblCellMar>
        </w:tblPrEx>
        <w:trPr>
          <w:trHeight w:val="1457" w:hRule="atLeast"/>
        </w:trPr>
        <w:tc>
          <w:tcPr>
            <w:tcW w:w="85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ascii="Times New Roman" w:hAnsi="Times New Roman" w:eastAsia="方正仿宋_GBK" w:cs="宋体"/>
                <w:color w:val="000000"/>
                <w:kern w:val="0"/>
                <w:sz w:val="24"/>
                <w:szCs w:val="24"/>
              </w:rPr>
            </w:pPr>
          </w:p>
        </w:tc>
        <w:tc>
          <w:tcPr>
            <w:tcW w:w="1225" w:type="dxa"/>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实际完成投资控制在资金预算内比例</w:t>
            </w:r>
          </w:p>
        </w:tc>
        <w:tc>
          <w:tcPr>
            <w:tcW w:w="515" w:type="dxa"/>
            <w:gridSpan w:val="2"/>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rPr>
            </w:pPr>
          </w:p>
        </w:tc>
        <w:tc>
          <w:tcPr>
            <w:tcW w:w="818"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w:t>
            </w:r>
          </w:p>
        </w:tc>
        <w:tc>
          <w:tcPr>
            <w:tcW w:w="829"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lang w:val="en-US" w:eastAsia="zh-CN"/>
              </w:rPr>
              <w:t>100%</w:t>
            </w:r>
          </w:p>
        </w:tc>
        <w:tc>
          <w:tcPr>
            <w:tcW w:w="471"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rPr>
            </w:pPr>
          </w:p>
        </w:tc>
        <w:tc>
          <w:tcPr>
            <w:tcW w:w="1064"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lang w:val="en-US" w:eastAsia="zh-CN"/>
              </w:rPr>
              <w:t>100%</w:t>
            </w:r>
          </w:p>
        </w:tc>
        <w:tc>
          <w:tcPr>
            <w:tcW w:w="1162"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lang w:val="en-US" w:eastAsia="zh-CN"/>
              </w:rPr>
              <w:t>100%</w:t>
            </w:r>
          </w:p>
        </w:tc>
        <w:tc>
          <w:tcPr>
            <w:tcW w:w="1070"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w:t>
            </w:r>
          </w:p>
        </w:tc>
        <w:tc>
          <w:tcPr>
            <w:tcW w:w="1007"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w:t>
            </w:r>
          </w:p>
        </w:tc>
        <w:tc>
          <w:tcPr>
            <w:tcW w:w="125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否</w:t>
            </w:r>
          </w:p>
        </w:tc>
      </w:tr>
      <w:tr>
        <w:tblPrEx>
          <w:tblCellMar>
            <w:top w:w="0" w:type="dxa"/>
            <w:left w:w="108" w:type="dxa"/>
            <w:bottom w:w="0" w:type="dxa"/>
            <w:right w:w="108" w:type="dxa"/>
          </w:tblCellMar>
        </w:tblPrEx>
        <w:trPr>
          <w:trHeight w:val="685" w:hRule="atLeast"/>
        </w:trPr>
        <w:tc>
          <w:tcPr>
            <w:tcW w:w="85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说明</w:t>
            </w:r>
          </w:p>
        </w:tc>
        <w:tc>
          <w:tcPr>
            <w:tcW w:w="9419" w:type="dxa"/>
            <w:gridSpan w:val="11"/>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rPr>
            </w:pPr>
          </w:p>
        </w:tc>
      </w:tr>
    </w:tbl>
    <w:p>
      <w:pPr>
        <w:pStyle w:val="8"/>
        <w:tabs>
          <w:tab w:val="center" w:pos="4153"/>
          <w:tab w:val="left" w:pos="7275"/>
        </w:tabs>
        <w:spacing w:line="600" w:lineRule="exact"/>
        <w:ind w:firstLine="0" w:firstLineChars="0"/>
        <w:jc w:val="center"/>
        <w:rPr>
          <w:rFonts w:hint="eastAsia" w:ascii="Times New Roman" w:hAnsi="Times New Roman" w:eastAsia="方正小标宋_GBK" w:cs="宋体"/>
          <w:color w:val="000000"/>
          <w:kern w:val="0"/>
          <w:sz w:val="36"/>
          <w:szCs w:val="36"/>
          <w:lang w:val="en-US" w:eastAsia="zh-CN"/>
        </w:rPr>
      </w:pPr>
    </w:p>
    <w:p>
      <w:pPr>
        <w:pStyle w:val="8"/>
        <w:tabs>
          <w:tab w:val="center" w:pos="4153"/>
          <w:tab w:val="left" w:pos="7275"/>
        </w:tabs>
        <w:spacing w:line="600" w:lineRule="exact"/>
        <w:ind w:firstLine="0" w:firstLineChars="0"/>
        <w:jc w:val="center"/>
        <w:rPr>
          <w:rStyle w:val="5"/>
          <w:rFonts w:hint="eastAsia" w:ascii="宋体" w:hAnsi="宋体" w:eastAsia="宋体" w:cs="宋体"/>
          <w:sz w:val="27"/>
          <w:szCs w:val="27"/>
          <w:shd w:val="clear" w:fill="FFFFFF"/>
          <w:lang w:val="en-US"/>
        </w:rPr>
      </w:pPr>
      <w:r>
        <w:rPr>
          <w:rFonts w:hint="eastAsia" w:ascii="Times New Roman" w:hAnsi="Times New Roman" w:eastAsia="方正小标宋_GBK" w:cs="宋体"/>
          <w:color w:val="000000"/>
          <w:kern w:val="0"/>
          <w:sz w:val="36"/>
          <w:szCs w:val="36"/>
          <w:lang w:val="en-US" w:eastAsia="zh-CN"/>
        </w:rPr>
        <w:t>一般性</w:t>
      </w:r>
      <w:r>
        <w:rPr>
          <w:rFonts w:hint="eastAsia" w:ascii="Times New Roman" w:hAnsi="Times New Roman" w:eastAsia="方正小标宋_GBK" w:cs="宋体"/>
          <w:color w:val="000000"/>
          <w:kern w:val="0"/>
          <w:sz w:val="36"/>
          <w:szCs w:val="36"/>
        </w:rPr>
        <w:t>项目绩效自评表</w:t>
      </w:r>
    </w:p>
    <w:tbl>
      <w:tblPr>
        <w:tblStyle w:val="3"/>
        <w:tblpPr w:leftFromText="181" w:rightFromText="181" w:vertAnchor="text" w:horzAnchor="page" w:tblpX="1274" w:tblpY="908"/>
        <w:tblOverlap w:val="never"/>
        <w:tblW w:w="10277" w:type="dxa"/>
        <w:tblInd w:w="0" w:type="dxa"/>
        <w:tblLayout w:type="fixed"/>
        <w:tblCellMar>
          <w:top w:w="0" w:type="dxa"/>
          <w:left w:w="108" w:type="dxa"/>
          <w:bottom w:w="0" w:type="dxa"/>
          <w:right w:w="108" w:type="dxa"/>
        </w:tblCellMar>
      </w:tblPr>
      <w:tblGrid>
        <w:gridCol w:w="858"/>
        <w:gridCol w:w="1225"/>
        <w:gridCol w:w="90"/>
        <w:gridCol w:w="425"/>
        <w:gridCol w:w="818"/>
        <w:gridCol w:w="829"/>
        <w:gridCol w:w="471"/>
        <w:gridCol w:w="1064"/>
        <w:gridCol w:w="1162"/>
        <w:gridCol w:w="1070"/>
        <w:gridCol w:w="1007"/>
        <w:gridCol w:w="1258"/>
      </w:tblGrid>
      <w:tr>
        <w:tblPrEx>
          <w:tblCellMar>
            <w:top w:w="0" w:type="dxa"/>
            <w:left w:w="108" w:type="dxa"/>
            <w:bottom w:w="0" w:type="dxa"/>
            <w:right w:w="108" w:type="dxa"/>
          </w:tblCellMar>
        </w:tblPrEx>
        <w:trPr>
          <w:trHeight w:val="1098" w:hRule="atLeast"/>
        </w:trPr>
        <w:tc>
          <w:tcPr>
            <w:tcW w:w="8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both"/>
              <w:textAlignment w:val="auto"/>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项目</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名称</w:t>
            </w:r>
          </w:p>
        </w:tc>
        <w:tc>
          <w:tcPr>
            <w:tcW w:w="1740"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鼎尚国际地质灾害搬迁信访维稳</w:t>
            </w:r>
          </w:p>
        </w:tc>
        <w:tc>
          <w:tcPr>
            <w:tcW w:w="8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项目</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编码</w:t>
            </w:r>
          </w:p>
        </w:tc>
        <w:tc>
          <w:tcPr>
            <w:tcW w:w="130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p>
        </w:tc>
        <w:tc>
          <w:tcPr>
            <w:tcW w:w="10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自评</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总分</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rPr>
              <w:t>（分）</w:t>
            </w:r>
          </w:p>
        </w:tc>
        <w:tc>
          <w:tcPr>
            <w:tcW w:w="4497"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r>
      <w:tr>
        <w:tblPrEx>
          <w:tblCellMar>
            <w:top w:w="0" w:type="dxa"/>
            <w:left w:w="108" w:type="dxa"/>
            <w:bottom w:w="0" w:type="dxa"/>
            <w:right w:w="108" w:type="dxa"/>
          </w:tblCellMar>
        </w:tblPrEx>
        <w:trPr>
          <w:trHeight w:val="738" w:hRule="atLeast"/>
        </w:trPr>
        <w:tc>
          <w:tcPr>
            <w:tcW w:w="85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主管</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部门</w:t>
            </w:r>
          </w:p>
        </w:tc>
        <w:tc>
          <w:tcPr>
            <w:tcW w:w="1740"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区信访办</w:t>
            </w:r>
          </w:p>
        </w:tc>
        <w:tc>
          <w:tcPr>
            <w:tcW w:w="8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财政</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lang w:val="en-US" w:eastAsia="zh-CN"/>
              </w:rPr>
              <w:t>科</w:t>
            </w:r>
            <w:r>
              <w:rPr>
                <w:rFonts w:hint="eastAsia" w:ascii="Times New Roman" w:hAnsi="Times New Roman" w:eastAsia="方正仿宋_GBK" w:cs="宋体"/>
                <w:color w:val="000000"/>
                <w:kern w:val="0"/>
                <w:sz w:val="24"/>
                <w:szCs w:val="24"/>
              </w:rPr>
              <w:t>室</w:t>
            </w:r>
          </w:p>
        </w:tc>
        <w:tc>
          <w:tcPr>
            <w:tcW w:w="130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行政政法科</w:t>
            </w:r>
          </w:p>
        </w:tc>
        <w:tc>
          <w:tcPr>
            <w:tcW w:w="10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项目</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联系人</w:t>
            </w:r>
          </w:p>
        </w:tc>
        <w:tc>
          <w:tcPr>
            <w:tcW w:w="116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梁静</w:t>
            </w:r>
          </w:p>
        </w:tc>
        <w:tc>
          <w:tcPr>
            <w:tcW w:w="10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联系电话</w:t>
            </w:r>
          </w:p>
        </w:tc>
        <w:tc>
          <w:tcPr>
            <w:tcW w:w="226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 xml:space="preserve">  023-58520179</w:t>
            </w:r>
          </w:p>
        </w:tc>
      </w:tr>
      <w:tr>
        <w:tblPrEx>
          <w:tblCellMar>
            <w:top w:w="0" w:type="dxa"/>
            <w:left w:w="108" w:type="dxa"/>
            <w:bottom w:w="0" w:type="dxa"/>
            <w:right w:w="108" w:type="dxa"/>
          </w:tblCellMar>
        </w:tblPrEx>
        <w:trPr>
          <w:trHeight w:val="1098" w:hRule="atLeast"/>
        </w:trPr>
        <w:tc>
          <w:tcPr>
            <w:tcW w:w="858" w:type="dxa"/>
            <w:vMerge w:val="restart"/>
            <w:tcBorders>
              <w:top w:val="nil"/>
              <w:left w:val="single" w:color="auto" w:sz="4" w:space="0"/>
              <w:bottom w:val="single" w:color="auto" w:sz="4" w:space="0"/>
              <w:right w:val="single" w:color="auto" w:sz="4" w:space="0"/>
            </w:tcBorders>
            <w:noWrap w:val="0"/>
            <w:textDirection w:val="tbRlV"/>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113" w:right="113"/>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项目资金（万元）</w:t>
            </w:r>
          </w:p>
        </w:tc>
        <w:tc>
          <w:tcPr>
            <w:tcW w:w="1315" w:type="dxa"/>
            <w:gridSpan w:val="2"/>
            <w:vMerge w:val="restart"/>
            <w:tcBorders>
              <w:top w:val="nil"/>
              <w:left w:val="nil"/>
              <w:right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年度</w:t>
            </w:r>
          </w:p>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总金额</w:t>
            </w:r>
          </w:p>
        </w:tc>
        <w:tc>
          <w:tcPr>
            <w:tcW w:w="1243"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年初</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预算数</w:t>
            </w:r>
          </w:p>
        </w:tc>
        <w:tc>
          <w:tcPr>
            <w:tcW w:w="130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全年</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（调整）预算数</w:t>
            </w:r>
          </w:p>
        </w:tc>
        <w:tc>
          <w:tcPr>
            <w:tcW w:w="222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全年执行数</w:t>
            </w:r>
          </w:p>
        </w:tc>
        <w:tc>
          <w:tcPr>
            <w:tcW w:w="10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执行率</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w:t>
            </w:r>
          </w:p>
        </w:tc>
        <w:tc>
          <w:tcPr>
            <w:tcW w:w="10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执行率</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权重</w:t>
            </w:r>
          </w:p>
        </w:tc>
        <w:tc>
          <w:tcPr>
            <w:tcW w:w="12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执行率</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得分</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（分）</w:t>
            </w:r>
          </w:p>
        </w:tc>
      </w:tr>
      <w:tr>
        <w:tblPrEx>
          <w:tblCellMar>
            <w:top w:w="0" w:type="dxa"/>
            <w:left w:w="108" w:type="dxa"/>
            <w:bottom w:w="0" w:type="dxa"/>
            <w:right w:w="108" w:type="dxa"/>
          </w:tblCellMar>
        </w:tblPrEx>
        <w:trPr>
          <w:trHeight w:val="488" w:hRule="atLeast"/>
        </w:trPr>
        <w:tc>
          <w:tcPr>
            <w:tcW w:w="85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ascii="Times New Roman" w:hAnsi="Times New Roman" w:eastAsia="方正仿宋_GBK" w:cs="宋体"/>
                <w:color w:val="000000"/>
                <w:kern w:val="0"/>
                <w:sz w:val="24"/>
                <w:szCs w:val="24"/>
              </w:rPr>
            </w:pPr>
          </w:p>
        </w:tc>
        <w:tc>
          <w:tcPr>
            <w:tcW w:w="1315" w:type="dxa"/>
            <w:gridSpan w:val="2"/>
            <w:vMerge w:val="continue"/>
            <w:tcBorders>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p>
        </w:tc>
        <w:tc>
          <w:tcPr>
            <w:tcW w:w="1243"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0</w:t>
            </w:r>
          </w:p>
        </w:tc>
        <w:tc>
          <w:tcPr>
            <w:tcW w:w="130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15</w:t>
            </w:r>
          </w:p>
        </w:tc>
        <w:tc>
          <w:tcPr>
            <w:tcW w:w="222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宋体"/>
                <w:color w:val="000000"/>
                <w:kern w:val="0"/>
                <w:sz w:val="15"/>
                <w:szCs w:val="15"/>
                <w:lang w:val="en-US" w:eastAsia="zh-CN"/>
              </w:rPr>
            </w:pPr>
            <w:r>
              <w:rPr>
                <w:rFonts w:hint="eastAsia" w:ascii="Times New Roman" w:hAnsi="Times New Roman" w:eastAsia="方正仿宋_GBK" w:cs="宋体"/>
                <w:color w:val="000000"/>
                <w:kern w:val="0"/>
                <w:sz w:val="24"/>
                <w:szCs w:val="24"/>
                <w:lang w:val="en-US" w:eastAsia="zh-CN"/>
              </w:rPr>
              <w:t>15</w:t>
            </w:r>
          </w:p>
        </w:tc>
        <w:tc>
          <w:tcPr>
            <w:tcW w:w="10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10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宋体"/>
                <w:kern w:val="0"/>
                <w:sz w:val="24"/>
                <w:szCs w:val="24"/>
                <w:lang w:val="en-US" w:eastAsia="zh-CN"/>
              </w:rPr>
            </w:pPr>
            <w:r>
              <w:rPr>
                <w:rFonts w:hint="eastAsia" w:ascii="Times New Roman" w:hAnsi="Times New Roman" w:eastAsia="方正仿宋_GBK" w:cs="宋体"/>
                <w:kern w:val="0"/>
                <w:sz w:val="24"/>
                <w:szCs w:val="24"/>
                <w:lang w:val="en-US" w:eastAsia="zh-CN"/>
              </w:rPr>
              <w:t>10</w:t>
            </w:r>
          </w:p>
        </w:tc>
        <w:tc>
          <w:tcPr>
            <w:tcW w:w="12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w:t>
            </w:r>
          </w:p>
        </w:tc>
      </w:tr>
      <w:tr>
        <w:tblPrEx>
          <w:tblCellMar>
            <w:top w:w="0" w:type="dxa"/>
            <w:left w:w="108" w:type="dxa"/>
            <w:bottom w:w="0" w:type="dxa"/>
            <w:right w:w="108" w:type="dxa"/>
          </w:tblCellMar>
        </w:tblPrEx>
        <w:trPr>
          <w:trHeight w:val="501" w:hRule="atLeast"/>
        </w:trPr>
        <w:tc>
          <w:tcPr>
            <w:tcW w:w="85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ascii="Times New Roman" w:hAnsi="Times New Roman" w:eastAsia="方正仿宋_GBK" w:cs="宋体"/>
                <w:color w:val="000000"/>
                <w:kern w:val="0"/>
                <w:sz w:val="24"/>
                <w:szCs w:val="24"/>
              </w:rPr>
            </w:pPr>
          </w:p>
        </w:tc>
        <w:tc>
          <w:tcPr>
            <w:tcW w:w="1315" w:type="dxa"/>
            <w:gridSpan w:val="2"/>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其中：</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上级资金</w:t>
            </w:r>
          </w:p>
        </w:tc>
        <w:tc>
          <w:tcPr>
            <w:tcW w:w="1243"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p>
        </w:tc>
        <w:tc>
          <w:tcPr>
            <w:tcW w:w="130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p>
        </w:tc>
        <w:tc>
          <w:tcPr>
            <w:tcW w:w="222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p>
        </w:tc>
        <w:tc>
          <w:tcPr>
            <w:tcW w:w="10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p>
        </w:tc>
        <w:tc>
          <w:tcPr>
            <w:tcW w:w="10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p>
        </w:tc>
        <w:tc>
          <w:tcPr>
            <w:tcW w:w="12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p>
        </w:tc>
      </w:tr>
      <w:tr>
        <w:tblPrEx>
          <w:tblCellMar>
            <w:top w:w="0" w:type="dxa"/>
            <w:left w:w="108" w:type="dxa"/>
            <w:bottom w:w="0" w:type="dxa"/>
            <w:right w:w="108" w:type="dxa"/>
          </w:tblCellMar>
        </w:tblPrEx>
        <w:trPr>
          <w:trHeight w:val="488" w:hRule="atLeast"/>
        </w:trPr>
        <w:tc>
          <w:tcPr>
            <w:tcW w:w="85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ascii="Times New Roman" w:hAnsi="Times New Roman" w:eastAsia="方正仿宋_GBK" w:cs="宋体"/>
                <w:color w:val="000000"/>
                <w:kern w:val="0"/>
                <w:sz w:val="24"/>
                <w:szCs w:val="24"/>
              </w:rPr>
            </w:pPr>
          </w:p>
        </w:tc>
        <w:tc>
          <w:tcPr>
            <w:tcW w:w="1315" w:type="dxa"/>
            <w:gridSpan w:val="2"/>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区级资金</w:t>
            </w:r>
          </w:p>
        </w:tc>
        <w:tc>
          <w:tcPr>
            <w:tcW w:w="1243"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0</w:t>
            </w:r>
          </w:p>
        </w:tc>
        <w:tc>
          <w:tcPr>
            <w:tcW w:w="130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15</w:t>
            </w:r>
          </w:p>
        </w:tc>
        <w:tc>
          <w:tcPr>
            <w:tcW w:w="222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15</w:t>
            </w:r>
          </w:p>
        </w:tc>
        <w:tc>
          <w:tcPr>
            <w:tcW w:w="10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10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w:t>
            </w:r>
          </w:p>
        </w:tc>
        <w:tc>
          <w:tcPr>
            <w:tcW w:w="12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w:t>
            </w:r>
          </w:p>
        </w:tc>
      </w:tr>
      <w:tr>
        <w:tblPrEx>
          <w:tblCellMar>
            <w:top w:w="0" w:type="dxa"/>
            <w:left w:w="108" w:type="dxa"/>
            <w:bottom w:w="0" w:type="dxa"/>
            <w:right w:w="108" w:type="dxa"/>
          </w:tblCellMar>
        </w:tblPrEx>
        <w:trPr>
          <w:trHeight w:val="597" w:hRule="atLeast"/>
        </w:trPr>
        <w:tc>
          <w:tcPr>
            <w:tcW w:w="858"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当年绩效目标</w:t>
            </w:r>
          </w:p>
        </w:tc>
        <w:tc>
          <w:tcPr>
            <w:tcW w:w="255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年初绩效目标</w:t>
            </w:r>
          </w:p>
        </w:tc>
        <w:tc>
          <w:tcPr>
            <w:tcW w:w="3526"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全年（调整）绩效目标</w:t>
            </w:r>
          </w:p>
        </w:tc>
        <w:tc>
          <w:tcPr>
            <w:tcW w:w="3335"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全年目标实际完成情况</w:t>
            </w:r>
          </w:p>
        </w:tc>
      </w:tr>
      <w:tr>
        <w:tblPrEx>
          <w:tblCellMar>
            <w:top w:w="0" w:type="dxa"/>
            <w:left w:w="108" w:type="dxa"/>
            <w:bottom w:w="0" w:type="dxa"/>
            <w:right w:w="108" w:type="dxa"/>
          </w:tblCellMar>
        </w:tblPrEx>
        <w:trPr>
          <w:trHeight w:val="482" w:hRule="atLeast"/>
        </w:trPr>
        <w:tc>
          <w:tcPr>
            <w:tcW w:w="85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ascii="Times New Roman" w:hAnsi="Times New Roman" w:eastAsia="方正仿宋_GBK" w:cs="宋体"/>
                <w:color w:val="000000"/>
                <w:kern w:val="0"/>
                <w:sz w:val="24"/>
                <w:szCs w:val="24"/>
              </w:rPr>
            </w:pPr>
          </w:p>
        </w:tc>
        <w:tc>
          <w:tcPr>
            <w:tcW w:w="255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为推动铁峰山鼎尚国际地质灾害搬迁，在现场设立信访接待点、卡口执勤点、现场维稳点、开展政策宣传、信访接待、安全维稳、巡查管护等后勤及日常办公等工作。</w:t>
            </w:r>
          </w:p>
        </w:tc>
        <w:tc>
          <w:tcPr>
            <w:tcW w:w="3526"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rPr>
            </w:pPr>
          </w:p>
        </w:tc>
        <w:tc>
          <w:tcPr>
            <w:tcW w:w="3335"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申请专项工作经费，共计15万元。</w:t>
            </w:r>
          </w:p>
        </w:tc>
      </w:tr>
      <w:tr>
        <w:tblPrEx>
          <w:tblCellMar>
            <w:top w:w="0" w:type="dxa"/>
            <w:left w:w="108" w:type="dxa"/>
            <w:bottom w:w="0" w:type="dxa"/>
            <w:right w:w="108" w:type="dxa"/>
          </w:tblCellMar>
        </w:tblPrEx>
        <w:trPr>
          <w:trHeight w:val="1817" w:hRule="atLeast"/>
        </w:trPr>
        <w:tc>
          <w:tcPr>
            <w:tcW w:w="858" w:type="dxa"/>
            <w:vMerge w:val="restart"/>
            <w:tcBorders>
              <w:top w:val="nil"/>
              <w:left w:val="single" w:color="auto" w:sz="4" w:space="0"/>
              <w:right w:val="single" w:color="auto" w:sz="4" w:space="0"/>
            </w:tcBorders>
            <w:noWrap w:val="0"/>
            <w:textDirection w:val="tbRlV"/>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绩效指标</w:t>
            </w:r>
          </w:p>
        </w:tc>
        <w:tc>
          <w:tcPr>
            <w:tcW w:w="1225" w:type="dxa"/>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名称</w:t>
            </w:r>
          </w:p>
        </w:tc>
        <w:tc>
          <w:tcPr>
            <w:tcW w:w="515"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计量</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单位</w:t>
            </w:r>
          </w:p>
        </w:tc>
        <w:tc>
          <w:tcPr>
            <w:tcW w:w="8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性质</w:t>
            </w:r>
          </w:p>
        </w:tc>
        <w:tc>
          <w:tcPr>
            <w:tcW w:w="8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年初</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值</w:t>
            </w:r>
          </w:p>
        </w:tc>
        <w:tc>
          <w:tcPr>
            <w:tcW w:w="4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调整</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值</w:t>
            </w:r>
          </w:p>
        </w:tc>
        <w:tc>
          <w:tcPr>
            <w:tcW w:w="10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全年</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完成值</w:t>
            </w:r>
          </w:p>
        </w:tc>
        <w:tc>
          <w:tcPr>
            <w:tcW w:w="116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得分</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系数</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w:t>
            </w:r>
          </w:p>
        </w:tc>
        <w:tc>
          <w:tcPr>
            <w:tcW w:w="10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权重</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（分）</w:t>
            </w:r>
          </w:p>
        </w:tc>
        <w:tc>
          <w:tcPr>
            <w:tcW w:w="10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指标得分</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（分）</w:t>
            </w:r>
          </w:p>
        </w:tc>
        <w:tc>
          <w:tcPr>
            <w:tcW w:w="12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是否核心</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tc>
      </w:tr>
      <w:tr>
        <w:tblPrEx>
          <w:tblCellMar>
            <w:top w:w="0" w:type="dxa"/>
            <w:left w:w="108" w:type="dxa"/>
            <w:bottom w:w="0" w:type="dxa"/>
            <w:right w:w="108" w:type="dxa"/>
          </w:tblCellMar>
        </w:tblPrEx>
        <w:trPr>
          <w:trHeight w:val="738" w:hRule="atLeast"/>
        </w:trPr>
        <w:tc>
          <w:tcPr>
            <w:tcW w:w="85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ascii="Times New Roman" w:hAnsi="Times New Roman" w:eastAsia="方正仿宋_GBK" w:cs="宋体"/>
                <w:color w:val="000000"/>
                <w:kern w:val="0"/>
                <w:sz w:val="24"/>
                <w:szCs w:val="24"/>
              </w:rPr>
            </w:pPr>
          </w:p>
        </w:tc>
        <w:tc>
          <w:tcPr>
            <w:tcW w:w="1225" w:type="dxa"/>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工作经费</w:t>
            </w:r>
            <w:r>
              <w:rPr>
                <w:rFonts w:hint="eastAsia" w:ascii="Times New Roman" w:hAnsi="Times New Roman" w:eastAsia="方正仿宋_GBK" w:cs="宋体"/>
                <w:color w:val="000000"/>
                <w:kern w:val="0"/>
                <w:sz w:val="24"/>
                <w:szCs w:val="24"/>
                <w:lang w:eastAsia="zh-CN"/>
              </w:rPr>
              <w:t>到位</w:t>
            </w:r>
            <w:r>
              <w:rPr>
                <w:rFonts w:hint="eastAsia" w:ascii="Times New Roman" w:hAnsi="Times New Roman" w:eastAsia="方正仿宋_GBK" w:cs="宋体"/>
                <w:color w:val="000000"/>
                <w:kern w:val="0"/>
                <w:sz w:val="24"/>
                <w:szCs w:val="24"/>
              </w:rPr>
              <w:t>率</w:t>
            </w:r>
          </w:p>
        </w:tc>
        <w:tc>
          <w:tcPr>
            <w:tcW w:w="515" w:type="dxa"/>
            <w:gridSpan w:val="2"/>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lang w:eastAsia="zh-CN"/>
              </w:rPr>
            </w:pPr>
          </w:p>
        </w:tc>
        <w:tc>
          <w:tcPr>
            <w:tcW w:w="818"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w:t>
            </w:r>
          </w:p>
        </w:tc>
        <w:tc>
          <w:tcPr>
            <w:tcW w:w="829"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471"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rPr>
            </w:pPr>
          </w:p>
        </w:tc>
        <w:tc>
          <w:tcPr>
            <w:tcW w:w="1064"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1162"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lang w:val="en-US" w:eastAsia="zh-CN"/>
              </w:rPr>
              <w:t>100%</w:t>
            </w:r>
          </w:p>
        </w:tc>
        <w:tc>
          <w:tcPr>
            <w:tcW w:w="1070"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60</w:t>
            </w:r>
          </w:p>
        </w:tc>
        <w:tc>
          <w:tcPr>
            <w:tcW w:w="1007"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60</w:t>
            </w:r>
          </w:p>
        </w:tc>
        <w:tc>
          <w:tcPr>
            <w:tcW w:w="125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是</w:t>
            </w:r>
          </w:p>
        </w:tc>
      </w:tr>
      <w:tr>
        <w:tblPrEx>
          <w:tblCellMar>
            <w:top w:w="0" w:type="dxa"/>
            <w:left w:w="108" w:type="dxa"/>
            <w:bottom w:w="0" w:type="dxa"/>
            <w:right w:w="108" w:type="dxa"/>
          </w:tblCellMar>
        </w:tblPrEx>
        <w:trPr>
          <w:trHeight w:val="738" w:hRule="atLeast"/>
        </w:trPr>
        <w:tc>
          <w:tcPr>
            <w:tcW w:w="85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ascii="Times New Roman" w:hAnsi="Times New Roman" w:eastAsia="方正仿宋_GBK" w:cs="宋体"/>
                <w:color w:val="000000"/>
                <w:kern w:val="0"/>
                <w:sz w:val="24"/>
                <w:szCs w:val="24"/>
              </w:rPr>
            </w:pPr>
          </w:p>
        </w:tc>
        <w:tc>
          <w:tcPr>
            <w:tcW w:w="1225" w:type="dxa"/>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工作经费使用率</w:t>
            </w:r>
          </w:p>
        </w:tc>
        <w:tc>
          <w:tcPr>
            <w:tcW w:w="515" w:type="dxa"/>
            <w:gridSpan w:val="2"/>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rPr>
            </w:pPr>
          </w:p>
        </w:tc>
        <w:tc>
          <w:tcPr>
            <w:tcW w:w="818"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w:t>
            </w:r>
          </w:p>
        </w:tc>
        <w:tc>
          <w:tcPr>
            <w:tcW w:w="829"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471"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rPr>
            </w:pPr>
          </w:p>
        </w:tc>
        <w:tc>
          <w:tcPr>
            <w:tcW w:w="1064"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1162"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1070"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20</w:t>
            </w:r>
          </w:p>
        </w:tc>
        <w:tc>
          <w:tcPr>
            <w:tcW w:w="1007"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20</w:t>
            </w:r>
          </w:p>
        </w:tc>
        <w:tc>
          <w:tcPr>
            <w:tcW w:w="125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否</w:t>
            </w:r>
          </w:p>
        </w:tc>
      </w:tr>
      <w:tr>
        <w:tblPrEx>
          <w:tblCellMar>
            <w:top w:w="0" w:type="dxa"/>
            <w:left w:w="108" w:type="dxa"/>
            <w:bottom w:w="0" w:type="dxa"/>
            <w:right w:w="108" w:type="dxa"/>
          </w:tblCellMar>
        </w:tblPrEx>
        <w:trPr>
          <w:trHeight w:val="1457" w:hRule="atLeast"/>
        </w:trPr>
        <w:tc>
          <w:tcPr>
            <w:tcW w:w="85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ascii="Times New Roman" w:hAnsi="Times New Roman" w:eastAsia="方正仿宋_GBK" w:cs="宋体"/>
                <w:color w:val="000000"/>
                <w:kern w:val="0"/>
                <w:sz w:val="24"/>
                <w:szCs w:val="24"/>
              </w:rPr>
            </w:pPr>
          </w:p>
        </w:tc>
        <w:tc>
          <w:tcPr>
            <w:tcW w:w="1225" w:type="dxa"/>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实际完成投资控制在资金预算内比例</w:t>
            </w:r>
          </w:p>
        </w:tc>
        <w:tc>
          <w:tcPr>
            <w:tcW w:w="515" w:type="dxa"/>
            <w:gridSpan w:val="2"/>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rPr>
            </w:pPr>
          </w:p>
        </w:tc>
        <w:tc>
          <w:tcPr>
            <w:tcW w:w="818"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w:t>
            </w:r>
          </w:p>
        </w:tc>
        <w:tc>
          <w:tcPr>
            <w:tcW w:w="829"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lang w:val="en-US" w:eastAsia="zh-CN"/>
              </w:rPr>
              <w:t>100%</w:t>
            </w:r>
          </w:p>
        </w:tc>
        <w:tc>
          <w:tcPr>
            <w:tcW w:w="471"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rPr>
            </w:pPr>
          </w:p>
        </w:tc>
        <w:tc>
          <w:tcPr>
            <w:tcW w:w="1064"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lang w:val="en-US" w:eastAsia="zh-CN"/>
              </w:rPr>
              <w:t>100%</w:t>
            </w:r>
          </w:p>
        </w:tc>
        <w:tc>
          <w:tcPr>
            <w:tcW w:w="1162"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lang w:val="en-US" w:eastAsia="zh-CN"/>
              </w:rPr>
              <w:t>100%</w:t>
            </w:r>
          </w:p>
        </w:tc>
        <w:tc>
          <w:tcPr>
            <w:tcW w:w="1070"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w:t>
            </w:r>
          </w:p>
        </w:tc>
        <w:tc>
          <w:tcPr>
            <w:tcW w:w="1007"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w:t>
            </w:r>
          </w:p>
        </w:tc>
        <w:tc>
          <w:tcPr>
            <w:tcW w:w="125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否</w:t>
            </w:r>
          </w:p>
        </w:tc>
      </w:tr>
      <w:tr>
        <w:tblPrEx>
          <w:tblCellMar>
            <w:top w:w="0" w:type="dxa"/>
            <w:left w:w="108" w:type="dxa"/>
            <w:bottom w:w="0" w:type="dxa"/>
            <w:right w:w="108" w:type="dxa"/>
          </w:tblCellMar>
        </w:tblPrEx>
        <w:trPr>
          <w:trHeight w:val="685" w:hRule="atLeast"/>
        </w:trPr>
        <w:tc>
          <w:tcPr>
            <w:tcW w:w="85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说明</w:t>
            </w:r>
          </w:p>
        </w:tc>
        <w:tc>
          <w:tcPr>
            <w:tcW w:w="9419" w:type="dxa"/>
            <w:gridSpan w:val="11"/>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eastAsia="方正仿宋_GBK" w:cs="宋体"/>
                <w:color w:val="000000"/>
                <w:kern w:val="0"/>
                <w:sz w:val="24"/>
                <w:szCs w:val="24"/>
              </w:rPr>
            </w:pPr>
          </w:p>
        </w:tc>
      </w:tr>
    </w:tbl>
    <w:p>
      <w:pPr>
        <w:pStyle w:val="2"/>
        <w:keepNext w:val="0"/>
        <w:keepLines w:val="0"/>
        <w:pageBreakBefore w:val="0"/>
        <w:widowControl/>
        <w:shd w:val="clear" w:fill="FFFFFF"/>
        <w:kinsoku/>
        <w:wordWrap/>
        <w:overflowPunct/>
        <w:topLinePunct w:val="0"/>
        <w:autoSpaceDE/>
        <w:autoSpaceDN/>
        <w:bidi w:val="0"/>
        <w:adjustRightInd/>
        <w:snapToGrid w:val="0"/>
        <w:spacing w:beforeAutospacing="0" w:afterAutospacing="0" w:line="600" w:lineRule="exact"/>
        <w:textAlignment w:val="auto"/>
        <w:rPr>
          <w:rStyle w:val="7"/>
          <w:rFonts w:hint="eastAsia" w:ascii="方正仿宋_GBK" w:hAnsi="方正仿宋_GBK" w:eastAsia="方正仿宋_GBK" w:cs="方正仿宋_GBK"/>
          <w:b/>
          <w:bCs/>
          <w:kern w:val="0"/>
          <w:sz w:val="32"/>
          <w:szCs w:val="32"/>
          <w:lang w:val="en-US" w:eastAsia="zh-CN" w:bidi="ar"/>
        </w:rPr>
      </w:pPr>
    </w:p>
    <w:p>
      <w:pPr>
        <w:pStyle w:val="2"/>
        <w:keepNext w:val="0"/>
        <w:keepLines w:val="0"/>
        <w:pageBreakBefore w:val="0"/>
        <w:widowControl/>
        <w:shd w:val="clear" w:fill="FFFFFF"/>
        <w:kinsoku/>
        <w:wordWrap/>
        <w:overflowPunct/>
        <w:topLinePunct w:val="0"/>
        <w:autoSpaceDE/>
        <w:autoSpaceDN/>
        <w:bidi w:val="0"/>
        <w:adjustRightInd/>
        <w:snapToGrid w:val="0"/>
        <w:spacing w:beforeAutospacing="0" w:afterAutospacing="0" w:line="600" w:lineRule="exact"/>
        <w:ind w:firstLine="321" w:firstLineChars="100"/>
        <w:textAlignment w:val="auto"/>
      </w:pPr>
      <w:r>
        <w:rPr>
          <w:rStyle w:val="7"/>
          <w:rFonts w:hint="eastAsia" w:ascii="方正仿宋_GBK" w:hAnsi="方正仿宋_GBK" w:eastAsia="方正仿宋_GBK" w:cs="方正仿宋_GBK"/>
          <w:b/>
          <w:bCs/>
          <w:kern w:val="0"/>
          <w:sz w:val="32"/>
          <w:szCs w:val="32"/>
          <w:lang w:val="en-US" w:eastAsia="zh-CN" w:bidi="ar"/>
        </w:rPr>
        <w:t>2.绩效自评报告或案例。</w:t>
      </w:r>
    </w:p>
    <w:p>
      <w:pPr>
        <w:pStyle w:val="2"/>
        <w:keepNext w:val="0"/>
        <w:keepLines w:val="0"/>
        <w:pageBreakBefore w:val="0"/>
        <w:widowControl/>
        <w:shd w:val="clear" w:fill="FFFFFF"/>
        <w:kinsoku/>
        <w:wordWrap/>
        <w:overflowPunct/>
        <w:topLinePunct w:val="0"/>
        <w:autoSpaceDE/>
        <w:autoSpaceDN/>
        <w:bidi w:val="0"/>
        <w:adjustRightInd/>
        <w:snapToGrid w:val="0"/>
        <w:spacing w:beforeAutospacing="0" w:afterAutospacing="0" w:line="600" w:lineRule="exact"/>
        <w:ind w:firstLine="640" w:firstLineChars="200"/>
        <w:jc w:val="left"/>
        <w:textAlignment w:val="auto"/>
        <w:rPr>
          <w:rStyle w:val="7"/>
          <w:rFonts w:hint="eastAsia" w:ascii="方正仿宋_GBK" w:hAnsi="方正仿宋_GBK" w:eastAsia="方正仿宋_GBK" w:cs="方正仿宋_GBK"/>
          <w:b w:val="0"/>
          <w:kern w:val="0"/>
          <w:sz w:val="32"/>
          <w:szCs w:val="32"/>
          <w:lang w:val="en-US" w:eastAsia="zh-CN" w:bidi="ar"/>
        </w:rPr>
      </w:pPr>
      <w:r>
        <w:rPr>
          <w:rStyle w:val="7"/>
          <w:rFonts w:hint="eastAsia" w:ascii="方正仿宋_GBK" w:hAnsi="方正仿宋_GBK" w:eastAsia="方正仿宋_GBK" w:cs="方正仿宋_GBK"/>
          <w:b w:val="0"/>
          <w:kern w:val="0"/>
          <w:sz w:val="32"/>
          <w:szCs w:val="32"/>
          <w:lang w:val="en-US" w:eastAsia="zh-CN" w:bidi="ar"/>
        </w:rPr>
        <w:t>本单位没有委托第三方开展绩效自评。</w:t>
      </w:r>
    </w:p>
    <w:p>
      <w:pPr>
        <w:pStyle w:val="2"/>
        <w:keepNext w:val="0"/>
        <w:keepLines w:val="0"/>
        <w:pageBreakBefore w:val="0"/>
        <w:widowControl/>
        <w:shd w:val="clear" w:fill="FFFFFF"/>
        <w:kinsoku/>
        <w:wordWrap/>
        <w:overflowPunct/>
        <w:topLinePunct w:val="0"/>
        <w:autoSpaceDE/>
        <w:autoSpaceDN/>
        <w:bidi w:val="0"/>
        <w:adjustRightInd/>
        <w:snapToGrid w:val="0"/>
        <w:spacing w:beforeAutospacing="0" w:afterAutospacing="0" w:line="600" w:lineRule="exact"/>
        <w:textAlignment w:val="auto"/>
      </w:pPr>
      <w:r>
        <w:rPr>
          <w:rStyle w:val="5"/>
          <w:rFonts w:hint="eastAsia" w:ascii="宋体" w:hAnsi="宋体" w:eastAsia="宋体" w:cs="宋体"/>
          <w:sz w:val="27"/>
          <w:szCs w:val="27"/>
          <w:shd w:val="clear" w:fill="FFFFFF"/>
          <w:lang w:val="en-US"/>
        </w:rPr>
        <w:t> </w:t>
      </w:r>
      <w:r>
        <w:rPr>
          <w:rStyle w:val="7"/>
          <w:rFonts w:hint="eastAsia" w:ascii="方正仿宋_GBK" w:hAnsi="方正仿宋_GBK" w:eastAsia="方正仿宋_GBK" w:cs="方正仿宋_GBK"/>
          <w:b/>
          <w:bCs/>
          <w:kern w:val="0"/>
          <w:sz w:val="30"/>
          <w:szCs w:val="30"/>
          <w:lang w:val="en-US" w:eastAsia="zh-CN" w:bidi="ar"/>
        </w:rPr>
        <w:t>3.关于绩效自评结果的说明。</w:t>
      </w:r>
    </w:p>
    <w:p>
      <w:pPr>
        <w:pStyle w:val="2"/>
        <w:keepNext w:val="0"/>
        <w:keepLines w:val="0"/>
        <w:pageBreakBefore w:val="0"/>
        <w:widowControl/>
        <w:shd w:val="clear" w:fill="FFFFFF"/>
        <w:kinsoku/>
        <w:wordWrap/>
        <w:overflowPunct/>
        <w:topLinePunct w:val="0"/>
        <w:autoSpaceDE/>
        <w:autoSpaceDN/>
        <w:bidi w:val="0"/>
        <w:adjustRightInd/>
        <w:snapToGrid w:val="0"/>
        <w:spacing w:beforeAutospacing="0" w:afterAutospacing="0" w:line="600" w:lineRule="exact"/>
        <w:ind w:firstLine="640" w:firstLineChars="200"/>
        <w:jc w:val="left"/>
        <w:textAlignment w:val="auto"/>
        <w:rPr>
          <w:rStyle w:val="7"/>
          <w:rFonts w:hint="eastAsia" w:ascii="方正仿宋_GBK" w:hAnsi="方正仿宋_GBK" w:eastAsia="方正仿宋_GBK" w:cs="方正仿宋_GBK"/>
          <w:b w:val="0"/>
          <w:kern w:val="0"/>
          <w:sz w:val="32"/>
          <w:szCs w:val="32"/>
          <w:lang w:val="en-US" w:eastAsia="zh-CN" w:bidi="ar"/>
        </w:rPr>
      </w:pPr>
      <w:r>
        <w:rPr>
          <w:rStyle w:val="7"/>
          <w:rFonts w:hint="eastAsia" w:ascii="方正仿宋_GBK" w:hAnsi="方正仿宋_GBK" w:eastAsia="方正仿宋_GBK" w:cs="方正仿宋_GBK"/>
          <w:b w:val="0"/>
          <w:kern w:val="0"/>
          <w:sz w:val="32"/>
          <w:szCs w:val="32"/>
          <w:lang w:val="en-US" w:eastAsia="zh-CN" w:bidi="ar"/>
        </w:rPr>
        <w:t>通过绩效自评，所有项目都完成了年度绩效目标。</w:t>
      </w:r>
    </w:p>
    <w:p>
      <w:pPr>
        <w:pStyle w:val="2"/>
        <w:keepNext w:val="0"/>
        <w:keepLines w:val="0"/>
        <w:pageBreakBefore w:val="0"/>
        <w:widowControl/>
        <w:shd w:val="clear" w:fill="FFFFFF"/>
        <w:kinsoku/>
        <w:wordWrap/>
        <w:overflowPunct/>
        <w:topLinePunct w:val="0"/>
        <w:autoSpaceDE/>
        <w:autoSpaceDN/>
        <w:bidi w:val="0"/>
        <w:adjustRightInd/>
        <w:snapToGrid w:val="0"/>
        <w:spacing w:beforeAutospacing="0" w:afterAutospacing="0" w:line="600" w:lineRule="exact"/>
        <w:textAlignment w:val="auto"/>
      </w:pPr>
      <w:r>
        <w:rPr>
          <w:rStyle w:val="5"/>
          <w:rFonts w:hint="eastAsia" w:ascii="宋体" w:hAnsi="宋体" w:eastAsia="宋体" w:cs="宋体"/>
          <w:sz w:val="27"/>
          <w:szCs w:val="27"/>
          <w:shd w:val="clear" w:fill="FFFFFF"/>
          <w:lang w:val="en-US"/>
        </w:rPr>
        <w:t xml:space="preserve">  </w:t>
      </w:r>
      <w:r>
        <w:rPr>
          <w:rStyle w:val="5"/>
          <w:rFonts w:hint="eastAsia" w:ascii="方正楷体_GBK" w:hAnsi="方正楷体_GBK" w:eastAsia="方正楷体_GBK" w:cs="方正楷体_GBK"/>
          <w:sz w:val="32"/>
          <w:szCs w:val="32"/>
          <w:shd w:val="clear" w:fill="FFFFFF"/>
          <w:lang w:val="en-US" w:eastAsia="zh-CN"/>
        </w:rPr>
        <w:t>（三）重点绩效评价结果。</w:t>
      </w:r>
    </w:p>
    <w:p>
      <w:pPr>
        <w:pStyle w:val="2"/>
        <w:keepNext w:val="0"/>
        <w:keepLines w:val="0"/>
        <w:pageBreakBefore w:val="0"/>
        <w:widowControl/>
        <w:shd w:val="clear" w:fill="FFFFFF"/>
        <w:kinsoku/>
        <w:wordWrap/>
        <w:overflowPunct/>
        <w:topLinePunct w:val="0"/>
        <w:autoSpaceDE/>
        <w:autoSpaceDN/>
        <w:bidi w:val="0"/>
        <w:adjustRightInd/>
        <w:snapToGrid w:val="0"/>
        <w:spacing w:beforeAutospacing="0" w:afterAutospacing="0" w:line="600" w:lineRule="exact"/>
        <w:ind w:firstLine="640" w:firstLineChars="200"/>
        <w:jc w:val="left"/>
        <w:textAlignment w:val="auto"/>
        <w:rPr>
          <w:rStyle w:val="7"/>
          <w:rFonts w:hint="eastAsia" w:ascii="方正仿宋_GBK" w:hAnsi="方正仿宋_GBK" w:eastAsia="方正仿宋_GBK" w:cs="方正仿宋_GBK"/>
          <w:b w:val="0"/>
          <w:kern w:val="0"/>
          <w:sz w:val="32"/>
          <w:szCs w:val="32"/>
          <w:lang w:val="en-US" w:eastAsia="zh-CN" w:bidi="ar"/>
        </w:rPr>
      </w:pPr>
      <w:r>
        <w:rPr>
          <w:rStyle w:val="7"/>
          <w:rFonts w:hint="eastAsia" w:ascii="方正仿宋_GBK" w:hAnsi="方正仿宋_GBK" w:eastAsia="方正仿宋_GBK" w:cs="方正仿宋_GBK"/>
          <w:b w:val="0"/>
          <w:kern w:val="0"/>
          <w:sz w:val="32"/>
          <w:szCs w:val="32"/>
          <w:lang w:val="en-US" w:eastAsia="zh-CN" w:bidi="ar"/>
        </w:rPr>
        <w:t>本单位没有财政重点绩效评价项目。</w:t>
      </w:r>
    </w:p>
    <w:p>
      <w:pPr>
        <w:pStyle w:val="2"/>
        <w:keepNext w:val="0"/>
        <w:keepLines w:val="0"/>
        <w:pageBreakBefore w:val="0"/>
        <w:widowControl/>
        <w:shd w:val="clear" w:fill="FFFFFF"/>
        <w:kinsoku/>
        <w:wordWrap/>
        <w:overflowPunct/>
        <w:topLinePunct w:val="0"/>
        <w:autoSpaceDE/>
        <w:autoSpaceDN/>
        <w:bidi w:val="0"/>
        <w:adjustRightInd/>
        <w:snapToGrid w:val="0"/>
        <w:spacing w:beforeAutospacing="0" w:afterAutospacing="0" w:line="600" w:lineRule="exact"/>
        <w:textAlignment w:val="auto"/>
      </w:pPr>
      <w:r>
        <w:rPr>
          <w:rStyle w:val="5"/>
          <w:rFonts w:hint="eastAsia" w:ascii="宋体" w:hAnsi="宋体" w:eastAsia="宋体" w:cs="宋体"/>
          <w:sz w:val="27"/>
          <w:szCs w:val="27"/>
          <w:shd w:val="clear" w:fill="FFFFFF"/>
          <w:lang w:val="en-US"/>
        </w:rPr>
        <w:t xml:space="preserve">  </w:t>
      </w:r>
      <w:r>
        <w:rPr>
          <w:rStyle w:val="5"/>
          <w:rFonts w:hint="eastAsia" w:ascii="方正黑体_GBK" w:hAnsi="方正黑体_GBK" w:eastAsia="方正黑体_GBK" w:cs="方正黑体_GBK"/>
          <w:sz w:val="32"/>
          <w:szCs w:val="32"/>
          <w:shd w:val="clear" w:fill="FFFFFF"/>
          <w:lang w:val="en-US" w:eastAsia="zh-CN"/>
        </w:rPr>
        <w:t>六、专业名词解释</w:t>
      </w:r>
    </w:p>
    <w:p>
      <w:pPr>
        <w:pStyle w:val="2"/>
        <w:keepNext w:val="0"/>
        <w:keepLines w:val="0"/>
        <w:pageBreakBefore w:val="0"/>
        <w:widowControl/>
        <w:shd w:val="clear" w:fill="FFFFFF"/>
        <w:kinsoku/>
        <w:wordWrap/>
        <w:overflowPunct/>
        <w:topLinePunct w:val="0"/>
        <w:autoSpaceDE/>
        <w:autoSpaceDN/>
        <w:bidi w:val="0"/>
        <w:adjustRightInd/>
        <w:snapToGrid w:val="0"/>
        <w:spacing w:beforeAutospacing="0" w:afterAutospacing="0" w:line="600" w:lineRule="exact"/>
        <w:ind w:firstLine="542" w:firstLineChars="200"/>
        <w:textAlignment w:val="auto"/>
        <w:rPr>
          <w:rStyle w:val="7"/>
          <w:rFonts w:hint="eastAsia" w:ascii="方正仿宋_GBK" w:hAnsi="方正仿宋_GBK" w:eastAsia="方正仿宋_GBK" w:cs="方正仿宋_GBK"/>
          <w:b w:val="0"/>
          <w:kern w:val="0"/>
          <w:sz w:val="32"/>
          <w:szCs w:val="32"/>
          <w:lang w:val="en-US" w:eastAsia="zh-CN" w:bidi="ar"/>
        </w:rPr>
      </w:pPr>
      <w:r>
        <w:rPr>
          <w:rStyle w:val="5"/>
          <w:rFonts w:hint="eastAsia" w:ascii="宋体" w:hAnsi="宋体" w:eastAsia="宋体" w:cs="宋体"/>
          <w:sz w:val="27"/>
          <w:szCs w:val="27"/>
          <w:shd w:val="clear" w:fill="FFFFFF"/>
          <w:lang w:eastAsia="zh-CN"/>
        </w:rPr>
        <w:t>（一）财政拨款收入</w:t>
      </w:r>
      <w:r>
        <w:rPr>
          <w:sz w:val="27"/>
          <w:szCs w:val="27"/>
          <w:shd w:val="clear" w:fill="FFFFFF"/>
          <w:lang w:eastAsia="zh-CN"/>
        </w:rPr>
        <w:t>：</w:t>
      </w:r>
      <w:r>
        <w:rPr>
          <w:rStyle w:val="7"/>
          <w:rFonts w:hint="eastAsia" w:ascii="方正仿宋_GBK" w:hAnsi="方正仿宋_GBK" w:eastAsia="方正仿宋_GBK" w:cs="方正仿宋_GBK"/>
          <w:b w:val="0"/>
          <w:kern w:val="0"/>
          <w:sz w:val="32"/>
          <w:szCs w:val="32"/>
          <w:lang w:val="en-US" w:eastAsia="zh-CN" w:bidi="ar"/>
        </w:rPr>
        <w:t>指本年度从本级财政部门取得的财政拨款，包括一般公共预算财政拨款和政府性基金预算财政拨款。</w:t>
      </w:r>
    </w:p>
    <w:p>
      <w:pPr>
        <w:pStyle w:val="2"/>
        <w:keepNext w:val="0"/>
        <w:keepLines w:val="0"/>
        <w:pageBreakBefore w:val="0"/>
        <w:widowControl/>
        <w:shd w:val="clear" w:fill="FFFFFF"/>
        <w:kinsoku/>
        <w:wordWrap/>
        <w:overflowPunct/>
        <w:topLinePunct w:val="0"/>
        <w:autoSpaceDE/>
        <w:autoSpaceDN/>
        <w:bidi w:val="0"/>
        <w:adjustRightInd/>
        <w:snapToGrid w:val="0"/>
        <w:spacing w:beforeAutospacing="0" w:afterAutospacing="0" w:line="600" w:lineRule="exact"/>
        <w:ind w:firstLine="542" w:firstLineChars="200"/>
        <w:jc w:val="both"/>
        <w:textAlignment w:val="auto"/>
        <w:rPr>
          <w:rStyle w:val="7"/>
          <w:rFonts w:hint="eastAsia" w:ascii="方正仿宋_GBK" w:hAnsi="方正仿宋_GBK" w:eastAsia="方正仿宋_GBK" w:cs="方正仿宋_GBK"/>
          <w:b w:val="0"/>
          <w:kern w:val="0"/>
          <w:sz w:val="32"/>
          <w:szCs w:val="32"/>
          <w:lang w:val="en-US" w:eastAsia="zh-CN" w:bidi="ar"/>
        </w:rPr>
      </w:pPr>
      <w:r>
        <w:rPr>
          <w:rStyle w:val="5"/>
          <w:rFonts w:hint="eastAsia" w:ascii="宋体" w:hAnsi="宋体" w:eastAsia="宋体" w:cs="宋体"/>
          <w:sz w:val="27"/>
          <w:szCs w:val="27"/>
          <w:shd w:val="clear" w:fill="FFFFFF"/>
          <w:lang w:eastAsia="zh-CN"/>
        </w:rPr>
        <w:t>（二）事业收入</w:t>
      </w:r>
      <w:r>
        <w:rPr>
          <w:sz w:val="27"/>
          <w:szCs w:val="27"/>
          <w:shd w:val="clear" w:fill="FFFFFF"/>
          <w:lang w:eastAsia="zh-CN"/>
        </w:rPr>
        <w:t>：</w:t>
      </w:r>
      <w:r>
        <w:rPr>
          <w:rStyle w:val="7"/>
          <w:rFonts w:hint="eastAsia" w:ascii="方正仿宋_GBK" w:hAnsi="方正仿宋_GBK" w:eastAsia="方正仿宋_GBK" w:cs="方正仿宋_GBK"/>
          <w:b w:val="0"/>
          <w:kern w:val="0"/>
          <w:sz w:val="32"/>
          <w:szCs w:val="32"/>
          <w:lang w:val="en-US" w:eastAsia="zh-CN" w:bidi="ar"/>
        </w:rPr>
        <w:t>指事业单位开展专业业务活动及其辅助活动取得的现金流入；事业单位收到的财政专户实际核拨的教育收费等资金在此反映。</w:t>
      </w:r>
    </w:p>
    <w:p>
      <w:pPr>
        <w:pStyle w:val="2"/>
        <w:keepNext w:val="0"/>
        <w:keepLines w:val="0"/>
        <w:pageBreakBefore w:val="0"/>
        <w:widowControl/>
        <w:shd w:val="clear" w:fill="FFFFFF"/>
        <w:kinsoku/>
        <w:wordWrap/>
        <w:overflowPunct/>
        <w:topLinePunct w:val="0"/>
        <w:autoSpaceDE/>
        <w:autoSpaceDN/>
        <w:bidi w:val="0"/>
        <w:adjustRightInd/>
        <w:snapToGrid w:val="0"/>
        <w:spacing w:beforeAutospacing="0" w:afterAutospacing="0" w:line="600" w:lineRule="exact"/>
        <w:ind w:firstLine="542" w:firstLineChars="200"/>
        <w:textAlignment w:val="auto"/>
        <w:rPr>
          <w:rFonts w:hint="eastAsia" w:ascii="Times New Roman" w:hAnsi="Times New Roman" w:eastAsia="方正仿宋_GBK" w:cs="宋体"/>
          <w:color w:val="000000"/>
          <w:kern w:val="0"/>
          <w:sz w:val="32"/>
          <w:szCs w:val="32"/>
          <w:lang w:eastAsia="zh-CN"/>
        </w:rPr>
      </w:pPr>
      <w:r>
        <w:rPr>
          <w:rStyle w:val="5"/>
          <w:rFonts w:hint="eastAsia" w:ascii="宋体" w:hAnsi="宋体" w:eastAsia="宋体" w:cs="宋体"/>
          <w:sz w:val="27"/>
          <w:szCs w:val="27"/>
          <w:shd w:val="clear" w:fill="FFFFFF"/>
          <w:lang w:eastAsia="zh-CN"/>
        </w:rPr>
        <w:t>（三）经营收入</w:t>
      </w:r>
      <w:r>
        <w:rPr>
          <w:sz w:val="27"/>
          <w:szCs w:val="27"/>
          <w:shd w:val="clear" w:fill="FFFFFF"/>
          <w:lang w:eastAsia="zh-CN"/>
        </w:rPr>
        <w:t>：</w:t>
      </w:r>
      <w:r>
        <w:rPr>
          <w:rStyle w:val="7"/>
          <w:rFonts w:hint="eastAsia" w:ascii="方正仿宋_GBK" w:hAnsi="方正仿宋_GBK" w:eastAsia="方正仿宋_GBK" w:cs="方正仿宋_GBK"/>
          <w:b w:val="0"/>
          <w:kern w:val="0"/>
          <w:sz w:val="32"/>
          <w:szCs w:val="32"/>
          <w:lang w:val="en-US" w:eastAsia="zh-CN" w:bidi="ar"/>
        </w:rPr>
        <w:t>指事业单位在专业业务活动及其辅助活动之外开展非独立核算经营活动取得的现金流入。</w:t>
      </w:r>
    </w:p>
    <w:p>
      <w:pPr>
        <w:pStyle w:val="2"/>
        <w:keepNext w:val="0"/>
        <w:keepLines w:val="0"/>
        <w:pageBreakBefore w:val="0"/>
        <w:widowControl/>
        <w:shd w:val="clear" w:fill="FFFFFF"/>
        <w:kinsoku/>
        <w:wordWrap/>
        <w:overflowPunct/>
        <w:topLinePunct w:val="0"/>
        <w:autoSpaceDE/>
        <w:autoSpaceDN/>
        <w:bidi w:val="0"/>
        <w:adjustRightInd/>
        <w:snapToGrid w:val="0"/>
        <w:spacing w:beforeAutospacing="0" w:afterAutospacing="0" w:line="600" w:lineRule="exact"/>
        <w:ind w:firstLine="542" w:firstLineChars="200"/>
        <w:textAlignment w:val="auto"/>
        <w:rPr>
          <w:rStyle w:val="7"/>
          <w:rFonts w:hint="eastAsia" w:ascii="方正仿宋_GBK" w:hAnsi="方正仿宋_GBK" w:eastAsia="方正仿宋_GBK" w:cs="方正仿宋_GBK"/>
          <w:b w:val="0"/>
          <w:kern w:val="0"/>
          <w:sz w:val="32"/>
          <w:szCs w:val="32"/>
          <w:lang w:val="en-US" w:eastAsia="zh-CN" w:bidi="ar"/>
        </w:rPr>
      </w:pPr>
      <w:r>
        <w:rPr>
          <w:rStyle w:val="5"/>
          <w:rFonts w:hint="eastAsia" w:ascii="宋体" w:hAnsi="宋体" w:eastAsia="宋体" w:cs="宋体"/>
          <w:sz w:val="27"/>
          <w:szCs w:val="27"/>
          <w:shd w:val="clear" w:fill="FFFFFF"/>
          <w:lang w:eastAsia="zh-CN"/>
        </w:rPr>
        <w:t>（四）其他收入</w:t>
      </w:r>
      <w:r>
        <w:rPr>
          <w:sz w:val="27"/>
          <w:szCs w:val="27"/>
          <w:shd w:val="clear" w:fill="FFFFFF"/>
          <w:lang w:eastAsia="zh-CN"/>
        </w:rPr>
        <w:t>：</w:t>
      </w:r>
      <w:r>
        <w:rPr>
          <w:rStyle w:val="7"/>
          <w:rFonts w:hint="eastAsia" w:ascii="方正仿宋_GBK" w:hAnsi="方正仿宋_GBK" w:eastAsia="方正仿宋_GBK" w:cs="方正仿宋_GBK"/>
          <w:b w:val="0"/>
          <w:kern w:val="0"/>
          <w:sz w:val="32"/>
          <w:szCs w:val="32"/>
          <w:lang w:val="en-US" w:eastAsia="zh-CN" w:bidi="ar"/>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
        <w:keepNext w:val="0"/>
        <w:keepLines w:val="0"/>
        <w:pageBreakBefore w:val="0"/>
        <w:widowControl/>
        <w:shd w:val="clear" w:fill="FFFFFF"/>
        <w:kinsoku/>
        <w:wordWrap/>
        <w:overflowPunct/>
        <w:topLinePunct w:val="0"/>
        <w:autoSpaceDE/>
        <w:autoSpaceDN/>
        <w:bidi w:val="0"/>
        <w:adjustRightInd/>
        <w:snapToGrid w:val="0"/>
        <w:spacing w:beforeAutospacing="0" w:afterAutospacing="0" w:line="600" w:lineRule="exact"/>
        <w:ind w:firstLine="542" w:firstLineChars="200"/>
        <w:jc w:val="both"/>
        <w:textAlignment w:val="auto"/>
        <w:rPr>
          <w:rStyle w:val="7"/>
          <w:rFonts w:hint="eastAsia" w:ascii="方正仿宋_GBK" w:hAnsi="方正仿宋_GBK" w:eastAsia="方正仿宋_GBK" w:cs="方正仿宋_GBK"/>
          <w:b w:val="0"/>
          <w:kern w:val="0"/>
          <w:sz w:val="32"/>
          <w:szCs w:val="32"/>
          <w:lang w:val="en-US" w:eastAsia="zh-CN" w:bidi="ar"/>
        </w:rPr>
      </w:pPr>
      <w:r>
        <w:rPr>
          <w:rStyle w:val="5"/>
          <w:rFonts w:hint="eastAsia" w:ascii="宋体" w:hAnsi="宋体" w:eastAsia="宋体" w:cs="宋体"/>
          <w:sz w:val="27"/>
          <w:szCs w:val="27"/>
          <w:shd w:val="clear" w:fill="FFFFFF"/>
          <w:lang w:eastAsia="zh-CN"/>
        </w:rPr>
        <w:t>（五）使用非财政拨款结余</w:t>
      </w:r>
      <w:r>
        <w:rPr>
          <w:sz w:val="27"/>
          <w:szCs w:val="27"/>
          <w:shd w:val="clear" w:fill="FFFFFF"/>
          <w:lang w:eastAsia="zh-CN"/>
        </w:rPr>
        <w:t>：</w:t>
      </w:r>
      <w:r>
        <w:rPr>
          <w:rStyle w:val="7"/>
          <w:rFonts w:hint="eastAsia" w:ascii="方正仿宋_GBK" w:hAnsi="方正仿宋_GBK" w:eastAsia="方正仿宋_GBK" w:cs="方正仿宋_GBK"/>
          <w:b w:val="0"/>
          <w:kern w:val="0"/>
          <w:sz w:val="32"/>
          <w:szCs w:val="32"/>
          <w:lang w:val="en-US" w:eastAsia="zh-CN" w:bidi="ar"/>
        </w:rPr>
        <w:t>指单位在当年的“财政拨款收入”、“事业收入”、“经营收入”、“其他收入”等不足以安排当年支出的情况下，使用以前年度积累的非财政拨款结余弥补本年度收支缺口的资金。</w:t>
      </w:r>
    </w:p>
    <w:p>
      <w:pPr>
        <w:pStyle w:val="2"/>
        <w:keepNext w:val="0"/>
        <w:keepLines w:val="0"/>
        <w:pageBreakBefore w:val="0"/>
        <w:widowControl/>
        <w:shd w:val="clear" w:fill="FFFFFF"/>
        <w:kinsoku/>
        <w:wordWrap/>
        <w:overflowPunct/>
        <w:topLinePunct w:val="0"/>
        <w:autoSpaceDE/>
        <w:autoSpaceDN/>
        <w:bidi w:val="0"/>
        <w:adjustRightInd/>
        <w:snapToGrid w:val="0"/>
        <w:spacing w:beforeAutospacing="0" w:afterAutospacing="0" w:line="600" w:lineRule="exact"/>
        <w:ind w:firstLine="542" w:firstLineChars="200"/>
        <w:textAlignment w:val="auto"/>
        <w:rPr>
          <w:rFonts w:hint="eastAsia" w:ascii="Times New Roman" w:hAnsi="Times New Roman" w:eastAsia="方正仿宋_GBK" w:cs="宋体"/>
          <w:color w:val="000000"/>
          <w:kern w:val="0"/>
          <w:sz w:val="32"/>
          <w:szCs w:val="32"/>
          <w:lang w:eastAsia="zh-CN"/>
        </w:rPr>
      </w:pPr>
      <w:r>
        <w:rPr>
          <w:rStyle w:val="5"/>
          <w:rFonts w:hint="eastAsia" w:ascii="宋体" w:hAnsi="宋体" w:eastAsia="宋体" w:cs="宋体"/>
          <w:sz w:val="27"/>
          <w:szCs w:val="27"/>
          <w:shd w:val="clear" w:fill="FFFFFF"/>
          <w:lang w:eastAsia="zh-CN"/>
        </w:rPr>
        <w:t>（六）年初结转和结余</w:t>
      </w:r>
      <w:r>
        <w:rPr>
          <w:sz w:val="27"/>
          <w:szCs w:val="27"/>
          <w:shd w:val="clear" w:fill="FFFFFF"/>
          <w:lang w:eastAsia="zh-CN"/>
        </w:rPr>
        <w:t>：</w:t>
      </w:r>
      <w:r>
        <w:rPr>
          <w:rStyle w:val="7"/>
          <w:rFonts w:hint="eastAsia" w:ascii="方正仿宋_GBK" w:hAnsi="方正仿宋_GBK" w:eastAsia="方正仿宋_GBK" w:cs="方正仿宋_GBK"/>
          <w:b w:val="0"/>
          <w:kern w:val="0"/>
          <w:sz w:val="32"/>
          <w:szCs w:val="32"/>
          <w:lang w:val="en-US" w:eastAsia="zh-CN" w:bidi="ar"/>
        </w:rPr>
        <w:t>指单位上年结转本年使用的基本支出结转、项目支出结转和结余、经营结余。</w:t>
      </w:r>
    </w:p>
    <w:p>
      <w:pPr>
        <w:pStyle w:val="2"/>
        <w:keepNext w:val="0"/>
        <w:keepLines w:val="0"/>
        <w:pageBreakBefore w:val="0"/>
        <w:widowControl/>
        <w:shd w:val="clear" w:fill="FFFFFF"/>
        <w:kinsoku/>
        <w:wordWrap/>
        <w:overflowPunct/>
        <w:topLinePunct w:val="0"/>
        <w:autoSpaceDE/>
        <w:autoSpaceDN/>
        <w:bidi w:val="0"/>
        <w:adjustRightInd/>
        <w:snapToGrid w:val="0"/>
        <w:spacing w:beforeAutospacing="0" w:afterAutospacing="0" w:line="600" w:lineRule="exact"/>
        <w:ind w:firstLine="542" w:firstLineChars="200"/>
        <w:textAlignment w:val="auto"/>
        <w:rPr>
          <w:rFonts w:hint="eastAsia" w:ascii="Times New Roman" w:hAnsi="Times New Roman" w:eastAsia="方正仿宋_GBK" w:cs="宋体"/>
          <w:color w:val="000000"/>
          <w:kern w:val="0"/>
          <w:sz w:val="32"/>
          <w:szCs w:val="32"/>
          <w:lang w:eastAsia="zh-CN"/>
        </w:rPr>
      </w:pPr>
      <w:r>
        <w:rPr>
          <w:rStyle w:val="5"/>
          <w:rFonts w:hint="eastAsia" w:ascii="宋体" w:hAnsi="宋体" w:eastAsia="宋体" w:cs="宋体"/>
          <w:sz w:val="27"/>
          <w:szCs w:val="27"/>
          <w:shd w:val="clear" w:fill="FFFFFF"/>
          <w:lang w:eastAsia="zh-CN"/>
        </w:rPr>
        <w:t>（七）结余分配</w:t>
      </w:r>
      <w:r>
        <w:rPr>
          <w:sz w:val="27"/>
          <w:szCs w:val="27"/>
          <w:shd w:val="clear" w:fill="FFFFFF"/>
          <w:lang w:eastAsia="zh-CN"/>
        </w:rPr>
        <w:t>：</w:t>
      </w:r>
      <w:r>
        <w:rPr>
          <w:rStyle w:val="7"/>
          <w:rFonts w:hint="eastAsia" w:ascii="方正仿宋_GBK" w:hAnsi="方正仿宋_GBK" w:eastAsia="方正仿宋_GBK" w:cs="方正仿宋_GBK"/>
          <w:b w:val="0"/>
          <w:kern w:val="0"/>
          <w:sz w:val="32"/>
          <w:szCs w:val="32"/>
          <w:lang w:val="en-US" w:eastAsia="zh-CN" w:bidi="ar"/>
        </w:rPr>
        <w:t>指单位按照国家有关规定，缴纳所得税、提取专用基金、转入非财政拨款结余等当年结余的分配情况。</w:t>
      </w:r>
    </w:p>
    <w:p>
      <w:pPr>
        <w:pStyle w:val="2"/>
        <w:keepNext w:val="0"/>
        <w:keepLines w:val="0"/>
        <w:pageBreakBefore w:val="0"/>
        <w:widowControl/>
        <w:shd w:val="clear" w:fill="FFFFFF"/>
        <w:kinsoku/>
        <w:wordWrap/>
        <w:overflowPunct/>
        <w:topLinePunct w:val="0"/>
        <w:autoSpaceDE/>
        <w:autoSpaceDN/>
        <w:bidi w:val="0"/>
        <w:adjustRightInd/>
        <w:snapToGrid w:val="0"/>
        <w:spacing w:beforeAutospacing="0" w:afterAutospacing="0" w:line="600" w:lineRule="exact"/>
        <w:ind w:firstLine="542" w:firstLineChars="200"/>
        <w:textAlignment w:val="auto"/>
        <w:rPr>
          <w:rStyle w:val="7"/>
          <w:rFonts w:hint="eastAsia" w:ascii="方正仿宋_GBK" w:hAnsi="方正仿宋_GBK" w:eastAsia="方正仿宋_GBK" w:cs="方正仿宋_GBK"/>
          <w:b w:val="0"/>
          <w:kern w:val="0"/>
          <w:sz w:val="32"/>
          <w:szCs w:val="32"/>
          <w:lang w:val="en-US" w:eastAsia="zh-CN" w:bidi="ar"/>
        </w:rPr>
      </w:pPr>
      <w:r>
        <w:rPr>
          <w:rStyle w:val="5"/>
          <w:rFonts w:hint="eastAsia" w:ascii="宋体" w:hAnsi="宋体" w:eastAsia="宋体" w:cs="宋体"/>
          <w:sz w:val="27"/>
          <w:szCs w:val="27"/>
          <w:shd w:val="clear" w:fill="FFFFFF"/>
          <w:lang w:eastAsia="zh-CN"/>
        </w:rPr>
        <w:t>（八）年末结转和结余</w:t>
      </w:r>
      <w:r>
        <w:rPr>
          <w:sz w:val="27"/>
          <w:szCs w:val="27"/>
          <w:shd w:val="clear" w:fill="FFFFFF"/>
          <w:lang w:eastAsia="zh-CN"/>
        </w:rPr>
        <w:t>：</w:t>
      </w:r>
      <w:r>
        <w:rPr>
          <w:rStyle w:val="7"/>
          <w:rFonts w:hint="eastAsia" w:ascii="方正仿宋_GBK" w:hAnsi="方正仿宋_GBK" w:eastAsia="方正仿宋_GBK" w:cs="方正仿宋_GBK"/>
          <w:b w:val="0"/>
          <w:kern w:val="0"/>
          <w:sz w:val="32"/>
          <w:szCs w:val="32"/>
          <w:lang w:val="en-US" w:eastAsia="zh-CN" w:bidi="ar"/>
        </w:rPr>
        <w:t>指单位结转下年的基本支出结转、项目支出结转和结余、经营结余。</w:t>
      </w:r>
    </w:p>
    <w:p>
      <w:pPr>
        <w:pStyle w:val="2"/>
        <w:keepNext w:val="0"/>
        <w:keepLines w:val="0"/>
        <w:pageBreakBefore w:val="0"/>
        <w:widowControl/>
        <w:shd w:val="clear" w:fill="FFFFFF"/>
        <w:kinsoku/>
        <w:wordWrap/>
        <w:overflowPunct/>
        <w:topLinePunct w:val="0"/>
        <w:autoSpaceDE/>
        <w:autoSpaceDN/>
        <w:bidi w:val="0"/>
        <w:adjustRightInd/>
        <w:snapToGrid w:val="0"/>
        <w:spacing w:beforeAutospacing="0" w:afterAutospacing="0" w:line="600" w:lineRule="exact"/>
        <w:ind w:firstLine="542" w:firstLineChars="200"/>
        <w:jc w:val="both"/>
        <w:textAlignment w:val="auto"/>
        <w:rPr>
          <w:rStyle w:val="7"/>
          <w:rFonts w:hint="eastAsia" w:ascii="方正仿宋_GBK" w:hAnsi="方正仿宋_GBK" w:eastAsia="方正仿宋_GBK" w:cs="方正仿宋_GBK"/>
          <w:b w:val="0"/>
          <w:kern w:val="0"/>
          <w:sz w:val="32"/>
          <w:szCs w:val="32"/>
          <w:lang w:val="en-US" w:eastAsia="zh-CN" w:bidi="ar"/>
        </w:rPr>
      </w:pPr>
      <w:r>
        <w:rPr>
          <w:rStyle w:val="5"/>
          <w:rFonts w:hint="eastAsia" w:ascii="宋体" w:hAnsi="宋体" w:eastAsia="宋体" w:cs="宋体"/>
          <w:sz w:val="27"/>
          <w:szCs w:val="27"/>
          <w:shd w:val="clear" w:fill="FFFFFF"/>
          <w:lang w:eastAsia="zh-CN"/>
        </w:rPr>
        <w:t>（九）基本支出</w:t>
      </w:r>
      <w:r>
        <w:rPr>
          <w:sz w:val="27"/>
          <w:szCs w:val="27"/>
          <w:shd w:val="clear" w:fill="FFFFFF"/>
          <w:lang w:eastAsia="zh-CN"/>
        </w:rPr>
        <w:t>：</w:t>
      </w:r>
      <w:r>
        <w:rPr>
          <w:rStyle w:val="7"/>
          <w:rFonts w:hint="eastAsia" w:ascii="方正仿宋_GBK" w:hAnsi="方正仿宋_GBK" w:eastAsia="方正仿宋_GBK" w:cs="方正仿宋_GBK"/>
          <w:b w:val="0"/>
          <w:kern w:val="0"/>
          <w:sz w:val="32"/>
          <w:szCs w:val="32"/>
          <w:lang w:val="en-US" w:eastAsia="zh-CN" w:bidi="ar"/>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2"/>
        <w:keepNext w:val="0"/>
        <w:keepLines w:val="0"/>
        <w:pageBreakBefore w:val="0"/>
        <w:widowControl/>
        <w:shd w:val="clear" w:fill="FFFFFF"/>
        <w:kinsoku/>
        <w:wordWrap/>
        <w:overflowPunct/>
        <w:topLinePunct w:val="0"/>
        <w:autoSpaceDE/>
        <w:autoSpaceDN/>
        <w:bidi w:val="0"/>
        <w:adjustRightInd/>
        <w:snapToGrid w:val="0"/>
        <w:spacing w:beforeAutospacing="0" w:afterAutospacing="0" w:line="600" w:lineRule="exact"/>
        <w:ind w:firstLine="542" w:firstLineChars="200"/>
        <w:textAlignment w:val="auto"/>
        <w:rPr>
          <w:rStyle w:val="7"/>
          <w:rFonts w:hint="eastAsia" w:ascii="方正仿宋_GBK" w:hAnsi="方正仿宋_GBK" w:eastAsia="方正仿宋_GBK" w:cs="方正仿宋_GBK"/>
          <w:b w:val="0"/>
          <w:kern w:val="0"/>
          <w:sz w:val="32"/>
          <w:szCs w:val="32"/>
          <w:lang w:val="en-US" w:eastAsia="zh-CN" w:bidi="ar"/>
        </w:rPr>
      </w:pPr>
      <w:r>
        <w:rPr>
          <w:rStyle w:val="5"/>
          <w:rFonts w:hint="eastAsia" w:ascii="宋体" w:hAnsi="宋体" w:eastAsia="宋体" w:cs="宋体"/>
          <w:sz w:val="27"/>
          <w:szCs w:val="27"/>
          <w:shd w:val="clear" w:fill="FFFFFF"/>
          <w:lang w:eastAsia="zh-CN"/>
        </w:rPr>
        <w:t>（十）项目支出</w:t>
      </w:r>
      <w:r>
        <w:rPr>
          <w:sz w:val="27"/>
          <w:szCs w:val="27"/>
          <w:shd w:val="clear" w:fill="FFFFFF"/>
          <w:lang w:eastAsia="zh-CN"/>
        </w:rPr>
        <w:t>：</w:t>
      </w:r>
      <w:r>
        <w:rPr>
          <w:rStyle w:val="7"/>
          <w:rFonts w:hint="eastAsia" w:ascii="方正仿宋_GBK" w:hAnsi="方正仿宋_GBK" w:eastAsia="方正仿宋_GBK" w:cs="方正仿宋_GBK"/>
          <w:b w:val="0"/>
          <w:kern w:val="0"/>
          <w:sz w:val="32"/>
          <w:szCs w:val="32"/>
          <w:lang w:val="en-US" w:eastAsia="zh-CN" w:bidi="ar"/>
        </w:rPr>
        <w:t>指在基本支出之外为完成特定行政任务和事业发展目标所发生的支出。</w:t>
      </w:r>
    </w:p>
    <w:p>
      <w:pPr>
        <w:pStyle w:val="2"/>
        <w:keepNext w:val="0"/>
        <w:keepLines w:val="0"/>
        <w:pageBreakBefore w:val="0"/>
        <w:widowControl/>
        <w:shd w:val="clear" w:fill="FFFFFF"/>
        <w:kinsoku/>
        <w:wordWrap/>
        <w:overflowPunct/>
        <w:topLinePunct w:val="0"/>
        <w:autoSpaceDE/>
        <w:autoSpaceDN/>
        <w:bidi w:val="0"/>
        <w:adjustRightInd/>
        <w:snapToGrid w:val="0"/>
        <w:spacing w:beforeAutospacing="0" w:afterAutospacing="0" w:line="600" w:lineRule="exact"/>
        <w:ind w:firstLine="542" w:firstLineChars="200"/>
        <w:textAlignment w:val="auto"/>
        <w:rPr>
          <w:rStyle w:val="7"/>
          <w:rFonts w:hint="eastAsia" w:ascii="方正仿宋_GBK" w:hAnsi="方正仿宋_GBK" w:eastAsia="方正仿宋_GBK" w:cs="方正仿宋_GBK"/>
          <w:b w:val="0"/>
          <w:kern w:val="0"/>
          <w:sz w:val="32"/>
          <w:szCs w:val="32"/>
          <w:lang w:val="en-US" w:eastAsia="zh-CN" w:bidi="ar"/>
        </w:rPr>
      </w:pPr>
      <w:r>
        <w:rPr>
          <w:rStyle w:val="5"/>
          <w:rFonts w:hint="eastAsia" w:ascii="宋体" w:hAnsi="宋体" w:eastAsia="宋体" w:cs="宋体"/>
          <w:sz w:val="27"/>
          <w:szCs w:val="27"/>
          <w:shd w:val="clear" w:fill="FFFFFF"/>
          <w:lang w:eastAsia="zh-CN"/>
        </w:rPr>
        <w:t>（十一）经营支出</w:t>
      </w:r>
      <w:r>
        <w:rPr>
          <w:sz w:val="27"/>
          <w:szCs w:val="27"/>
          <w:shd w:val="clear" w:fill="FFFFFF"/>
          <w:lang w:eastAsia="zh-CN"/>
        </w:rPr>
        <w:t>：</w:t>
      </w:r>
      <w:r>
        <w:rPr>
          <w:rStyle w:val="7"/>
          <w:rFonts w:hint="eastAsia" w:ascii="方正仿宋_GBK" w:hAnsi="方正仿宋_GBK" w:eastAsia="方正仿宋_GBK" w:cs="方正仿宋_GBK"/>
          <w:b w:val="0"/>
          <w:kern w:val="0"/>
          <w:sz w:val="32"/>
          <w:szCs w:val="32"/>
          <w:lang w:val="en-US" w:eastAsia="zh-CN" w:bidi="ar"/>
        </w:rPr>
        <w:t>指事业单位在专业业务活动及其辅助活动之外开展非独立核算经营活动发生的支出。</w:t>
      </w:r>
    </w:p>
    <w:p>
      <w:pPr>
        <w:pStyle w:val="2"/>
        <w:keepNext w:val="0"/>
        <w:keepLines w:val="0"/>
        <w:pageBreakBefore w:val="0"/>
        <w:widowControl/>
        <w:shd w:val="clear" w:fill="FFFFFF"/>
        <w:kinsoku/>
        <w:wordWrap/>
        <w:overflowPunct/>
        <w:topLinePunct w:val="0"/>
        <w:autoSpaceDE/>
        <w:autoSpaceDN/>
        <w:bidi w:val="0"/>
        <w:adjustRightInd/>
        <w:snapToGrid w:val="0"/>
        <w:spacing w:beforeAutospacing="0" w:afterAutospacing="0" w:line="540" w:lineRule="exact"/>
        <w:ind w:firstLine="542" w:firstLineChars="200"/>
        <w:jc w:val="both"/>
        <w:textAlignment w:val="auto"/>
        <w:rPr>
          <w:rStyle w:val="7"/>
          <w:rFonts w:hint="eastAsia" w:ascii="方正仿宋_GBK" w:hAnsi="方正仿宋_GBK" w:eastAsia="方正仿宋_GBK" w:cs="方正仿宋_GBK"/>
          <w:b w:val="0"/>
          <w:kern w:val="0"/>
          <w:sz w:val="32"/>
          <w:szCs w:val="32"/>
          <w:lang w:val="en-US" w:eastAsia="zh-CN" w:bidi="ar"/>
        </w:rPr>
      </w:pPr>
      <w:r>
        <w:rPr>
          <w:rStyle w:val="5"/>
          <w:rFonts w:hint="eastAsia" w:ascii="宋体" w:hAnsi="宋体" w:eastAsia="宋体" w:cs="宋体"/>
          <w:sz w:val="27"/>
          <w:szCs w:val="27"/>
          <w:shd w:val="clear" w:fill="FFFFFF"/>
          <w:lang w:eastAsia="zh-CN"/>
        </w:rPr>
        <w:t>（十二）</w:t>
      </w:r>
      <w:r>
        <w:rPr>
          <w:rStyle w:val="5"/>
          <w:rFonts w:hint="eastAsia" w:ascii="宋体" w:hAnsi="宋体" w:eastAsia="宋体" w:cs="宋体"/>
          <w:sz w:val="27"/>
          <w:szCs w:val="27"/>
          <w:shd w:val="clear" w:fill="FFFFFF"/>
          <w:lang w:val="en-US"/>
        </w:rPr>
        <w:t>“</w:t>
      </w:r>
      <w:r>
        <w:rPr>
          <w:rStyle w:val="5"/>
          <w:rFonts w:hint="eastAsia" w:ascii="宋体" w:hAnsi="宋体" w:eastAsia="宋体" w:cs="宋体"/>
          <w:sz w:val="27"/>
          <w:szCs w:val="27"/>
          <w:shd w:val="clear" w:fill="FFFFFF"/>
          <w:lang w:eastAsia="zh-CN"/>
        </w:rPr>
        <w:t>三公</w:t>
      </w:r>
      <w:r>
        <w:rPr>
          <w:rStyle w:val="5"/>
          <w:rFonts w:hint="eastAsia" w:ascii="宋体" w:hAnsi="宋体" w:eastAsia="宋体" w:cs="宋体"/>
          <w:sz w:val="27"/>
          <w:szCs w:val="27"/>
          <w:shd w:val="clear" w:fill="FFFFFF"/>
          <w:lang w:val="en-US"/>
        </w:rPr>
        <w:t>”</w:t>
      </w:r>
      <w:r>
        <w:rPr>
          <w:rStyle w:val="5"/>
          <w:rFonts w:hint="eastAsia" w:ascii="宋体" w:hAnsi="宋体" w:eastAsia="宋体" w:cs="宋体"/>
          <w:sz w:val="27"/>
          <w:szCs w:val="27"/>
          <w:shd w:val="clear" w:fill="FFFFFF"/>
          <w:lang w:eastAsia="zh-CN"/>
        </w:rPr>
        <w:t>经费</w:t>
      </w:r>
      <w:r>
        <w:rPr>
          <w:sz w:val="27"/>
          <w:szCs w:val="27"/>
          <w:shd w:val="clear" w:fill="FFFFFF"/>
          <w:lang w:eastAsia="zh-CN"/>
        </w:rPr>
        <w:t>：</w:t>
      </w:r>
      <w:r>
        <w:rPr>
          <w:rStyle w:val="7"/>
          <w:rFonts w:hint="eastAsia" w:ascii="方正仿宋_GBK" w:hAnsi="方正仿宋_GBK" w:eastAsia="方正仿宋_GBK" w:cs="方正仿宋_GBK"/>
          <w:b w:val="0"/>
          <w:kern w:val="0"/>
          <w:sz w:val="32"/>
          <w:szCs w:val="32"/>
          <w:lang w:val="en-US" w:eastAsia="zh-CN" w:bidi="ar"/>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pageBreakBefore w:val="0"/>
        <w:widowControl/>
        <w:shd w:val="clear" w:fill="FFFFFF"/>
        <w:kinsoku/>
        <w:wordWrap/>
        <w:overflowPunct/>
        <w:topLinePunct w:val="0"/>
        <w:autoSpaceDE/>
        <w:autoSpaceDN/>
        <w:bidi w:val="0"/>
        <w:adjustRightInd/>
        <w:snapToGrid w:val="0"/>
        <w:spacing w:beforeAutospacing="0" w:afterAutospacing="0" w:line="540" w:lineRule="exact"/>
        <w:ind w:firstLine="542" w:firstLineChars="200"/>
        <w:jc w:val="both"/>
        <w:textAlignment w:val="auto"/>
        <w:rPr>
          <w:rStyle w:val="7"/>
          <w:rFonts w:hint="eastAsia" w:ascii="方正仿宋_GBK" w:hAnsi="方正仿宋_GBK" w:eastAsia="方正仿宋_GBK" w:cs="方正仿宋_GBK"/>
          <w:b w:val="0"/>
          <w:kern w:val="0"/>
          <w:sz w:val="32"/>
          <w:szCs w:val="32"/>
          <w:lang w:val="en-US" w:eastAsia="zh-CN" w:bidi="ar"/>
        </w:rPr>
      </w:pPr>
      <w:r>
        <w:rPr>
          <w:rStyle w:val="5"/>
          <w:rFonts w:hint="eastAsia" w:ascii="宋体" w:hAnsi="宋体" w:eastAsia="宋体" w:cs="宋体"/>
          <w:sz w:val="27"/>
          <w:szCs w:val="27"/>
          <w:shd w:val="clear" w:fill="FFFFFF"/>
          <w:lang w:eastAsia="zh-CN"/>
        </w:rPr>
        <w:t>（十三）机关运行经费</w:t>
      </w:r>
      <w:r>
        <w:rPr>
          <w:sz w:val="27"/>
          <w:szCs w:val="27"/>
          <w:shd w:val="clear" w:fill="FFFFFF"/>
          <w:lang w:eastAsia="zh-CN"/>
        </w:rPr>
        <w:t>：</w:t>
      </w:r>
      <w:r>
        <w:rPr>
          <w:rStyle w:val="7"/>
          <w:rFonts w:hint="eastAsia" w:ascii="方正仿宋_GBK" w:hAnsi="方正仿宋_GBK" w:eastAsia="方正仿宋_GBK" w:cs="方正仿宋_GBK"/>
          <w:b w:val="0"/>
          <w:kern w:val="0"/>
          <w:sz w:val="32"/>
          <w:szCs w:val="32"/>
          <w:lang w:val="en-US" w:eastAsia="zh-CN" w:bidi="ar"/>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2"/>
        <w:keepNext w:val="0"/>
        <w:keepLines w:val="0"/>
        <w:pageBreakBefore w:val="0"/>
        <w:widowControl/>
        <w:shd w:val="clear" w:fill="FFFFFF"/>
        <w:kinsoku/>
        <w:wordWrap/>
        <w:overflowPunct/>
        <w:topLinePunct w:val="0"/>
        <w:autoSpaceDE/>
        <w:autoSpaceDN/>
        <w:bidi w:val="0"/>
        <w:adjustRightInd/>
        <w:snapToGrid w:val="0"/>
        <w:spacing w:beforeAutospacing="0" w:afterAutospacing="0" w:line="540" w:lineRule="exact"/>
        <w:ind w:firstLine="542" w:firstLineChars="200"/>
        <w:jc w:val="both"/>
        <w:textAlignment w:val="auto"/>
        <w:rPr>
          <w:rStyle w:val="7"/>
          <w:rFonts w:hint="eastAsia" w:ascii="方正仿宋_GBK" w:hAnsi="方正仿宋_GBK" w:eastAsia="方正仿宋_GBK" w:cs="方正仿宋_GBK"/>
          <w:b w:val="0"/>
          <w:kern w:val="0"/>
          <w:sz w:val="32"/>
          <w:szCs w:val="32"/>
          <w:lang w:val="en-US" w:eastAsia="zh-CN" w:bidi="ar"/>
        </w:rPr>
      </w:pPr>
      <w:r>
        <w:rPr>
          <w:rStyle w:val="5"/>
          <w:rFonts w:hint="eastAsia" w:ascii="宋体" w:hAnsi="宋体" w:eastAsia="宋体" w:cs="宋体"/>
          <w:sz w:val="27"/>
          <w:szCs w:val="27"/>
          <w:shd w:val="clear" w:fill="FFFFFF"/>
          <w:lang w:eastAsia="zh-CN"/>
        </w:rPr>
        <w:t>（十四）工资福利支出（支出经济分类科目类级）</w:t>
      </w:r>
      <w:r>
        <w:rPr>
          <w:sz w:val="27"/>
          <w:szCs w:val="27"/>
          <w:shd w:val="clear" w:fill="FFFFFF"/>
          <w:lang w:eastAsia="zh-CN"/>
        </w:rPr>
        <w:t>：</w:t>
      </w:r>
      <w:r>
        <w:rPr>
          <w:rStyle w:val="7"/>
          <w:rFonts w:hint="eastAsia" w:ascii="方正仿宋_GBK" w:hAnsi="方正仿宋_GBK" w:eastAsia="方正仿宋_GBK" w:cs="方正仿宋_GBK"/>
          <w:b w:val="0"/>
          <w:kern w:val="0"/>
          <w:sz w:val="32"/>
          <w:szCs w:val="32"/>
          <w:lang w:val="en-US" w:eastAsia="zh-CN" w:bidi="ar"/>
        </w:rPr>
        <w:t>反映单位开支的在职职工和编制外长期聘用人员的各类劳动报酬，以及为上述人员缴纳的各项社会保险费等。</w:t>
      </w:r>
    </w:p>
    <w:p>
      <w:pPr>
        <w:pStyle w:val="2"/>
        <w:keepNext w:val="0"/>
        <w:keepLines w:val="0"/>
        <w:pageBreakBefore w:val="0"/>
        <w:widowControl/>
        <w:shd w:val="clear" w:fill="FFFFFF"/>
        <w:kinsoku/>
        <w:wordWrap/>
        <w:overflowPunct/>
        <w:topLinePunct w:val="0"/>
        <w:autoSpaceDE/>
        <w:autoSpaceDN/>
        <w:bidi w:val="0"/>
        <w:adjustRightInd/>
        <w:snapToGrid w:val="0"/>
        <w:spacing w:beforeAutospacing="0" w:afterAutospacing="0" w:line="540" w:lineRule="exact"/>
        <w:ind w:firstLine="542" w:firstLineChars="200"/>
        <w:jc w:val="both"/>
        <w:textAlignment w:val="auto"/>
        <w:rPr>
          <w:rStyle w:val="7"/>
          <w:rFonts w:hint="eastAsia" w:ascii="方正仿宋_GBK" w:hAnsi="方正仿宋_GBK" w:eastAsia="方正仿宋_GBK" w:cs="方正仿宋_GBK"/>
          <w:b w:val="0"/>
          <w:kern w:val="0"/>
          <w:sz w:val="32"/>
          <w:szCs w:val="32"/>
          <w:lang w:val="en-US" w:eastAsia="zh-CN" w:bidi="ar"/>
        </w:rPr>
      </w:pPr>
      <w:r>
        <w:rPr>
          <w:rStyle w:val="5"/>
          <w:rFonts w:hint="eastAsia" w:ascii="宋体" w:hAnsi="宋体" w:eastAsia="宋体" w:cs="宋体"/>
          <w:sz w:val="27"/>
          <w:szCs w:val="27"/>
          <w:shd w:val="clear" w:fill="FFFFFF"/>
          <w:lang w:eastAsia="zh-CN"/>
        </w:rPr>
        <w:t>（十五）商品和服务支出（支出经济分类科目类级）</w:t>
      </w:r>
      <w:r>
        <w:rPr>
          <w:sz w:val="27"/>
          <w:szCs w:val="27"/>
          <w:shd w:val="clear" w:fill="FFFFFF"/>
          <w:lang w:eastAsia="zh-CN"/>
        </w:rPr>
        <w:t>：</w:t>
      </w:r>
      <w:r>
        <w:rPr>
          <w:rStyle w:val="7"/>
          <w:rFonts w:hint="eastAsia" w:ascii="方正仿宋_GBK" w:hAnsi="方正仿宋_GBK" w:eastAsia="方正仿宋_GBK" w:cs="方正仿宋_GBK"/>
          <w:b w:val="0"/>
          <w:kern w:val="0"/>
          <w:sz w:val="32"/>
          <w:szCs w:val="32"/>
          <w:lang w:val="en-US" w:eastAsia="zh-CN" w:bidi="ar"/>
        </w:rPr>
        <w:t>反映单位购买商品和服务的支出（不包括用于购置固定资产的支出、战略性和应急储备支出）。</w:t>
      </w:r>
    </w:p>
    <w:p>
      <w:pPr>
        <w:pStyle w:val="2"/>
        <w:keepNext w:val="0"/>
        <w:keepLines w:val="0"/>
        <w:pageBreakBefore w:val="0"/>
        <w:widowControl/>
        <w:shd w:val="clear" w:fill="FFFFFF"/>
        <w:kinsoku/>
        <w:wordWrap/>
        <w:overflowPunct/>
        <w:topLinePunct w:val="0"/>
        <w:autoSpaceDE/>
        <w:autoSpaceDN/>
        <w:bidi w:val="0"/>
        <w:adjustRightInd/>
        <w:snapToGrid w:val="0"/>
        <w:spacing w:beforeAutospacing="0" w:afterAutospacing="0" w:line="540" w:lineRule="exact"/>
        <w:ind w:firstLine="542" w:firstLineChars="200"/>
        <w:textAlignment w:val="auto"/>
        <w:rPr>
          <w:rStyle w:val="7"/>
          <w:rFonts w:hint="eastAsia" w:ascii="方正仿宋_GBK" w:hAnsi="方正仿宋_GBK" w:eastAsia="方正仿宋_GBK" w:cs="方正仿宋_GBK"/>
          <w:b w:val="0"/>
          <w:kern w:val="0"/>
          <w:sz w:val="32"/>
          <w:szCs w:val="32"/>
          <w:lang w:val="en-US" w:eastAsia="zh-CN" w:bidi="ar"/>
        </w:rPr>
      </w:pPr>
      <w:r>
        <w:rPr>
          <w:rStyle w:val="5"/>
          <w:rFonts w:hint="eastAsia" w:ascii="宋体" w:hAnsi="宋体" w:eastAsia="宋体" w:cs="宋体"/>
          <w:sz w:val="27"/>
          <w:szCs w:val="27"/>
          <w:shd w:val="clear" w:fill="FFFFFF"/>
          <w:lang w:eastAsia="zh-CN"/>
        </w:rPr>
        <w:t>（十六）对个人和家庭的补助（支出经济分类科目类级）</w:t>
      </w:r>
      <w:r>
        <w:rPr>
          <w:sz w:val="27"/>
          <w:szCs w:val="27"/>
          <w:shd w:val="clear" w:fill="FFFFFF"/>
          <w:lang w:eastAsia="zh-CN"/>
        </w:rPr>
        <w:t>：</w:t>
      </w:r>
      <w:r>
        <w:rPr>
          <w:rStyle w:val="7"/>
          <w:rFonts w:hint="eastAsia" w:ascii="方正仿宋_GBK" w:hAnsi="方正仿宋_GBK" w:eastAsia="方正仿宋_GBK" w:cs="方正仿宋_GBK"/>
          <w:b w:val="0"/>
          <w:kern w:val="0"/>
          <w:sz w:val="32"/>
          <w:szCs w:val="32"/>
          <w:lang w:val="en-US" w:eastAsia="zh-CN" w:bidi="ar"/>
        </w:rPr>
        <w:t>反映用于对个人和家庭的补助支出。</w:t>
      </w:r>
    </w:p>
    <w:p>
      <w:pPr>
        <w:pStyle w:val="2"/>
        <w:keepNext w:val="0"/>
        <w:keepLines w:val="0"/>
        <w:pageBreakBefore w:val="0"/>
        <w:widowControl/>
        <w:shd w:val="clear" w:fill="FFFFFF"/>
        <w:kinsoku/>
        <w:wordWrap/>
        <w:overflowPunct/>
        <w:topLinePunct w:val="0"/>
        <w:autoSpaceDE/>
        <w:autoSpaceDN/>
        <w:bidi w:val="0"/>
        <w:adjustRightInd/>
        <w:snapToGrid w:val="0"/>
        <w:spacing w:beforeAutospacing="0" w:afterAutospacing="0" w:line="540" w:lineRule="exact"/>
        <w:ind w:firstLine="542" w:firstLineChars="200"/>
        <w:jc w:val="both"/>
        <w:textAlignment w:val="auto"/>
        <w:rPr>
          <w:rStyle w:val="7"/>
          <w:rFonts w:hint="eastAsia" w:ascii="方正仿宋_GBK" w:hAnsi="方正仿宋_GBK" w:eastAsia="方正仿宋_GBK" w:cs="方正仿宋_GBK"/>
          <w:b w:val="0"/>
          <w:kern w:val="0"/>
          <w:sz w:val="32"/>
          <w:szCs w:val="32"/>
          <w:lang w:val="en-US" w:eastAsia="zh-CN" w:bidi="ar"/>
        </w:rPr>
      </w:pPr>
      <w:r>
        <w:rPr>
          <w:rStyle w:val="5"/>
          <w:rFonts w:hint="eastAsia" w:ascii="宋体" w:hAnsi="宋体" w:eastAsia="宋体" w:cs="宋体"/>
          <w:sz w:val="27"/>
          <w:szCs w:val="27"/>
          <w:shd w:val="clear" w:fill="FFFFFF"/>
          <w:lang w:eastAsia="zh-CN"/>
        </w:rPr>
        <w:t>（十七）其他资本性支出（支出经济分类科目类级）</w:t>
      </w:r>
      <w:r>
        <w:rPr>
          <w:sz w:val="27"/>
          <w:szCs w:val="27"/>
          <w:shd w:val="clear" w:fill="FFFFFF"/>
          <w:lang w:eastAsia="zh-CN"/>
        </w:rPr>
        <w:t>：</w:t>
      </w:r>
      <w:r>
        <w:rPr>
          <w:rStyle w:val="7"/>
          <w:rFonts w:hint="eastAsia" w:ascii="方正仿宋_GBK" w:hAnsi="方正仿宋_GBK" w:eastAsia="方正仿宋_GBK" w:cs="方正仿宋_GBK"/>
          <w:b w:val="0"/>
          <w:kern w:val="0"/>
          <w:sz w:val="32"/>
          <w:szCs w:val="32"/>
          <w:lang w:val="en-US" w:eastAsia="zh-CN" w:bidi="ar"/>
        </w:rPr>
        <w:t>反映非各级发展与改革部门集中安排的用于购置固定资产、战略性和应急性储备、土地和无形资产，以及构建基础设施、大型修缮和财政支持企业更新改造所发生的支出。</w:t>
      </w:r>
    </w:p>
    <w:p>
      <w:pPr>
        <w:pStyle w:val="2"/>
        <w:keepNext w:val="0"/>
        <w:keepLines w:val="0"/>
        <w:pageBreakBefore w:val="0"/>
        <w:widowControl/>
        <w:shd w:val="clear" w:fill="FFFFFF"/>
        <w:kinsoku/>
        <w:wordWrap/>
        <w:overflowPunct/>
        <w:topLinePunct w:val="0"/>
        <w:autoSpaceDE/>
        <w:autoSpaceDN/>
        <w:bidi w:val="0"/>
        <w:adjustRightInd/>
        <w:snapToGrid w:val="0"/>
        <w:spacing w:beforeAutospacing="0" w:afterAutospacing="0" w:line="540" w:lineRule="exact"/>
        <w:textAlignment w:val="auto"/>
        <w:rPr>
          <w:rStyle w:val="5"/>
          <w:rFonts w:hint="eastAsia" w:ascii="方正黑体_GBK" w:hAnsi="方正黑体_GBK" w:eastAsia="方正黑体_GBK" w:cs="方正黑体_GBK"/>
          <w:sz w:val="32"/>
          <w:szCs w:val="32"/>
          <w:shd w:val="clear" w:fill="FFFFFF"/>
          <w:lang w:val="en-US" w:eastAsia="zh-CN"/>
        </w:rPr>
      </w:pPr>
      <w:r>
        <w:rPr>
          <w:rStyle w:val="5"/>
          <w:rFonts w:hint="eastAsia" w:ascii="方正黑体_GBK" w:hAnsi="方正黑体_GBK" w:eastAsia="方正黑体_GBK" w:cs="方正黑体_GBK"/>
          <w:sz w:val="32"/>
          <w:szCs w:val="32"/>
          <w:shd w:val="clear" w:fill="FFFFFF"/>
          <w:lang w:val="en-US" w:eastAsia="zh-CN"/>
        </w:rPr>
        <w:t>七、决算公开联系方式及信息反馈渠道</w:t>
      </w:r>
    </w:p>
    <w:p>
      <w:pPr>
        <w:pStyle w:val="2"/>
        <w:keepNext w:val="0"/>
        <w:keepLines w:val="0"/>
        <w:pageBreakBefore w:val="0"/>
        <w:widowControl/>
        <w:shd w:val="clear" w:fill="FFFFFF"/>
        <w:kinsoku/>
        <w:wordWrap/>
        <w:overflowPunct/>
        <w:topLinePunct w:val="0"/>
        <w:autoSpaceDE/>
        <w:autoSpaceDN/>
        <w:bidi w:val="0"/>
        <w:adjustRightInd/>
        <w:snapToGrid w:val="0"/>
        <w:spacing w:beforeAutospacing="0" w:afterAutospacing="0" w:line="540" w:lineRule="exact"/>
        <w:textAlignment w:val="auto"/>
      </w:pPr>
      <w:r>
        <w:rPr>
          <w:sz w:val="27"/>
          <w:szCs w:val="27"/>
          <w:shd w:val="clear" w:fill="FFFFFF"/>
          <w:lang w:val="en-US"/>
        </w:rPr>
        <w:t xml:space="preserve">  </w:t>
      </w:r>
      <w:r>
        <w:rPr>
          <w:rFonts w:hint="eastAsia" w:ascii="Times New Roman" w:hAnsi="Times New Roman" w:eastAsia="方正仿宋_GBK" w:cs="宋体"/>
          <w:color w:val="000000"/>
          <w:kern w:val="0"/>
          <w:sz w:val="32"/>
          <w:szCs w:val="32"/>
          <w:lang w:eastAsia="zh-CN"/>
        </w:rPr>
        <w:t>本单位决算公开信息反馈和联系方式：</w:t>
      </w:r>
      <w:r>
        <w:rPr>
          <w:rFonts w:hint="eastAsia" w:ascii="Times New Roman" w:hAnsi="Times New Roman" w:eastAsia="方正仿宋_GBK" w:cs="宋体"/>
          <w:color w:val="000000"/>
          <w:kern w:val="0"/>
          <w:sz w:val="32"/>
          <w:szCs w:val="32"/>
          <w:lang w:val="en-US" w:eastAsia="zh-CN"/>
        </w:rPr>
        <w:t>梁静023-58520179</w:t>
      </w:r>
      <w:r>
        <w:rPr>
          <w:rFonts w:hint="eastAsia" w:ascii="Times New Roman" w:hAnsi="Times New Roman" w:eastAsia="方正仿宋_GBK" w:cs="宋体"/>
          <w:color w:val="000000"/>
          <w:kern w:val="0"/>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hMGRlOWMxMjdlYmFlYTZmYTM1ZTcyYzE2MjdiYzQifQ=="/>
  </w:docVars>
  <w:rsids>
    <w:rsidRoot w:val="65350C83"/>
    <w:rsid w:val="02276973"/>
    <w:rsid w:val="031034A5"/>
    <w:rsid w:val="04284796"/>
    <w:rsid w:val="08B6244F"/>
    <w:rsid w:val="0F8C6CB2"/>
    <w:rsid w:val="12621BBB"/>
    <w:rsid w:val="148A193E"/>
    <w:rsid w:val="17E10E0A"/>
    <w:rsid w:val="181A3FA0"/>
    <w:rsid w:val="1C0A3439"/>
    <w:rsid w:val="23A05D42"/>
    <w:rsid w:val="23BC3FAF"/>
    <w:rsid w:val="25A00CF6"/>
    <w:rsid w:val="27EE3FA1"/>
    <w:rsid w:val="28963606"/>
    <w:rsid w:val="291A084D"/>
    <w:rsid w:val="292D69B8"/>
    <w:rsid w:val="2D496979"/>
    <w:rsid w:val="2F5D116C"/>
    <w:rsid w:val="2F7031A1"/>
    <w:rsid w:val="3502037B"/>
    <w:rsid w:val="3DBB3489"/>
    <w:rsid w:val="3DFB3B27"/>
    <w:rsid w:val="3F6525B0"/>
    <w:rsid w:val="434270B8"/>
    <w:rsid w:val="43ED256C"/>
    <w:rsid w:val="46B74672"/>
    <w:rsid w:val="46BB4695"/>
    <w:rsid w:val="47B23E78"/>
    <w:rsid w:val="499D4E1E"/>
    <w:rsid w:val="49C12A19"/>
    <w:rsid w:val="4E8051CD"/>
    <w:rsid w:val="516F259E"/>
    <w:rsid w:val="51D405FD"/>
    <w:rsid w:val="53442AD8"/>
    <w:rsid w:val="53E563B8"/>
    <w:rsid w:val="54221C3D"/>
    <w:rsid w:val="55061289"/>
    <w:rsid w:val="57EC47DB"/>
    <w:rsid w:val="585E74F2"/>
    <w:rsid w:val="593A6404"/>
    <w:rsid w:val="59B406AB"/>
    <w:rsid w:val="65350C83"/>
    <w:rsid w:val="656971DE"/>
    <w:rsid w:val="68F6221F"/>
    <w:rsid w:val="6A827C3E"/>
    <w:rsid w:val="71A22FE8"/>
    <w:rsid w:val="73DB6FD3"/>
    <w:rsid w:val="75141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styleId="5">
    <w:name w:val="Strong"/>
    <w:basedOn w:val="4"/>
    <w:qFormat/>
    <w:uiPriority w:val="0"/>
    <w:rPr>
      <w:b/>
    </w:rPr>
  </w:style>
  <w:style w:type="paragraph" w:customStyle="1" w:styleId="6">
    <w:name w:val="普通(网站) Char"/>
    <w:qFormat/>
    <w:uiPriority w:val="0"/>
    <w:pPr>
      <w:spacing w:before="100" w:beforeAutospacing="1" w:after="100" w:afterAutospacing="1"/>
      <w:ind w:left="0" w:right="0"/>
      <w:jc w:val="left"/>
    </w:pPr>
    <w:rPr>
      <w:rFonts w:hint="eastAsia" w:ascii="宋体" w:hAnsi="宋体" w:eastAsia="宋体" w:cs="宋体"/>
      <w:kern w:val="0"/>
      <w:sz w:val="24"/>
      <w:szCs w:val="24"/>
      <w:lang w:val="en-US" w:eastAsia="zh-CN" w:bidi="ar"/>
    </w:rPr>
  </w:style>
  <w:style w:type="character" w:customStyle="1" w:styleId="7">
    <w:name w:val="17"/>
    <w:qFormat/>
    <w:uiPriority w:val="0"/>
    <w:rPr>
      <w:rFonts w:hint="default" w:ascii="Times New Roman" w:hAnsi="Times New Roman" w:cs="Times New Roman"/>
      <w:b/>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5670</Words>
  <Characters>6274</Characters>
  <Lines>0</Lines>
  <Paragraphs>0</Paragraphs>
  <TotalTime>5</TotalTime>
  <ScaleCrop>false</ScaleCrop>
  <LinksUpToDate>false</LinksUpToDate>
  <CharactersWithSpaces>6356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2022-10-18T07:28:00Z</dcterms:created>
  <dc:creator>Administrator</dc:creator>
  <cp:lastModifiedBy>Administrator</cp:lastModifiedBy>
  <cp:lastPrinted>2022-10-20T05:05:00Z</cp:lastPrinted>
  <dcterms:modified xsi:type="dcterms:W3CDTF">2022-10-25T02:07:02Z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60A5DB7637B94FE289FC4DDCCEF6244A</vt:lpwstr>
  </property>
</Properties>
</file>