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fill="FFFFFF"/>
        <w:kinsoku/>
        <w:wordWrap/>
        <w:overflowPunct/>
        <w:topLinePunct w:val="0"/>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fill="FFFFFF"/>
          <w:lang w:eastAsia="zh-CN"/>
        </w:rPr>
        <w:t>重庆市万州区信访办公室</w:t>
      </w:r>
    </w:p>
    <w:p>
      <w:pPr>
        <w:pStyle w:val="2"/>
        <w:keepNext w:val="0"/>
        <w:keepLines w:val="0"/>
        <w:pageBreakBefore w:val="0"/>
        <w:widowControl/>
        <w:shd w:val="clear" w:fill="FFFFFF"/>
        <w:kinsoku/>
        <w:wordWrap/>
        <w:overflowPunct/>
        <w:topLinePunct w:val="0"/>
        <w:autoSpaceDN/>
        <w:bidi w:val="0"/>
        <w:adjustRightInd/>
        <w:snapToGrid w:val="0"/>
        <w:spacing w:line="540" w:lineRule="exact"/>
        <w:jc w:val="center"/>
        <w:textAlignment w:val="auto"/>
      </w:pPr>
      <w:r>
        <w:rPr>
          <w:rFonts w:hint="eastAsia" w:ascii="方正小标宋_GBK" w:hAnsi="方正小标宋_GBK" w:eastAsia="方正小标宋_GBK" w:cs="方正小标宋_GBK"/>
          <w:sz w:val="44"/>
          <w:szCs w:val="44"/>
          <w:shd w:val="clear" w:fill="FFFFFF"/>
          <w:lang w:val="en-US"/>
        </w:rPr>
        <w:t>2021</w:t>
      </w:r>
      <w:r>
        <w:rPr>
          <w:rFonts w:hint="eastAsia" w:ascii="方正小标宋_GBK" w:hAnsi="方正小标宋_GBK" w:eastAsia="方正小标宋_GBK" w:cs="方正小标宋_GBK"/>
          <w:sz w:val="44"/>
          <w:szCs w:val="44"/>
          <w:shd w:val="clear" w:fill="FFFFFF"/>
          <w:lang w:eastAsia="zh-CN"/>
        </w:rPr>
        <w:t>年度部门决算情况说明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方正黑体_GBK" w:hAnsi="方正黑体_GBK" w:eastAsia="方正黑体_GBK" w:cs="方正黑体_GBK"/>
          <w:sz w:val="32"/>
          <w:szCs w:val="32"/>
          <w:shd w:val="clear" w:fill="FFFFFF"/>
          <w:lang w:val="en-US"/>
        </w:rPr>
        <w:t xml:space="preserve">  </w:t>
      </w:r>
      <w:r>
        <w:rPr>
          <w:rStyle w:val="5"/>
          <w:rFonts w:hint="eastAsia" w:ascii="方正黑体_GBK" w:hAnsi="方正黑体_GBK" w:eastAsia="方正黑体_GBK" w:cs="方正黑体_GBK"/>
          <w:sz w:val="32"/>
          <w:szCs w:val="32"/>
          <w:shd w:val="clear" w:fill="FFFFFF"/>
          <w:lang w:val="en-US" w:eastAsia="zh-CN"/>
        </w:rPr>
        <w:t>一、部门基本情况</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5"/>
          <w:rFonts w:hint="eastAsia" w:ascii="宋体" w:hAnsi="宋体" w:eastAsia="宋体" w:cs="宋体"/>
          <w:sz w:val="27"/>
          <w:szCs w:val="27"/>
          <w:shd w:val="clear" w:fill="FFFFFF"/>
          <w:lang w:eastAsia="zh-CN"/>
        </w:rPr>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eastAsia="zh-CN"/>
        </w:rPr>
        <w:t>（一）职能职责</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0" w:firstLineChars="200"/>
        <w:textAlignment w:val="auto"/>
        <w:rPr>
          <w:rStyle w:val="7"/>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1.对全区的信访工作实施宏观指导，研究信访工作相关政策和法律、法规并提出贯彻实施意见；总结推广信访工作经验；推进依法信访，确保信访渠道畅通；综合分析全区信访工作动态；向区委、区政府和上级信访部门报送信访信息。</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left"/>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2.负责受理、交办、转送群众给区委、区政府的信访事项；对跨地区、跨部门、跨行业的信访事项牵头协调和督查督办。</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firstLine="646"/>
        <w:jc w:val="both"/>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3.牵头协调处理重要信访事项、重大决策事项社会稳定风险评估、矛盾纠纷排查化解等。调查、分析、研究信访情况，及时向区委、区政府提出建议。</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firstLine="646"/>
        <w:jc w:val="both"/>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4.协调、指导和监督本地区的信访工作，督查督办区委、区政府各部门和镇乡街道贯彻执行信访法规、落实信访稳定工作、处理信访事项、执行信访事项处理意见的情况，提出改进工作、完善政策和给予处分的建议。</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firstLine="646"/>
        <w:jc w:val="both"/>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5.负责对镇乡街道和区级各部门处理不服的信访事项组织复查复核；组织落实上级党政机关对群众信访事项的复查复核意见；对涉法的信访事项引导群众依法求决。</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firstLine="646"/>
        <w:jc w:val="both"/>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6.负责接待到区委、区政府机关的上访群众，落实集体上访、突发事件处理意见；定期排查本区社会热点和不稳定因素；及时调处人民内部矛盾。</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firstLine="646"/>
        <w:jc w:val="both"/>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7.组织开展领导干部下访群众工作，协调社会各方面参与群众工作；负责收集、征集并督促相关部门和单位采纳人民群众合理化建议。</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firstLine="646"/>
        <w:jc w:val="both"/>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8.组织实施信访办公自动化建设；建立并管理全区信访信息网络系统；加强信访信息系统建设管理工作。对信访干部开展业务培训。</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firstLine="646"/>
        <w:jc w:val="both"/>
        <w:textAlignment w:val="auto"/>
        <w:rPr>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9.完成区委、区政府交办的其它任务。</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left"/>
        <w:textAlignment w:val="auto"/>
        <w:rPr>
          <w:rStyle w:val="5"/>
          <w:rFonts w:hint="eastAsia" w:ascii="宋体" w:hAnsi="宋体" w:eastAsia="宋体" w:cs="宋体"/>
          <w:sz w:val="33"/>
          <w:szCs w:val="33"/>
          <w:shd w:val="clear" w:fill="FFFFFF"/>
          <w:lang w:eastAsia="zh-CN"/>
        </w:rPr>
      </w:pPr>
      <w:r>
        <w:rPr>
          <w:rStyle w:val="5"/>
          <w:rFonts w:hint="eastAsia" w:ascii="宋体" w:hAnsi="宋体" w:eastAsia="宋体" w:cs="宋体"/>
          <w:sz w:val="33"/>
          <w:szCs w:val="33"/>
          <w:shd w:val="clear" w:fill="FFFFFF"/>
          <w:lang w:val="en-US" w:eastAsia="zh-CN"/>
        </w:rPr>
        <w:t> </w:t>
      </w:r>
      <w:r>
        <w:rPr>
          <w:rStyle w:val="5"/>
          <w:rFonts w:hint="eastAsia" w:ascii="宋体" w:hAnsi="宋体" w:eastAsia="宋体" w:cs="宋体"/>
          <w:sz w:val="27"/>
          <w:szCs w:val="27"/>
          <w:shd w:val="clear" w:fill="FFFFFF"/>
          <w:lang w:val="en-US" w:eastAsia="zh-CN"/>
        </w:rPr>
        <w:t xml:space="preserve"> </w:t>
      </w:r>
      <w:r>
        <w:rPr>
          <w:rStyle w:val="5"/>
          <w:rFonts w:hint="eastAsia" w:ascii="方正楷体_GBK" w:hAnsi="方正楷体_GBK" w:eastAsia="方正楷体_GBK" w:cs="方正楷体_GBK"/>
          <w:sz w:val="32"/>
          <w:szCs w:val="32"/>
          <w:shd w:val="clear" w:fill="FFFFFF"/>
          <w:lang w:val="en-US" w:eastAsia="zh-CN"/>
        </w:rPr>
        <w:t>（二）机构设置</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0" w:firstLineChars="200"/>
        <w:jc w:val="left"/>
        <w:textAlignment w:val="auto"/>
        <w:rPr>
          <w:rStyle w:val="7"/>
          <w:rFonts w:hint="default"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万州区信访办是一级预算单位，内设综合科、接访科、办信科、复查复核科、督查科、维稳科、群工科</w:t>
      </w:r>
      <w:r>
        <w:rPr>
          <w:rStyle w:val="7"/>
          <w:rFonts w:hint="default" w:ascii="方正仿宋_GBK" w:hAnsi="方正仿宋_GBK" w:eastAsia="方正仿宋_GBK" w:cs="方正仿宋_GBK"/>
          <w:b w:val="0"/>
          <w:kern w:val="0"/>
          <w:sz w:val="32"/>
          <w:szCs w:val="32"/>
        </w:rPr>
        <w:t>7</w:t>
      </w:r>
      <w:r>
        <w:rPr>
          <w:rStyle w:val="7"/>
          <w:rFonts w:hint="eastAsia" w:ascii="方正仿宋_GBK" w:hAnsi="方正仿宋_GBK" w:eastAsia="方正仿宋_GBK" w:cs="方正仿宋_GBK"/>
          <w:b w:val="0"/>
          <w:kern w:val="0"/>
          <w:sz w:val="32"/>
          <w:szCs w:val="32"/>
        </w:rPr>
        <w:t>个科室。</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（三）单位构成</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0" w:firstLineChars="200"/>
        <w:jc w:val="left"/>
        <w:textAlignment w:val="auto"/>
        <w:rPr>
          <w:rStyle w:val="7"/>
          <w:rFonts w:hint="eastAsia" w:ascii="方正仿宋_GBK" w:hAnsi="方正仿宋_GBK" w:eastAsia="方正仿宋_GBK" w:cs="方正仿宋_GBK"/>
          <w:b w:val="0"/>
          <w:kern w:val="0"/>
          <w:sz w:val="32"/>
          <w:szCs w:val="32"/>
        </w:rPr>
      </w:pPr>
      <w:r>
        <w:rPr>
          <w:rStyle w:val="7"/>
          <w:rFonts w:hint="eastAsia" w:ascii="方正仿宋_GBK" w:hAnsi="方正仿宋_GBK" w:eastAsia="方正仿宋_GBK" w:cs="方正仿宋_GBK"/>
          <w:b w:val="0"/>
          <w:kern w:val="0"/>
          <w:sz w:val="32"/>
          <w:szCs w:val="32"/>
        </w:rPr>
        <w:t>本部门无下级预算单位。</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5"/>
          <w:rFonts w:hint="eastAsia" w:ascii="方正黑体_GBK" w:hAnsi="方正黑体_GBK" w:eastAsia="方正黑体_GBK" w:cs="方正黑体_GBK"/>
          <w:sz w:val="32"/>
          <w:szCs w:val="32"/>
          <w:shd w:val="clear" w:fill="FFFFFF"/>
          <w:lang w:val="en-US" w:eastAsia="zh-CN"/>
        </w:rPr>
      </w:pPr>
      <w:r>
        <w:rPr>
          <w:rStyle w:val="5"/>
          <w:rFonts w:hint="eastAsia" w:ascii="宋体" w:hAnsi="宋体" w:eastAsia="宋体" w:cs="宋体"/>
          <w:sz w:val="33"/>
          <w:szCs w:val="33"/>
          <w:shd w:val="clear" w:fill="FFFFFF"/>
          <w:lang w:val="en-US"/>
        </w:rPr>
        <w:t> </w:t>
      </w:r>
      <w:r>
        <w:rPr>
          <w:rStyle w:val="5"/>
          <w:rFonts w:hint="eastAsia" w:ascii="方正黑体_GBK" w:hAnsi="方正黑体_GBK" w:eastAsia="方正黑体_GBK" w:cs="方正黑体_GBK"/>
          <w:sz w:val="32"/>
          <w:szCs w:val="32"/>
          <w:shd w:val="clear" w:fill="FFFFFF"/>
          <w:lang w:val="en-US" w:eastAsia="zh-CN"/>
        </w:rPr>
        <w:t xml:space="preserve"> 二、部门决算情况说明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5"/>
          <w:rFonts w:hint="eastAsia" w:ascii="宋体" w:hAnsi="宋体" w:eastAsia="宋体" w:cs="宋体"/>
          <w:sz w:val="27"/>
          <w:szCs w:val="27"/>
          <w:shd w:val="clear" w:fill="FFFFFF"/>
          <w:lang w:val="en-US" w:eastAsia="zh-CN"/>
        </w:rPr>
      </w:pPr>
      <w:r>
        <w:rPr>
          <w:rStyle w:val="5"/>
          <w:rFonts w:hint="eastAsia" w:ascii="宋体" w:hAnsi="宋体" w:eastAsia="宋体" w:cs="宋体"/>
          <w:sz w:val="27"/>
          <w:szCs w:val="27"/>
          <w:shd w:val="clear" w:fill="FFFFFF"/>
          <w:lang w:val="en-US"/>
        </w:rPr>
        <w:t> </w:t>
      </w:r>
      <w:r>
        <w:rPr>
          <w:rStyle w:val="5"/>
          <w:rFonts w:hint="eastAsia" w:ascii="方正楷体_GBK" w:hAnsi="方正楷体_GBK" w:eastAsia="方正楷体_GBK" w:cs="方正楷体_GBK"/>
          <w:sz w:val="32"/>
          <w:szCs w:val="32"/>
          <w:shd w:val="clear" w:fill="FFFFFF"/>
          <w:lang w:val="en-US" w:eastAsia="zh-CN"/>
        </w:rPr>
        <w:t xml:space="preserve"> （一）收入支出决算总体情况说明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rPr>
      </w:pPr>
      <w:r>
        <w:rPr>
          <w:rStyle w:val="5"/>
          <w:rFonts w:hint="eastAsia" w:ascii="宋体" w:hAnsi="宋体" w:eastAsia="宋体" w:cs="宋体"/>
          <w:sz w:val="27"/>
          <w:szCs w:val="27"/>
          <w:shd w:val="clear" w:fill="FFFFFF"/>
          <w:lang w:val="en-US"/>
        </w:rPr>
        <w:t> </w:t>
      </w:r>
      <w:r>
        <w:rPr>
          <w:rStyle w:val="7"/>
          <w:rFonts w:hint="eastAsia" w:ascii="方正仿宋_GBK" w:hAnsi="方正仿宋_GBK" w:eastAsia="方正仿宋_GBK" w:cs="方正仿宋_GBK"/>
          <w:kern w:val="0"/>
          <w:sz w:val="32"/>
          <w:szCs w:val="32"/>
          <w:shd w:val="clear" w:color="auto" w:fill="FFFFFF"/>
          <w:lang w:val="en-US" w:eastAsia="zh-CN" w:bidi="ar"/>
        </w:rPr>
        <w:t xml:space="preserve"> 1.总体情况。</w:t>
      </w:r>
      <w:r>
        <w:rPr>
          <w:rStyle w:val="7"/>
          <w:rFonts w:hint="eastAsia" w:ascii="方正仿宋_GBK" w:hAnsi="方正仿宋_GBK" w:eastAsia="方正仿宋_GBK" w:cs="方正仿宋_GBK"/>
          <w:b w:val="0"/>
          <w:kern w:val="0"/>
          <w:sz w:val="32"/>
          <w:szCs w:val="32"/>
          <w:lang w:val="en-US" w:eastAsia="zh-CN"/>
        </w:rPr>
        <w:t>2021年度收入总计1,121.66万元，支出总计1,121.66万元。收支较上年决算数增加102.98万元、增长10.1%，主要原因一是新增灾害防治及应急管理支出项目。二是职业年金虚账做实，人员经费增多。</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rPr>
      </w:pPr>
      <w:r>
        <w:rPr>
          <w:rStyle w:val="5"/>
          <w:rFonts w:hint="eastAsia" w:ascii="宋体" w:hAnsi="宋体" w:eastAsia="宋体" w:cs="宋体"/>
          <w:sz w:val="27"/>
          <w:szCs w:val="27"/>
          <w:shd w:val="clear" w:fill="FFFFFF"/>
          <w:lang w:val="en-US"/>
        </w:rPr>
        <w:t> </w:t>
      </w:r>
      <w:r>
        <w:rPr>
          <w:rStyle w:val="7"/>
          <w:rFonts w:hint="eastAsia" w:ascii="方正仿宋_GBK" w:hAnsi="方正仿宋_GBK" w:eastAsia="方正仿宋_GBK" w:cs="方正仿宋_GBK"/>
          <w:kern w:val="0"/>
          <w:sz w:val="32"/>
          <w:szCs w:val="32"/>
          <w:shd w:val="clear" w:color="auto" w:fill="FFFFFF"/>
          <w:lang w:val="en-US" w:eastAsia="zh-CN" w:bidi="ar"/>
        </w:rPr>
        <w:t xml:space="preserve"> 2.收入情况。</w:t>
      </w:r>
      <w:r>
        <w:rPr>
          <w:rStyle w:val="7"/>
          <w:rFonts w:hint="eastAsia" w:ascii="方正仿宋_GBK" w:hAnsi="方正仿宋_GBK" w:eastAsia="方正仿宋_GBK" w:cs="方正仿宋_GBK"/>
          <w:b w:val="0"/>
          <w:kern w:val="0"/>
          <w:sz w:val="32"/>
          <w:szCs w:val="32"/>
          <w:lang w:val="en-US" w:eastAsia="zh-CN"/>
        </w:rPr>
        <w:t>2021年度收入合计1,114.55万元，较上年决算数增加95.87万元，增长9.4%，主要原因是新增灾害防治及应急管理支出项目。其中：财政拨款收入1,114.55万元，占100%；此外，使用非财政拨款结余0万元，年初结转和结余7.11万元。</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default" w:ascii="方正仿宋_GBK" w:hAnsi="方正仿宋_GBK" w:eastAsia="方正仿宋_GBK" w:cs="方正仿宋_GBK"/>
          <w:b w:val="0"/>
          <w:kern w:val="0"/>
          <w:sz w:val="32"/>
          <w:szCs w:val="32"/>
          <w:lang w:val="en-US" w:eastAsia="zh-CN"/>
        </w:rPr>
      </w:pPr>
      <w:r>
        <w:rPr>
          <w:rStyle w:val="5"/>
          <w:rFonts w:hint="eastAsia" w:ascii="宋体" w:hAnsi="宋体" w:eastAsia="宋体" w:cs="宋体"/>
          <w:sz w:val="27"/>
          <w:szCs w:val="27"/>
          <w:shd w:val="clear" w:fill="FFFFFF"/>
          <w:lang w:val="en-US"/>
        </w:rPr>
        <w:t xml:space="preserve">  </w:t>
      </w:r>
      <w:r>
        <w:rPr>
          <w:rStyle w:val="7"/>
          <w:rFonts w:hint="eastAsia" w:ascii="方正仿宋_GBK" w:hAnsi="方正仿宋_GBK" w:eastAsia="方正仿宋_GBK" w:cs="方正仿宋_GBK"/>
          <w:kern w:val="0"/>
          <w:sz w:val="32"/>
          <w:szCs w:val="32"/>
          <w:shd w:val="clear" w:color="auto" w:fill="FFFFFF"/>
          <w:lang w:val="en-US" w:eastAsia="zh-CN" w:bidi="ar"/>
        </w:rPr>
        <w:t>3.支出情况</w:t>
      </w:r>
      <w:r>
        <w:rPr>
          <w:rStyle w:val="5"/>
          <w:rFonts w:hint="eastAsia" w:ascii="宋体" w:hAnsi="宋体" w:eastAsia="宋体" w:cs="宋体"/>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rPr>
        <w:t>2021年度支出合计1,119.52万元，较上年决算数增加100.84万元，增长9.9%，主要原因一是新增灾害防治及应急管理支出项目；二是职业年金虚账做实，人员经费增多。其中：基本支出705.00万元，占63%；项目支出414.52万元，占37%。此外，结余分配0万元。</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rPr>
      </w:pPr>
      <w:r>
        <w:rPr>
          <w:rStyle w:val="5"/>
          <w:rFonts w:hint="eastAsia" w:ascii="宋体" w:hAnsi="宋体" w:eastAsia="宋体" w:cs="宋体"/>
          <w:sz w:val="27"/>
          <w:szCs w:val="27"/>
          <w:shd w:val="clear" w:fill="FFFFFF"/>
          <w:lang w:val="en-US"/>
        </w:rPr>
        <w:t> </w:t>
      </w:r>
      <w:r>
        <w:rPr>
          <w:rStyle w:val="7"/>
          <w:rFonts w:hint="eastAsia" w:ascii="方正仿宋_GBK" w:hAnsi="方正仿宋_GBK" w:eastAsia="方正仿宋_GBK" w:cs="方正仿宋_GBK"/>
          <w:kern w:val="0"/>
          <w:sz w:val="32"/>
          <w:szCs w:val="32"/>
          <w:highlight w:val="none"/>
          <w:shd w:val="clear" w:color="auto" w:fill="FFFFFF"/>
          <w:lang w:val="en-US" w:eastAsia="zh-CN" w:bidi="ar"/>
        </w:rPr>
        <w:t xml:space="preserve"> 4.结转结余情况</w:t>
      </w:r>
      <w:r>
        <w:rPr>
          <w:rStyle w:val="5"/>
          <w:rFonts w:hint="eastAsia" w:ascii="宋体" w:hAnsi="宋体" w:eastAsia="宋体" w:cs="宋体"/>
          <w:sz w:val="27"/>
          <w:szCs w:val="27"/>
          <w:highlight w:val="none"/>
          <w:shd w:val="clear" w:fill="FFFFFF"/>
          <w:lang w:eastAsia="zh-CN"/>
        </w:rPr>
        <w:t>。</w:t>
      </w:r>
      <w:r>
        <w:rPr>
          <w:rStyle w:val="7"/>
          <w:rFonts w:hint="eastAsia" w:ascii="方正仿宋_GBK" w:hAnsi="方正仿宋_GBK" w:eastAsia="方正仿宋_GBK" w:cs="方正仿宋_GBK"/>
          <w:b w:val="0"/>
          <w:kern w:val="0"/>
          <w:sz w:val="32"/>
          <w:szCs w:val="32"/>
          <w:lang w:val="en-US" w:eastAsia="zh-CN"/>
        </w:rPr>
        <w:t>2021年度年末结转和结余2.14万元，较上年决算数增加2.14万元，增长100%，主要原因是社会管理专项资金结余。</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5"/>
          <w:rFonts w:hint="eastAsia" w:ascii="方正楷体_GBK" w:hAnsi="方正楷体_GBK" w:eastAsia="方正楷体_GBK" w:cs="方正楷体_GBK"/>
          <w:sz w:val="32"/>
          <w:szCs w:val="32"/>
          <w:shd w:val="clear" w:fill="FFFFFF"/>
          <w:lang w:val="en-US" w:eastAsia="zh-CN"/>
        </w:rPr>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（二）财政拨款收入支出决算总体情况说明。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rPr>
      </w:pPr>
      <w:r>
        <w:rPr>
          <w:rStyle w:val="7"/>
          <w:rFonts w:hint="eastAsia" w:ascii="方正仿宋_GBK" w:hAnsi="方正仿宋_GBK" w:eastAsia="方正仿宋_GBK" w:cs="方正仿宋_GBK"/>
          <w:b w:val="0"/>
          <w:kern w:val="0"/>
          <w:sz w:val="32"/>
          <w:szCs w:val="32"/>
          <w:lang w:val="en-US" w:eastAsia="zh-CN"/>
        </w:rPr>
        <w:t>2021年度财政拨款收、支总计1,121.66万元。与2020年相比，财政拨款收、支总计各增加102.98万元，增长10.1%。主要原因一是新增灾害防治及应急管理支出项目；二是职业年金虚账做实，人员经费增多。</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（三）一般公共预算财政拨款收入支出决算情况说明。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rPr>
      </w:pPr>
      <w:r>
        <w:rPr>
          <w:rStyle w:val="5"/>
          <w:rFonts w:hint="eastAsia" w:ascii="宋体" w:hAnsi="宋体" w:eastAsia="宋体" w:cs="宋体"/>
          <w:sz w:val="27"/>
          <w:szCs w:val="27"/>
          <w:shd w:val="clear" w:fill="FFFFFF"/>
          <w:lang w:val="en-US"/>
        </w:rPr>
        <w:t> </w:t>
      </w:r>
      <w:r>
        <w:rPr>
          <w:rStyle w:val="7"/>
          <w:rFonts w:hint="eastAsia" w:ascii="方正仿宋_GBK" w:hAnsi="方正仿宋_GBK" w:eastAsia="方正仿宋_GBK" w:cs="方正仿宋_GBK"/>
          <w:kern w:val="0"/>
          <w:sz w:val="32"/>
          <w:szCs w:val="32"/>
          <w:shd w:val="clear" w:color="auto" w:fill="FFFFFF"/>
          <w:lang w:val="en-US" w:eastAsia="zh-CN" w:bidi="ar"/>
        </w:rPr>
        <w:t xml:space="preserve"> 1.收入情况。</w:t>
      </w:r>
      <w:r>
        <w:rPr>
          <w:rStyle w:val="7"/>
          <w:rFonts w:hint="eastAsia" w:ascii="方正仿宋_GBK" w:hAnsi="方正仿宋_GBK" w:eastAsia="方正仿宋_GBK" w:cs="方正仿宋_GBK"/>
          <w:b w:val="0"/>
          <w:kern w:val="0"/>
          <w:sz w:val="32"/>
          <w:szCs w:val="32"/>
          <w:lang w:val="en-US" w:eastAsia="zh-CN"/>
        </w:rPr>
        <w:t>2021年度一般公共预算财政拨款收入1,114.55万元，较上年决算数增加103.87万元，增长10.3%。主要原因是新增灾害防治及应急管理支出项目。较年初预算数减少400.68万元，下降26.4%。主要原因是社会管理专项资金调减指标部分纳入年初预算未纳入本年决算。此外，年初财政拨款结转和结余7.11万元。</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3" w:firstLineChars="200"/>
        <w:jc w:val="both"/>
        <w:textAlignment w:val="auto"/>
        <w:rPr>
          <w:rStyle w:val="7"/>
          <w:rFonts w:hint="eastAsia" w:ascii="方正仿宋_GBK" w:hAnsi="方正仿宋_GBK" w:eastAsia="方正仿宋_GBK" w:cs="方正仿宋_GBK"/>
          <w:b w:val="0"/>
          <w:kern w:val="0"/>
          <w:sz w:val="32"/>
          <w:szCs w:val="32"/>
          <w:lang w:val="en-US" w:eastAsia="zh-CN"/>
        </w:rPr>
      </w:pPr>
      <w:r>
        <w:rPr>
          <w:rStyle w:val="7"/>
          <w:rFonts w:hint="eastAsia" w:ascii="方正仿宋_GBK" w:hAnsi="方正仿宋_GBK" w:eastAsia="方正仿宋_GBK" w:cs="方正仿宋_GBK"/>
          <w:kern w:val="0"/>
          <w:sz w:val="32"/>
          <w:szCs w:val="32"/>
          <w:shd w:val="clear" w:color="auto" w:fill="FFFFFF"/>
          <w:lang w:val="en-US" w:eastAsia="zh-CN" w:bidi="ar"/>
        </w:rPr>
        <w:t>2.支出情况。</w:t>
      </w:r>
      <w:r>
        <w:rPr>
          <w:rStyle w:val="7"/>
          <w:rFonts w:hint="eastAsia" w:ascii="方正仿宋_GBK" w:hAnsi="方正仿宋_GBK" w:eastAsia="方正仿宋_GBK" w:cs="方正仿宋_GBK"/>
          <w:b w:val="0"/>
          <w:kern w:val="0"/>
          <w:sz w:val="32"/>
          <w:szCs w:val="32"/>
          <w:lang w:val="en-US" w:eastAsia="zh-CN"/>
        </w:rPr>
        <w:t>2021年度一般公共预算财政拨款支出1,119.52万元，较上年决算数增加108.84万元，增长10.8%。主要原因一是新增灾害防治及应急管理支出项目；二是职业年金虚账做实，人员经费增多。较年初预算数减少395.71万元，下降26.1%。主要原因是社会管理专项资金调减指标部分纳入年初预算未纳入本年决算。</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3"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kern w:val="0"/>
          <w:sz w:val="32"/>
          <w:szCs w:val="32"/>
          <w:shd w:val="clear" w:color="auto" w:fill="FFFFFF"/>
          <w:lang w:val="en-US" w:eastAsia="zh-CN" w:bidi="ar"/>
        </w:rPr>
        <w:t>3.结转结余情况。</w:t>
      </w:r>
      <w:r>
        <w:rPr>
          <w:rStyle w:val="7"/>
          <w:rFonts w:hint="eastAsia" w:ascii="方正仿宋_GBK" w:hAnsi="方正仿宋_GBK" w:eastAsia="方正仿宋_GBK" w:cs="方正仿宋_GBK"/>
          <w:b w:val="0"/>
          <w:kern w:val="0"/>
          <w:sz w:val="32"/>
          <w:szCs w:val="32"/>
          <w:lang w:val="en-US" w:eastAsia="zh-CN" w:bidi="ar"/>
        </w:rPr>
        <w:t>2021年度年末一般公共预算财政拨款结转和结余2.14万元，较上年决算数增加2.14万元，增长100%，主要原因是</w:t>
      </w:r>
      <w:r>
        <w:rPr>
          <w:rStyle w:val="7"/>
          <w:rFonts w:hint="eastAsia" w:ascii="方正仿宋_GBK" w:hAnsi="方正仿宋_GBK" w:eastAsia="方正仿宋_GBK" w:cs="方正仿宋_GBK"/>
          <w:b w:val="0"/>
          <w:kern w:val="0"/>
          <w:sz w:val="32"/>
          <w:szCs w:val="32"/>
          <w:highlight w:val="none"/>
          <w:lang w:val="en-US" w:eastAsia="zh-CN" w:bidi="ar"/>
        </w:rPr>
        <w:t>社会管理专项资金结余。</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3"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kern w:val="0"/>
          <w:sz w:val="32"/>
          <w:szCs w:val="32"/>
          <w:shd w:val="clear" w:color="auto" w:fill="FFFFFF"/>
          <w:lang w:val="en-US" w:eastAsia="zh-CN" w:bidi="ar"/>
        </w:rPr>
        <w:t> 4.比较情况。</w:t>
      </w:r>
      <w:r>
        <w:rPr>
          <w:rStyle w:val="7"/>
          <w:rFonts w:hint="eastAsia" w:ascii="方正仿宋_GBK" w:hAnsi="方正仿宋_GBK" w:eastAsia="方正仿宋_GBK" w:cs="方正仿宋_GBK"/>
          <w:b w:val="0"/>
          <w:kern w:val="0"/>
          <w:sz w:val="32"/>
          <w:szCs w:val="32"/>
          <w:lang w:val="en-US" w:eastAsia="zh-CN" w:bidi="ar"/>
        </w:rPr>
        <w:t>本部门2021年度一般公共预算财政拨款支出主要用于以下几个方面：</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bidi="ar"/>
        </w:rPr>
      </w:pPr>
      <w:r>
        <w:rPr>
          <w:sz w:val="27"/>
          <w:szCs w:val="27"/>
          <w:shd w:val="clear" w:fill="FFFFFF"/>
          <w:lang w:val="en-US"/>
        </w:rPr>
        <w:t xml:space="preserve">  </w:t>
      </w:r>
      <w:r>
        <w:rPr>
          <w:rStyle w:val="7"/>
          <w:rFonts w:hint="eastAsia" w:ascii="方正仿宋_GBK" w:hAnsi="方正仿宋_GBK" w:eastAsia="方正仿宋_GBK" w:cs="方正仿宋_GBK"/>
          <w:b w:val="0"/>
          <w:kern w:val="0"/>
          <w:sz w:val="32"/>
          <w:szCs w:val="32"/>
          <w:lang w:val="en-US" w:eastAsia="zh-CN" w:bidi="ar"/>
        </w:rPr>
        <w:t>（1）一般公共服务支</w:t>
      </w:r>
      <w:r>
        <w:rPr>
          <w:rStyle w:val="7"/>
          <w:rFonts w:hint="eastAsia" w:ascii="方正仿宋_GBK" w:hAnsi="方正仿宋_GBK" w:eastAsia="方正仿宋_GBK" w:cs="方正仿宋_GBK"/>
          <w:b w:val="0"/>
          <w:kern w:val="0"/>
          <w:sz w:val="32"/>
          <w:szCs w:val="32"/>
          <w:highlight w:val="none"/>
          <w:lang w:val="en-US" w:eastAsia="zh-CN" w:bidi="ar"/>
        </w:rPr>
        <w:t>出910.75万元</w:t>
      </w:r>
      <w:r>
        <w:rPr>
          <w:rStyle w:val="7"/>
          <w:rFonts w:hint="eastAsia" w:ascii="方正仿宋_GBK" w:hAnsi="方正仿宋_GBK" w:eastAsia="方正仿宋_GBK" w:cs="方正仿宋_GBK"/>
          <w:b w:val="0"/>
          <w:kern w:val="0"/>
          <w:sz w:val="32"/>
          <w:szCs w:val="32"/>
          <w:lang w:val="en-US" w:eastAsia="zh-CN" w:bidi="ar"/>
        </w:rPr>
        <w:t>，占81.4%，较年初预算数减</w:t>
      </w:r>
      <w:r>
        <w:rPr>
          <w:rStyle w:val="7"/>
          <w:rFonts w:hint="eastAsia" w:ascii="方正仿宋_GBK" w:hAnsi="方正仿宋_GBK" w:eastAsia="方正仿宋_GBK" w:cs="方正仿宋_GBK"/>
          <w:b w:val="0"/>
          <w:kern w:val="0"/>
          <w:sz w:val="32"/>
          <w:szCs w:val="32"/>
          <w:highlight w:val="none"/>
          <w:lang w:val="en-US" w:eastAsia="zh-CN" w:bidi="ar"/>
        </w:rPr>
        <w:t>少497.71万</w:t>
      </w:r>
      <w:r>
        <w:rPr>
          <w:rStyle w:val="7"/>
          <w:rFonts w:hint="eastAsia" w:ascii="方正仿宋_GBK" w:hAnsi="方正仿宋_GBK" w:eastAsia="方正仿宋_GBK" w:cs="方正仿宋_GBK"/>
          <w:b w:val="0"/>
          <w:kern w:val="0"/>
          <w:sz w:val="32"/>
          <w:szCs w:val="32"/>
          <w:lang w:val="en-US" w:eastAsia="zh-CN" w:bidi="ar"/>
        </w:rPr>
        <w:t>元，下降35.3%，主要原因是社会管理专项资金调减指标部分纳入年初预算未纳入本年决算。</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bidi="ar"/>
        </w:rPr>
      </w:pPr>
      <w:r>
        <w:rPr>
          <w:sz w:val="27"/>
          <w:szCs w:val="27"/>
          <w:shd w:val="clear" w:fill="FFFFFF"/>
          <w:lang w:val="en-US"/>
        </w:rPr>
        <w:t xml:space="preserve">  </w:t>
      </w:r>
      <w:r>
        <w:rPr>
          <w:rStyle w:val="7"/>
          <w:rFonts w:hint="eastAsia" w:ascii="方正仿宋_GBK" w:hAnsi="方正仿宋_GBK" w:eastAsia="方正仿宋_GBK" w:cs="方正仿宋_GBK"/>
          <w:b w:val="0"/>
          <w:kern w:val="0"/>
          <w:sz w:val="32"/>
          <w:szCs w:val="32"/>
          <w:lang w:val="en-US" w:eastAsia="zh-CN" w:bidi="ar"/>
        </w:rPr>
        <w:t>（2）社会保障与就业支出106.86万元，占9.5%，较年初预算数增加54.60万元，增长104.5%，主要原因是补缴了职业年金。</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highlight w:val="none"/>
          <w:lang w:val="en-US" w:eastAsia="zh-CN" w:bidi="ar"/>
        </w:rPr>
        <w:t>   （3）</w:t>
      </w:r>
      <w:r>
        <w:rPr>
          <w:rStyle w:val="7"/>
          <w:rFonts w:hint="eastAsia" w:ascii="方正仿宋_GBK" w:hAnsi="方正仿宋_GBK" w:eastAsia="方正仿宋_GBK" w:cs="方正仿宋_GBK"/>
          <w:b w:val="0"/>
          <w:kern w:val="0"/>
          <w:sz w:val="32"/>
          <w:szCs w:val="32"/>
          <w:lang w:val="en-US" w:eastAsia="zh-CN" w:bidi="ar"/>
        </w:rPr>
        <w:t>卫生健康支出</w:t>
      </w:r>
      <w:r>
        <w:rPr>
          <w:rStyle w:val="7"/>
          <w:rFonts w:hint="eastAsia" w:ascii="方正仿宋_GBK" w:hAnsi="方正仿宋_GBK" w:eastAsia="方正仿宋_GBK" w:cs="方正仿宋_GBK"/>
          <w:b w:val="0"/>
          <w:kern w:val="0"/>
          <w:sz w:val="32"/>
          <w:szCs w:val="32"/>
          <w:highlight w:val="none"/>
          <w:lang w:val="en-US" w:eastAsia="zh-CN" w:bidi="ar"/>
        </w:rPr>
        <w:t>28.70</w:t>
      </w:r>
      <w:r>
        <w:rPr>
          <w:rStyle w:val="7"/>
          <w:rFonts w:hint="eastAsia" w:ascii="方正仿宋_GBK" w:hAnsi="方正仿宋_GBK" w:eastAsia="方正仿宋_GBK" w:cs="方正仿宋_GBK"/>
          <w:b w:val="0"/>
          <w:kern w:val="0"/>
          <w:sz w:val="32"/>
          <w:szCs w:val="32"/>
          <w:lang w:val="en-US" w:eastAsia="zh-CN" w:bidi="ar"/>
        </w:rPr>
        <w:t>万元，占2.6%，较年初预算数增加0.00万元，与上年持平。</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highlight w:val="none"/>
          <w:lang w:val="en-US" w:eastAsia="zh-CN" w:bidi="ar"/>
        </w:rPr>
        <w:t>   （4）</w:t>
      </w:r>
      <w:r>
        <w:rPr>
          <w:rStyle w:val="7"/>
          <w:rFonts w:hint="eastAsia" w:ascii="方正仿宋_GBK" w:hAnsi="方正仿宋_GBK" w:eastAsia="方正仿宋_GBK" w:cs="方正仿宋_GBK"/>
          <w:b w:val="0"/>
          <w:kern w:val="0"/>
          <w:sz w:val="32"/>
          <w:szCs w:val="32"/>
          <w:lang w:val="en-US" w:eastAsia="zh-CN" w:bidi="ar"/>
        </w:rPr>
        <w:t>住房保障支出25.81万元，占2.3%，较年初预算数增加0.00万元，与上年持平。</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   （5）灾害防治及应急管理支出47.40万元，占4.2%，较年初预算数增加47.40万元，增长100%，主要原因是该项目是本年度临时新增项目。</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sz w:val="27"/>
          <w:szCs w:val="27"/>
          <w:shd w:val="clear" w:fill="FFFFFF"/>
          <w:lang w:val="en-US"/>
        </w:rPr>
        <w:t> </w:t>
      </w: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（四）一般公共预算财政拨款基本支出决算情况说明。</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2021年度一般公共财政拨款基本支出705.00万元。其中：</w:t>
      </w:r>
      <w:r>
        <w:rPr>
          <w:rStyle w:val="7"/>
          <w:rFonts w:hint="eastAsia" w:ascii="方正仿宋_GBK" w:hAnsi="方正仿宋_GBK" w:eastAsia="方正仿宋_GBK" w:cs="方正仿宋_GBK"/>
          <w:b w:val="0"/>
          <w:color w:val="auto"/>
          <w:kern w:val="0"/>
          <w:sz w:val="32"/>
          <w:szCs w:val="32"/>
          <w:lang w:val="en-US" w:eastAsia="zh-CN" w:bidi="ar"/>
        </w:rPr>
        <w:t>人员经费621.66万元，较</w:t>
      </w:r>
      <w:r>
        <w:rPr>
          <w:rStyle w:val="7"/>
          <w:rFonts w:hint="eastAsia" w:ascii="方正仿宋_GBK" w:hAnsi="方正仿宋_GBK" w:eastAsia="方正仿宋_GBK" w:cs="方正仿宋_GBK"/>
          <w:b w:val="0"/>
          <w:kern w:val="0"/>
          <w:sz w:val="32"/>
          <w:szCs w:val="32"/>
          <w:lang w:val="en-US" w:eastAsia="zh-CN" w:bidi="ar"/>
        </w:rPr>
        <w:t>上年决算数增加66.56万元，增长12%，主要原因是人员工资基数调整、补缴职业年金等。人员经费用途主要包括人员经费用途主要包括基本工资、津贴补贴、奖金、社会保障缴费。</w:t>
      </w:r>
      <w:r>
        <w:rPr>
          <w:rStyle w:val="7"/>
          <w:rFonts w:hint="eastAsia" w:ascii="方正仿宋_GBK" w:hAnsi="方正仿宋_GBK" w:eastAsia="方正仿宋_GBK" w:cs="方正仿宋_GBK"/>
          <w:b w:val="0"/>
          <w:color w:val="auto"/>
          <w:kern w:val="0"/>
          <w:sz w:val="32"/>
          <w:szCs w:val="32"/>
          <w:lang w:val="en-US" w:eastAsia="zh-CN" w:bidi="ar"/>
        </w:rPr>
        <w:t>公用经费83.34万元，</w:t>
      </w:r>
      <w:r>
        <w:rPr>
          <w:rStyle w:val="7"/>
          <w:rFonts w:hint="eastAsia" w:ascii="方正仿宋_GBK" w:hAnsi="方正仿宋_GBK" w:eastAsia="方正仿宋_GBK" w:cs="方正仿宋_GBK"/>
          <w:b w:val="0"/>
          <w:kern w:val="0"/>
          <w:sz w:val="32"/>
          <w:szCs w:val="32"/>
          <w:lang w:val="en-US" w:eastAsia="zh-CN" w:bidi="ar"/>
        </w:rPr>
        <w:t>较上年决算数减少28.68万元，下降25.6%，主要原因是压缩开支，厉行节约。公用经费用途主要包括公用经费用途主要包括办公费、印刷费、咨询费、手续费。</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（五）政府性基金预算收支决算情况说明。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320" w:firstLineChars="1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 本部门2021年度无政府性基金预算财政拨款收支。</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（六）国有资本经营预算财政拨款支出决算情况说明。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sz w:val="27"/>
          <w:szCs w:val="27"/>
          <w:shd w:val="clear" w:fill="FFFFFF"/>
          <w:lang w:val="en-US"/>
        </w:rPr>
        <w:t> </w:t>
      </w:r>
      <w:r>
        <w:rPr>
          <w:rFonts w:hint="eastAsia"/>
          <w:sz w:val="27"/>
          <w:szCs w:val="27"/>
          <w:shd w:val="clear" w:fill="FFFFFF"/>
          <w:lang w:val="en-US" w:eastAsia="zh-CN"/>
        </w:rPr>
        <w:t xml:space="preserve"> </w:t>
      </w:r>
      <w:r>
        <w:rPr>
          <w:rStyle w:val="7"/>
          <w:rFonts w:hint="eastAsia" w:ascii="方正仿宋_GBK" w:hAnsi="方正仿宋_GBK" w:eastAsia="方正仿宋_GBK" w:cs="方正仿宋_GBK"/>
          <w:b w:val="0"/>
          <w:kern w:val="0"/>
          <w:sz w:val="32"/>
          <w:szCs w:val="32"/>
          <w:lang w:val="en-US" w:eastAsia="zh-CN" w:bidi="ar"/>
        </w:rPr>
        <w:t>本部门2021年度无国有资本经营预算财政拨款支出。</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w:t>
      </w:r>
      <w:r>
        <w:rPr>
          <w:rStyle w:val="5"/>
          <w:rFonts w:hint="eastAsia" w:ascii="方正黑体_GBK" w:hAnsi="方正黑体_GBK" w:eastAsia="方正黑体_GBK" w:cs="方正黑体_GBK"/>
          <w:sz w:val="32"/>
          <w:szCs w:val="32"/>
          <w:shd w:val="clear" w:fill="FFFFFF"/>
          <w:lang w:val="en-US" w:eastAsia="zh-CN"/>
        </w:rPr>
        <w:t xml:space="preserve"> 三、“三公”经费情况说明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w:t>
      </w:r>
      <w:r>
        <w:rPr>
          <w:rStyle w:val="5"/>
          <w:rFonts w:hint="eastAsia" w:ascii="方正楷体_GBK" w:hAnsi="方正楷体_GBK" w:eastAsia="方正楷体_GBK" w:cs="方正楷体_GBK"/>
          <w:sz w:val="32"/>
          <w:szCs w:val="32"/>
          <w:shd w:val="clear" w:fill="FFFFFF"/>
          <w:lang w:val="en-US" w:eastAsia="zh-CN"/>
        </w:rPr>
        <w:t>（一）“三公”经费支出总体情况说明。</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2021年度“三公”经费支出共计15.56万元，较年初预算数减少15.44万元，下降49.8%，主要原因是认真贯彻落实中央八项规定精神，按照只减不增的要求从严控制“三公”经费，较上年支出数增加0.38万元，增长2.5%，主要原因是公务车辆年限已久，维修保养等费用有所增加。</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w:t>
      </w:r>
      <w:r>
        <w:rPr>
          <w:rStyle w:val="5"/>
          <w:rFonts w:hint="eastAsia" w:ascii="方正楷体_GBK" w:hAnsi="方正楷体_GBK" w:eastAsia="方正楷体_GBK" w:cs="方正楷体_GBK"/>
          <w:sz w:val="32"/>
          <w:szCs w:val="32"/>
          <w:shd w:val="clear" w:fill="FFFFFF"/>
          <w:lang w:val="en-US" w:eastAsia="zh-CN"/>
        </w:rPr>
        <w:t>（二）“三公”经费分项支出情况。</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both"/>
        <w:textAlignment w:val="auto"/>
        <w:rPr>
          <w:rStyle w:val="7"/>
          <w:rFonts w:hint="default"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2021年本部门因公出国（境）费用0万元，费用较年初预算数增加0万元，与年初预算数持平，较上年支出数增加0万元，与上年数持平，主要原因是本部门2021年未安排因公出国（境）。</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both"/>
        <w:textAlignment w:val="auto"/>
        <w:rPr>
          <w:rStyle w:val="7"/>
          <w:rFonts w:hint="default"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公务车购置费0万元，费用较年初预算数增加0万元，与年初预算数持平，较上年支出数增加0万元，与上年数持平，主要原因是2021年未发生公务用车购置支出。</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公务车运行维护费10.32万元，主要用于机要文件交换、市内因公出行、扶贫帮扶等工作所需车辆的燃料费、维修费、过桥过路费、保险费等。费用支出较年初预算数减少7.68万元，下降42.7%，主要原因是认真贯彻落实中央八项规定精神，按照只减不增的要求从严控制“三公”经费。较上年支出数增加1.18万元，增长12.9%，主要原因是公务车辆年限已久，维修保养等费用有所增加。</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公务接待费5.24万元，主要用于接待上级部门到我办检查指导工作以及各区县信访办调研工作等发生的接待支出。费用支出较年初预算数减少7.76万元，下降59.7%，较上年支出数减少0.81万元，下降13.4%，较年初预算和上年决算下降的主要原因是强化公务接待支出管理，严格遵守公务接待开支范围和开支标准，严格控制陪餐人数。</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（三）“三公”经费实物量情况。</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2021年度本部门因公出国（境）共计0个团组，0人；公务用车购置0辆，公务车保有量为2辆；国内公务接待38批次437人，其中：国内外事接待0批次，0人；国（境）外公务接待0批次，0人。2021年本部门人均接待费119.93元，车均购置费0.00万元，车均维护费5.16万元。</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5"/>
          <w:rFonts w:hint="eastAsia" w:ascii="方正黑体_GBK" w:hAnsi="方正黑体_GBK" w:eastAsia="方正黑体_GBK" w:cs="方正黑体_GBK"/>
          <w:sz w:val="32"/>
          <w:szCs w:val="32"/>
          <w:shd w:val="clear" w:fill="FFFFFF"/>
          <w:lang w:val="en-US" w:eastAsia="zh-CN"/>
        </w:rPr>
      </w:pPr>
      <w:r>
        <w:rPr>
          <w:rStyle w:val="5"/>
          <w:rFonts w:hint="eastAsia" w:ascii="宋体" w:hAnsi="宋体" w:eastAsia="宋体" w:cs="宋体"/>
          <w:sz w:val="27"/>
          <w:szCs w:val="27"/>
          <w:shd w:val="clear" w:fill="FFFFFF"/>
          <w:lang w:val="en-US"/>
        </w:rPr>
        <w:t> </w:t>
      </w:r>
      <w:r>
        <w:rPr>
          <w:rStyle w:val="5"/>
          <w:rFonts w:hint="eastAsia" w:ascii="方正黑体_GBK" w:hAnsi="方正黑体_GBK" w:eastAsia="方正黑体_GBK" w:cs="方正黑体_GBK"/>
          <w:sz w:val="32"/>
          <w:szCs w:val="32"/>
          <w:shd w:val="clear" w:fill="FFFFFF"/>
          <w:lang w:val="en-US" w:eastAsia="zh-CN"/>
        </w:rPr>
        <w:t xml:space="preserve"> 四、其他需要说明的事项</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（一）机关运行经费情况说明。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2021年度本部门机关运行经费支出83.35万元，机关运行经费主要用于开支办公费、差旅费、会议费、公务车运行维护费、维稳专网及视频信息系统维护费。机关运行经费较上年决算数减少28.68万元，下降25.6%，主要原因是压缩开支，厉行节约。</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本年度会议费支出2.30万元，较上年决算数减少0.01万元，下降0.4%，主要原因是本着节约办会的原则，减少会议开支。本年度培训费支出2.31万元，较上年决算数减少0.31万元，下降11.8%，主要原因是减少培训量，支出下降。</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5"/>
          <w:rFonts w:hint="eastAsia" w:ascii="方正楷体_GBK" w:hAnsi="方正楷体_GBK" w:eastAsia="方正楷体_GBK" w:cs="方正楷体_GBK"/>
          <w:sz w:val="32"/>
          <w:szCs w:val="32"/>
          <w:shd w:val="clear" w:fill="FFFFFF"/>
          <w:lang w:val="en-US" w:eastAsia="zh-CN"/>
        </w:rPr>
      </w:pPr>
      <w:r>
        <w:rPr>
          <w:rStyle w:val="5"/>
          <w:rFonts w:hint="eastAsia" w:ascii="方正楷体_GBK" w:hAnsi="方正楷体_GBK" w:eastAsia="方正楷体_GBK" w:cs="方正楷体_GBK"/>
          <w:sz w:val="32"/>
          <w:szCs w:val="32"/>
          <w:shd w:val="clear" w:fill="FFFFFF"/>
          <w:lang w:val="en-US" w:eastAsia="zh-CN"/>
        </w:rPr>
        <w:t>（二）国有资产占用情况说明。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ind w:firstLine="640"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截至2021年12月31日，本部门共有车辆2辆，其中，副部（省）级及以上领导用车0辆、主要领导干部用车0辆、机要通信用车1辆、应急保障用车1辆、执法执勤用车0辆，特种专业技术用车0辆，离退休干部用车0辆，其他用车0辆。单价50万元（含）以上通用设备0台（套），单价100万元（含）以上专用设备0台（套）。</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jc w:val="both"/>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（三）政府采购支出情况说明。</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7"/>
          <w:rFonts w:hint="eastAsia" w:ascii="方正仿宋_GBK" w:hAnsi="方正仿宋_GBK" w:eastAsia="方正仿宋_GBK" w:cs="方正仿宋_GBK"/>
          <w:b w:val="0"/>
          <w:kern w:val="0"/>
          <w:sz w:val="32"/>
          <w:szCs w:val="32"/>
          <w:lang w:val="en-US" w:eastAsia="zh-CN" w:bidi="ar"/>
        </w:rPr>
      </w:pPr>
      <w:r>
        <w:rPr>
          <w:sz w:val="27"/>
          <w:szCs w:val="27"/>
          <w:shd w:val="clear" w:fill="FFFFFF"/>
          <w:lang w:val="en-US"/>
        </w:rPr>
        <w:t> </w:t>
      </w:r>
      <w:r>
        <w:rPr>
          <w:rStyle w:val="7"/>
          <w:rFonts w:hint="eastAsia" w:ascii="方正仿宋_GBK" w:hAnsi="方正仿宋_GBK" w:eastAsia="方正仿宋_GBK" w:cs="方正仿宋_GBK"/>
          <w:b w:val="0"/>
          <w:kern w:val="0"/>
          <w:sz w:val="32"/>
          <w:szCs w:val="32"/>
          <w:lang w:val="en-US" w:eastAsia="zh-CN" w:bidi="ar"/>
        </w:rPr>
        <w:t xml:space="preserve"> 2021年度我单位未发生政府采购事项，无相关经费支出。</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5"/>
          <w:rFonts w:hint="eastAsia" w:ascii="方正黑体_GBK" w:hAnsi="方正黑体_GBK" w:eastAsia="方正黑体_GBK" w:cs="方正黑体_GBK"/>
          <w:sz w:val="32"/>
          <w:szCs w:val="32"/>
          <w:shd w:val="clear" w:fill="FFFFFF"/>
          <w:lang w:val="en-US" w:eastAsia="zh-CN"/>
        </w:rPr>
      </w:pPr>
      <w:r>
        <w:rPr>
          <w:rStyle w:val="5"/>
          <w:rFonts w:hint="eastAsia" w:ascii="方正黑体_GBK" w:hAnsi="方正黑体_GBK" w:eastAsia="方正黑体_GBK" w:cs="方正黑体_GBK"/>
          <w:sz w:val="32"/>
          <w:szCs w:val="32"/>
          <w:shd w:val="clear" w:fill="FFFFFF"/>
          <w:lang w:val="en-US" w:eastAsia="zh-CN"/>
        </w:rPr>
        <w:t>  五、预算绩效管理情况说明</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line="520" w:lineRule="exact"/>
        <w:textAlignment w:val="auto"/>
        <w:rPr>
          <w:rStyle w:val="5"/>
          <w:rFonts w:hint="eastAsia" w:ascii="方正楷体_GBK" w:hAnsi="方正楷体_GBK" w:eastAsia="方正楷体_GBK" w:cs="方正楷体_GBK"/>
          <w:sz w:val="32"/>
          <w:szCs w:val="32"/>
          <w:shd w:val="clear" w:fill="FFFFFF"/>
          <w:lang w:val="en-US" w:eastAsia="zh-CN"/>
        </w:rPr>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（一）预算绩效管理工作开展情况。</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line="520" w:lineRule="exact"/>
        <w:ind w:firstLine="640"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根据预算绩效管理要求，我办对2个项目开展了绩效自评，其中，以填报自评表形式开展自评6项，涉及资金47.4万元；本单位没有委托第三方开展绩效自评。</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pPr>
      <w:r>
        <w:rPr>
          <w:rStyle w:val="5"/>
          <w:rFonts w:hint="eastAsia" w:ascii="宋体" w:hAnsi="宋体" w:eastAsia="宋体" w:cs="宋体"/>
          <w:sz w:val="27"/>
          <w:szCs w:val="27"/>
          <w:shd w:val="clear" w:fill="FFFFFF"/>
          <w:lang w:val="en-US"/>
        </w:rPr>
        <w:t> </w:t>
      </w:r>
      <w:r>
        <w:rPr>
          <w:rStyle w:val="5"/>
          <w:rFonts w:hint="eastAsia" w:ascii="方正楷体_GBK" w:hAnsi="方正楷体_GBK" w:eastAsia="方正楷体_GBK" w:cs="方正楷体_GBK"/>
          <w:sz w:val="32"/>
          <w:szCs w:val="32"/>
          <w:shd w:val="clear" w:fill="FFFFFF"/>
          <w:lang w:val="en-US" w:eastAsia="zh-CN"/>
        </w:rPr>
        <w:t xml:space="preserve"> （二）绩效自评结果。</w:t>
      </w:r>
    </w:p>
    <w:p>
      <w:pPr>
        <w:pStyle w:val="2"/>
        <w:keepNext w:val="0"/>
        <w:keepLines w:val="0"/>
        <w:pageBreakBefore w:val="0"/>
        <w:widowControl/>
        <w:shd w:val="clear" w:fill="FFFFFF"/>
        <w:kinsoku/>
        <w:wordWrap/>
        <w:overflowPunct/>
        <w:topLinePunct w:val="0"/>
        <w:autoSpaceDN/>
        <w:bidi w:val="0"/>
        <w:adjustRightInd/>
        <w:snapToGrid w:val="0"/>
        <w:spacing w:beforeAutospacing="0" w:line="600" w:lineRule="exact"/>
        <w:textAlignment w:val="auto"/>
        <w:rPr>
          <w:rStyle w:val="7"/>
          <w:rFonts w:hint="eastAsia" w:ascii="方正仿宋_GBK" w:hAnsi="方正仿宋_GBK" w:eastAsia="方正仿宋_GBK" w:cs="方正仿宋_GBK"/>
          <w:b/>
          <w:bCs/>
          <w:kern w:val="0"/>
          <w:sz w:val="32"/>
          <w:szCs w:val="32"/>
          <w:lang w:val="en-US" w:eastAsia="zh-CN" w:bidi="ar"/>
        </w:rPr>
      </w:pPr>
      <w:r>
        <w:rPr>
          <w:rStyle w:val="5"/>
          <w:rFonts w:hint="eastAsia" w:ascii="宋体" w:hAnsi="宋体" w:eastAsia="宋体" w:cs="宋体"/>
          <w:sz w:val="27"/>
          <w:szCs w:val="27"/>
          <w:shd w:val="clear" w:fill="FFFFFF"/>
          <w:lang w:val="en-US"/>
        </w:rPr>
        <w:t> </w:t>
      </w:r>
      <w:r>
        <w:rPr>
          <w:rStyle w:val="7"/>
          <w:rFonts w:hint="eastAsia" w:ascii="方正仿宋_GBK" w:hAnsi="方正仿宋_GBK" w:eastAsia="方正仿宋_GBK" w:cs="方正仿宋_GBK"/>
          <w:b/>
          <w:bCs/>
          <w:kern w:val="0"/>
          <w:sz w:val="32"/>
          <w:szCs w:val="32"/>
          <w:lang w:val="en-US" w:eastAsia="zh-CN" w:bidi="ar"/>
        </w:rPr>
        <w:t xml:space="preserve"> 1.绩效目标自评表。</w:t>
      </w:r>
    </w:p>
    <w:p>
      <w:pPr>
        <w:pStyle w:val="8"/>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lang w:val="en-US" w:eastAsia="zh-CN"/>
        </w:rPr>
        <w:t>一般性</w:t>
      </w:r>
      <w:r>
        <w:rPr>
          <w:rFonts w:hint="eastAsia" w:ascii="Times New Roman" w:hAnsi="Times New Roman" w:eastAsia="方正小标宋_GBK" w:cs="宋体"/>
          <w:color w:val="000000"/>
          <w:kern w:val="0"/>
          <w:sz w:val="36"/>
          <w:szCs w:val="36"/>
        </w:rPr>
        <w:t>项目绩效自评表</w:t>
      </w:r>
    </w:p>
    <w:tbl>
      <w:tblPr>
        <w:tblStyle w:val="3"/>
        <w:tblpPr w:leftFromText="181" w:rightFromText="181" w:vertAnchor="text" w:horzAnchor="page" w:tblpX="1299" w:tblpY="1"/>
        <w:tblOverlap w:val="never"/>
        <w:tblW w:w="10277" w:type="dxa"/>
        <w:tblInd w:w="0" w:type="dxa"/>
        <w:tblLayout w:type="fixed"/>
        <w:tblCellMar>
          <w:top w:w="0" w:type="dxa"/>
          <w:left w:w="108" w:type="dxa"/>
          <w:bottom w:w="0" w:type="dxa"/>
          <w:right w:w="108" w:type="dxa"/>
        </w:tblCellMar>
      </w:tblPr>
      <w:tblGrid>
        <w:gridCol w:w="858"/>
        <w:gridCol w:w="1225"/>
        <w:gridCol w:w="90"/>
        <w:gridCol w:w="425"/>
        <w:gridCol w:w="818"/>
        <w:gridCol w:w="829"/>
        <w:gridCol w:w="471"/>
        <w:gridCol w:w="1064"/>
        <w:gridCol w:w="1162"/>
        <w:gridCol w:w="1070"/>
        <w:gridCol w:w="1007"/>
        <w:gridCol w:w="1258"/>
      </w:tblGrid>
      <w:tr>
        <w:tblPrEx>
          <w:tblCellMar>
            <w:top w:w="0" w:type="dxa"/>
            <w:left w:w="108" w:type="dxa"/>
            <w:bottom w:w="0" w:type="dxa"/>
            <w:right w:w="108" w:type="dxa"/>
          </w:tblCellMar>
        </w:tblPrEx>
        <w:trPr>
          <w:trHeight w:val="1098"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both"/>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174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鼎尚国际地质灾害搬迁点住户搬迁</w:t>
            </w:r>
          </w:p>
        </w:tc>
        <w:tc>
          <w:tcPr>
            <w:tcW w:w="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编码</w:t>
            </w:r>
          </w:p>
        </w:tc>
        <w:tc>
          <w:tcPr>
            <w:tcW w:w="130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rPr>
              <w:t>（分）</w:t>
            </w:r>
          </w:p>
        </w:tc>
        <w:tc>
          <w:tcPr>
            <w:tcW w:w="449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tblPrEx>
          <w:tblCellMar>
            <w:top w:w="0" w:type="dxa"/>
            <w:left w:w="108" w:type="dxa"/>
            <w:bottom w:w="0" w:type="dxa"/>
            <w:right w:w="108" w:type="dxa"/>
          </w:tblCellMar>
        </w:tblPrEx>
        <w:trPr>
          <w:trHeight w:val="738" w:hRule="atLeast"/>
        </w:trPr>
        <w:tc>
          <w:tcPr>
            <w:tcW w:w="8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主管</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74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区信访办</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财政</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科</w:t>
            </w:r>
            <w:r>
              <w:rPr>
                <w:rFonts w:hint="eastAsia" w:ascii="Times New Roman" w:hAnsi="Times New Roman" w:eastAsia="方正仿宋_GBK" w:cs="宋体"/>
                <w:color w:val="000000"/>
                <w:kern w:val="0"/>
                <w:sz w:val="24"/>
                <w:szCs w:val="24"/>
              </w:rPr>
              <w:t>室</w:t>
            </w:r>
          </w:p>
        </w:tc>
        <w:tc>
          <w:tcPr>
            <w:tcW w:w="130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行政政法科</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梁静</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6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xml:space="preserve">  023-58520179</w:t>
            </w:r>
          </w:p>
        </w:tc>
      </w:tr>
      <w:tr>
        <w:tblPrEx>
          <w:tblCellMar>
            <w:top w:w="0" w:type="dxa"/>
            <w:left w:w="108" w:type="dxa"/>
            <w:bottom w:w="0" w:type="dxa"/>
            <w:right w:w="108" w:type="dxa"/>
          </w:tblCellMar>
        </w:tblPrEx>
        <w:trPr>
          <w:trHeight w:val="1098" w:hRule="atLeast"/>
        </w:trPr>
        <w:tc>
          <w:tcPr>
            <w:tcW w:w="858"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113" w:right="113"/>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315" w:type="dxa"/>
            <w:gridSpan w:val="2"/>
            <w:vMerge w:val="restart"/>
            <w:tcBorders>
              <w:top w:val="nil"/>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总金额</w:t>
            </w: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（调整）预算数</w:t>
            </w: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CellMar>
            <w:top w:w="0" w:type="dxa"/>
            <w:left w:w="108" w:type="dxa"/>
            <w:bottom w:w="0" w:type="dxa"/>
            <w:right w:w="108" w:type="dxa"/>
          </w:tblCellMar>
        </w:tblPrEx>
        <w:trPr>
          <w:trHeight w:val="488"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315" w:type="dxa"/>
            <w:gridSpan w:val="2"/>
            <w:vMerge w:val="continue"/>
            <w:tcBorders>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32.4</w:t>
            </w: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32.4</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CellMar>
            <w:top w:w="0" w:type="dxa"/>
            <w:left w:w="108" w:type="dxa"/>
            <w:bottom w:w="0" w:type="dxa"/>
            <w:right w:w="108" w:type="dxa"/>
          </w:tblCellMar>
        </w:tblPrEx>
        <w:trPr>
          <w:trHeight w:val="738"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315"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上级资金</w:t>
            </w: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r>
      <w:tr>
        <w:tblPrEx>
          <w:tblCellMar>
            <w:top w:w="0" w:type="dxa"/>
            <w:left w:w="108" w:type="dxa"/>
            <w:bottom w:w="0" w:type="dxa"/>
            <w:right w:w="108" w:type="dxa"/>
          </w:tblCellMar>
        </w:tblPrEx>
        <w:trPr>
          <w:trHeight w:val="488"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315"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区级资金</w:t>
            </w: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32.4</w:t>
            </w: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32.4</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CellMar>
            <w:top w:w="0" w:type="dxa"/>
            <w:left w:w="108" w:type="dxa"/>
            <w:bottom w:w="0" w:type="dxa"/>
            <w:right w:w="108" w:type="dxa"/>
          </w:tblCellMar>
        </w:tblPrEx>
        <w:trPr>
          <w:trHeight w:val="597" w:hRule="atLeast"/>
        </w:trPr>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255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2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全年（调整）绩效目标</w:t>
            </w:r>
          </w:p>
        </w:tc>
        <w:tc>
          <w:tcPr>
            <w:tcW w:w="333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1463"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255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推动铁峰山鼎尚国际地质灾害搬迁避让户103户（涉及108套房）有序搬迁。</w:t>
            </w:r>
          </w:p>
        </w:tc>
        <w:tc>
          <w:tcPr>
            <w:tcW w:w="352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333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完成铁峰山鼎尚国际地质灾害搬迁103户，</w:t>
            </w:r>
            <w:r>
              <w:rPr>
                <w:rFonts w:hint="eastAsia" w:ascii="Times New Roman" w:hAnsi="Times New Roman" w:eastAsia="方正仿宋_GBK" w:cs="宋体"/>
                <w:color w:val="000000"/>
                <w:kern w:val="0"/>
                <w:sz w:val="24"/>
                <w:szCs w:val="24"/>
                <w:lang w:eastAsia="zh-CN"/>
              </w:rPr>
              <w:t>兑付</w:t>
            </w:r>
            <w:bookmarkStart w:id="0" w:name="_GoBack"/>
            <w:bookmarkEnd w:id="0"/>
            <w:r>
              <w:rPr>
                <w:rFonts w:hint="eastAsia" w:ascii="Times New Roman" w:hAnsi="Times New Roman" w:eastAsia="方正仿宋_GBK" w:cs="宋体"/>
                <w:color w:val="000000"/>
                <w:kern w:val="0"/>
                <w:sz w:val="24"/>
                <w:szCs w:val="24"/>
              </w:rPr>
              <w:t>搬迁奖励金32.4万元。</w:t>
            </w:r>
          </w:p>
        </w:tc>
      </w:tr>
      <w:tr>
        <w:tblPrEx>
          <w:tblCellMar>
            <w:top w:w="0" w:type="dxa"/>
            <w:left w:w="108" w:type="dxa"/>
            <w:bottom w:w="0" w:type="dxa"/>
            <w:right w:w="108" w:type="dxa"/>
          </w:tblCellMar>
        </w:tblPrEx>
        <w:trPr>
          <w:trHeight w:val="1817" w:hRule="atLeast"/>
        </w:trPr>
        <w:tc>
          <w:tcPr>
            <w:tcW w:w="858" w:type="dxa"/>
            <w:vMerge w:val="restart"/>
            <w:tcBorders>
              <w:top w:val="nil"/>
              <w:left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1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8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是否核心</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tc>
      </w:tr>
      <w:tr>
        <w:tblPrEx>
          <w:tblCellMar>
            <w:top w:w="0" w:type="dxa"/>
            <w:left w:w="108" w:type="dxa"/>
            <w:bottom w:w="0" w:type="dxa"/>
            <w:right w:w="108" w:type="dxa"/>
          </w:tblCellMar>
        </w:tblPrEx>
        <w:trPr>
          <w:trHeight w:val="738" w:hRule="atLeast"/>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完成地质灾害搬迁</w:t>
            </w:r>
          </w:p>
        </w:tc>
        <w:tc>
          <w:tcPr>
            <w:tcW w:w="515"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户</w:t>
            </w:r>
          </w:p>
        </w:tc>
        <w:tc>
          <w:tcPr>
            <w:tcW w:w="81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w:t>
            </w:r>
          </w:p>
        </w:tc>
        <w:tc>
          <w:tcPr>
            <w:tcW w:w="82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103</w:t>
            </w:r>
          </w:p>
        </w:tc>
        <w:tc>
          <w:tcPr>
            <w:tcW w:w="47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106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103</w:t>
            </w:r>
          </w:p>
        </w:tc>
        <w:tc>
          <w:tcPr>
            <w:tcW w:w="11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107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60</w:t>
            </w:r>
          </w:p>
        </w:tc>
        <w:tc>
          <w:tcPr>
            <w:tcW w:w="1007"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60</w:t>
            </w:r>
          </w:p>
        </w:tc>
        <w:tc>
          <w:tcPr>
            <w:tcW w:w="1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是</w:t>
            </w:r>
          </w:p>
        </w:tc>
      </w:tr>
      <w:tr>
        <w:tblPrEx>
          <w:tblCellMar>
            <w:top w:w="0" w:type="dxa"/>
            <w:left w:w="108" w:type="dxa"/>
            <w:bottom w:w="0" w:type="dxa"/>
            <w:right w:w="108" w:type="dxa"/>
          </w:tblCellMar>
        </w:tblPrEx>
        <w:trPr>
          <w:trHeight w:val="738" w:hRule="atLeast"/>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搬迁奖励金兑付率</w:t>
            </w:r>
          </w:p>
        </w:tc>
        <w:tc>
          <w:tcPr>
            <w:tcW w:w="515"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81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w:t>
            </w:r>
          </w:p>
        </w:tc>
        <w:tc>
          <w:tcPr>
            <w:tcW w:w="82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47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106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1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07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007"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否</w:t>
            </w:r>
          </w:p>
        </w:tc>
      </w:tr>
      <w:tr>
        <w:tblPrEx>
          <w:tblCellMar>
            <w:top w:w="0" w:type="dxa"/>
            <w:left w:w="108" w:type="dxa"/>
            <w:bottom w:w="0" w:type="dxa"/>
            <w:right w:w="108" w:type="dxa"/>
          </w:tblCellMar>
        </w:tblPrEx>
        <w:trPr>
          <w:trHeight w:val="1457" w:hRule="atLeast"/>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实际完成投资控制在资金预算内比例</w:t>
            </w:r>
          </w:p>
        </w:tc>
        <w:tc>
          <w:tcPr>
            <w:tcW w:w="515"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81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w:t>
            </w:r>
          </w:p>
        </w:tc>
        <w:tc>
          <w:tcPr>
            <w:tcW w:w="82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47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106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11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107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007"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否</w:t>
            </w:r>
          </w:p>
        </w:tc>
      </w:tr>
      <w:tr>
        <w:tblPrEx>
          <w:tblCellMar>
            <w:top w:w="0" w:type="dxa"/>
            <w:left w:w="108" w:type="dxa"/>
            <w:bottom w:w="0" w:type="dxa"/>
            <w:right w:w="108" w:type="dxa"/>
          </w:tblCellMar>
        </w:tblPrEx>
        <w:trPr>
          <w:trHeight w:val="685" w:hRule="atLeast"/>
        </w:trPr>
        <w:tc>
          <w:tcPr>
            <w:tcW w:w="8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419"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r>
    </w:tbl>
    <w:p>
      <w:pPr>
        <w:pStyle w:val="8"/>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lang w:val="en-US" w:eastAsia="zh-CN"/>
        </w:rPr>
      </w:pPr>
    </w:p>
    <w:p>
      <w:pPr>
        <w:pStyle w:val="8"/>
        <w:tabs>
          <w:tab w:val="center" w:pos="4153"/>
          <w:tab w:val="left" w:pos="7275"/>
        </w:tabs>
        <w:spacing w:line="600" w:lineRule="exact"/>
        <w:ind w:firstLine="0" w:firstLineChars="0"/>
        <w:jc w:val="center"/>
        <w:rPr>
          <w:rStyle w:val="5"/>
          <w:rFonts w:hint="eastAsia" w:ascii="宋体" w:hAnsi="宋体" w:eastAsia="宋体" w:cs="宋体"/>
          <w:sz w:val="27"/>
          <w:szCs w:val="27"/>
          <w:shd w:val="clear" w:fill="FFFFFF"/>
          <w:lang w:val="en-US"/>
        </w:rPr>
      </w:pPr>
      <w:r>
        <w:rPr>
          <w:rFonts w:hint="eastAsia" w:ascii="Times New Roman" w:hAnsi="Times New Roman" w:eastAsia="方正小标宋_GBK" w:cs="宋体"/>
          <w:color w:val="000000"/>
          <w:kern w:val="0"/>
          <w:sz w:val="36"/>
          <w:szCs w:val="36"/>
          <w:lang w:val="en-US" w:eastAsia="zh-CN"/>
        </w:rPr>
        <w:t>一般性</w:t>
      </w:r>
      <w:r>
        <w:rPr>
          <w:rFonts w:hint="eastAsia" w:ascii="Times New Roman" w:hAnsi="Times New Roman" w:eastAsia="方正小标宋_GBK" w:cs="宋体"/>
          <w:color w:val="000000"/>
          <w:kern w:val="0"/>
          <w:sz w:val="36"/>
          <w:szCs w:val="36"/>
        </w:rPr>
        <w:t>项目绩效自评表</w:t>
      </w:r>
    </w:p>
    <w:tbl>
      <w:tblPr>
        <w:tblStyle w:val="3"/>
        <w:tblpPr w:leftFromText="181" w:rightFromText="181" w:vertAnchor="text" w:horzAnchor="page" w:tblpX="1274" w:tblpY="908"/>
        <w:tblOverlap w:val="never"/>
        <w:tblW w:w="10277" w:type="dxa"/>
        <w:tblInd w:w="0" w:type="dxa"/>
        <w:tblLayout w:type="fixed"/>
        <w:tblCellMar>
          <w:top w:w="0" w:type="dxa"/>
          <w:left w:w="108" w:type="dxa"/>
          <w:bottom w:w="0" w:type="dxa"/>
          <w:right w:w="108" w:type="dxa"/>
        </w:tblCellMar>
      </w:tblPr>
      <w:tblGrid>
        <w:gridCol w:w="858"/>
        <w:gridCol w:w="1225"/>
        <w:gridCol w:w="90"/>
        <w:gridCol w:w="425"/>
        <w:gridCol w:w="818"/>
        <w:gridCol w:w="829"/>
        <w:gridCol w:w="471"/>
        <w:gridCol w:w="1064"/>
        <w:gridCol w:w="1162"/>
        <w:gridCol w:w="1070"/>
        <w:gridCol w:w="1007"/>
        <w:gridCol w:w="1258"/>
      </w:tblGrid>
      <w:tr>
        <w:tblPrEx>
          <w:tblCellMar>
            <w:top w:w="0" w:type="dxa"/>
            <w:left w:w="108" w:type="dxa"/>
            <w:bottom w:w="0" w:type="dxa"/>
            <w:right w:w="108" w:type="dxa"/>
          </w:tblCellMar>
        </w:tblPrEx>
        <w:trPr>
          <w:trHeight w:val="1098" w:hRule="atLeast"/>
        </w:trPr>
        <w:tc>
          <w:tcPr>
            <w:tcW w:w="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both"/>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174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鼎尚国际地质灾害搬迁信访维稳</w:t>
            </w:r>
          </w:p>
        </w:tc>
        <w:tc>
          <w:tcPr>
            <w:tcW w:w="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编码</w:t>
            </w:r>
          </w:p>
        </w:tc>
        <w:tc>
          <w:tcPr>
            <w:tcW w:w="130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0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rPr>
              <w:t>（分）</w:t>
            </w:r>
          </w:p>
        </w:tc>
        <w:tc>
          <w:tcPr>
            <w:tcW w:w="4497"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tblPrEx>
          <w:tblCellMar>
            <w:top w:w="0" w:type="dxa"/>
            <w:left w:w="108" w:type="dxa"/>
            <w:bottom w:w="0" w:type="dxa"/>
            <w:right w:w="108" w:type="dxa"/>
          </w:tblCellMar>
        </w:tblPrEx>
        <w:trPr>
          <w:trHeight w:val="738" w:hRule="atLeast"/>
        </w:trPr>
        <w:tc>
          <w:tcPr>
            <w:tcW w:w="8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主管</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740"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区信访办</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财政</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科</w:t>
            </w:r>
            <w:r>
              <w:rPr>
                <w:rFonts w:hint="eastAsia" w:ascii="Times New Roman" w:hAnsi="Times New Roman" w:eastAsia="方正仿宋_GBK" w:cs="宋体"/>
                <w:color w:val="000000"/>
                <w:kern w:val="0"/>
                <w:sz w:val="24"/>
                <w:szCs w:val="24"/>
              </w:rPr>
              <w:t>室</w:t>
            </w:r>
          </w:p>
        </w:tc>
        <w:tc>
          <w:tcPr>
            <w:tcW w:w="130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行政政法科</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梁静</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6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 xml:space="preserve">  023-58520179</w:t>
            </w:r>
          </w:p>
        </w:tc>
      </w:tr>
      <w:tr>
        <w:tblPrEx>
          <w:tblCellMar>
            <w:top w:w="0" w:type="dxa"/>
            <w:left w:w="108" w:type="dxa"/>
            <w:bottom w:w="0" w:type="dxa"/>
            <w:right w:w="108" w:type="dxa"/>
          </w:tblCellMar>
        </w:tblPrEx>
        <w:trPr>
          <w:trHeight w:val="1098" w:hRule="atLeast"/>
        </w:trPr>
        <w:tc>
          <w:tcPr>
            <w:tcW w:w="858" w:type="dxa"/>
            <w:vMerge w:val="restart"/>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ind w:left="113" w:right="113"/>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315" w:type="dxa"/>
            <w:gridSpan w:val="2"/>
            <w:vMerge w:val="restart"/>
            <w:tcBorders>
              <w:top w:val="nil"/>
              <w:left w:val="nil"/>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总金额</w:t>
            </w: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（调整）预算数</w:t>
            </w: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CellMar>
            <w:top w:w="0" w:type="dxa"/>
            <w:left w:w="108" w:type="dxa"/>
            <w:bottom w:w="0" w:type="dxa"/>
            <w:right w:w="108" w:type="dxa"/>
          </w:tblCellMar>
        </w:tblPrEx>
        <w:trPr>
          <w:trHeight w:val="488"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315" w:type="dxa"/>
            <w:gridSpan w:val="2"/>
            <w:vMerge w:val="continue"/>
            <w:tcBorders>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15</w:t>
            </w: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15"/>
                <w:szCs w:val="15"/>
                <w:lang w:val="en-US" w:eastAsia="zh-CN"/>
              </w:rPr>
            </w:pPr>
            <w:r>
              <w:rPr>
                <w:rFonts w:hint="eastAsia" w:ascii="Times New Roman" w:hAnsi="Times New Roman" w:eastAsia="方正仿宋_GBK" w:cs="宋体"/>
                <w:color w:val="000000"/>
                <w:kern w:val="0"/>
                <w:sz w:val="24"/>
                <w:szCs w:val="24"/>
                <w:lang w:val="en-US" w:eastAsia="zh-CN"/>
              </w:rPr>
              <w:t>15</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CellMar>
            <w:top w:w="0" w:type="dxa"/>
            <w:left w:w="108" w:type="dxa"/>
            <w:bottom w:w="0" w:type="dxa"/>
            <w:right w:w="108" w:type="dxa"/>
          </w:tblCellMar>
        </w:tblPrEx>
        <w:trPr>
          <w:trHeight w:val="501"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315"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上级资金</w:t>
            </w: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p>
        </w:tc>
      </w:tr>
      <w:tr>
        <w:tblPrEx>
          <w:tblCellMar>
            <w:top w:w="0" w:type="dxa"/>
            <w:left w:w="108" w:type="dxa"/>
            <w:bottom w:w="0" w:type="dxa"/>
            <w:right w:w="108" w:type="dxa"/>
          </w:tblCellMar>
        </w:tblPrEx>
        <w:trPr>
          <w:trHeight w:val="488"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315" w:type="dxa"/>
            <w:gridSpan w:val="2"/>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区级资金</w:t>
            </w:r>
          </w:p>
        </w:tc>
        <w:tc>
          <w:tcPr>
            <w:tcW w:w="1243"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3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15</w:t>
            </w:r>
          </w:p>
        </w:tc>
        <w:tc>
          <w:tcPr>
            <w:tcW w:w="22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15</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CellMar>
            <w:top w:w="0" w:type="dxa"/>
            <w:left w:w="108" w:type="dxa"/>
            <w:bottom w:w="0" w:type="dxa"/>
            <w:right w:w="108" w:type="dxa"/>
          </w:tblCellMar>
        </w:tblPrEx>
        <w:trPr>
          <w:trHeight w:val="597" w:hRule="atLeast"/>
        </w:trPr>
        <w:tc>
          <w:tcPr>
            <w:tcW w:w="85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255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2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全年（调整）绩效目标</w:t>
            </w:r>
          </w:p>
        </w:tc>
        <w:tc>
          <w:tcPr>
            <w:tcW w:w="333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CellMar>
            <w:top w:w="0" w:type="dxa"/>
            <w:left w:w="108" w:type="dxa"/>
            <w:bottom w:w="0" w:type="dxa"/>
            <w:right w:w="108" w:type="dxa"/>
          </w:tblCellMar>
        </w:tblPrEx>
        <w:trPr>
          <w:trHeight w:val="482" w:hRule="atLeast"/>
        </w:trPr>
        <w:tc>
          <w:tcPr>
            <w:tcW w:w="85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255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为推动铁峰山鼎尚国际地质灾害搬迁，在现场设立信访接待点、卡口执勤点、现场维稳点、开展政策宣传、信访接待、安全维稳、巡查管护等后勤及日常办公等工作。</w:t>
            </w:r>
          </w:p>
        </w:tc>
        <w:tc>
          <w:tcPr>
            <w:tcW w:w="352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333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申请专项工作经费，共计15万元。</w:t>
            </w:r>
          </w:p>
        </w:tc>
      </w:tr>
      <w:tr>
        <w:tblPrEx>
          <w:tblCellMar>
            <w:top w:w="0" w:type="dxa"/>
            <w:left w:w="108" w:type="dxa"/>
            <w:bottom w:w="0" w:type="dxa"/>
            <w:right w:w="108" w:type="dxa"/>
          </w:tblCellMar>
        </w:tblPrEx>
        <w:trPr>
          <w:trHeight w:val="1817" w:hRule="atLeast"/>
        </w:trPr>
        <w:tc>
          <w:tcPr>
            <w:tcW w:w="858" w:type="dxa"/>
            <w:vMerge w:val="restart"/>
            <w:tcBorders>
              <w:top w:val="nil"/>
              <w:left w:val="single" w:color="auto" w:sz="4" w:space="0"/>
              <w:right w:val="single" w:color="auto"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15"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8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4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调整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106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11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0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12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是否核心</w:t>
            </w:r>
          </w:p>
          <w:p>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tc>
      </w:tr>
      <w:tr>
        <w:tblPrEx>
          <w:tblCellMar>
            <w:top w:w="0" w:type="dxa"/>
            <w:left w:w="108" w:type="dxa"/>
            <w:bottom w:w="0" w:type="dxa"/>
            <w:right w:w="108" w:type="dxa"/>
          </w:tblCellMar>
        </w:tblPrEx>
        <w:trPr>
          <w:trHeight w:val="738" w:hRule="atLeast"/>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工作经费</w:t>
            </w:r>
            <w:r>
              <w:rPr>
                <w:rFonts w:hint="eastAsia" w:ascii="Times New Roman" w:hAnsi="Times New Roman" w:eastAsia="方正仿宋_GBK" w:cs="宋体"/>
                <w:color w:val="000000"/>
                <w:kern w:val="0"/>
                <w:sz w:val="24"/>
                <w:szCs w:val="24"/>
                <w:lang w:eastAsia="zh-CN"/>
              </w:rPr>
              <w:t>到位</w:t>
            </w:r>
            <w:r>
              <w:rPr>
                <w:rFonts w:hint="eastAsia" w:ascii="Times New Roman" w:hAnsi="Times New Roman" w:eastAsia="方正仿宋_GBK" w:cs="宋体"/>
                <w:color w:val="000000"/>
                <w:kern w:val="0"/>
                <w:sz w:val="24"/>
                <w:szCs w:val="24"/>
              </w:rPr>
              <w:t>率</w:t>
            </w:r>
          </w:p>
        </w:tc>
        <w:tc>
          <w:tcPr>
            <w:tcW w:w="515"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p>
        </w:tc>
        <w:tc>
          <w:tcPr>
            <w:tcW w:w="81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w:t>
            </w:r>
          </w:p>
        </w:tc>
        <w:tc>
          <w:tcPr>
            <w:tcW w:w="82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47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106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1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107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60</w:t>
            </w:r>
          </w:p>
        </w:tc>
        <w:tc>
          <w:tcPr>
            <w:tcW w:w="1007"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60</w:t>
            </w:r>
          </w:p>
        </w:tc>
        <w:tc>
          <w:tcPr>
            <w:tcW w:w="1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是</w:t>
            </w:r>
          </w:p>
        </w:tc>
      </w:tr>
      <w:tr>
        <w:tblPrEx>
          <w:tblCellMar>
            <w:top w:w="0" w:type="dxa"/>
            <w:left w:w="108" w:type="dxa"/>
            <w:bottom w:w="0" w:type="dxa"/>
            <w:right w:w="108" w:type="dxa"/>
          </w:tblCellMar>
        </w:tblPrEx>
        <w:trPr>
          <w:trHeight w:val="738" w:hRule="atLeast"/>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工作经费使用率</w:t>
            </w:r>
          </w:p>
        </w:tc>
        <w:tc>
          <w:tcPr>
            <w:tcW w:w="515"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81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w:t>
            </w:r>
          </w:p>
        </w:tc>
        <w:tc>
          <w:tcPr>
            <w:tcW w:w="82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47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106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1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07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007"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c>
          <w:tcPr>
            <w:tcW w:w="1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否</w:t>
            </w:r>
          </w:p>
        </w:tc>
      </w:tr>
      <w:tr>
        <w:tblPrEx>
          <w:tblCellMar>
            <w:top w:w="0" w:type="dxa"/>
            <w:left w:w="108" w:type="dxa"/>
            <w:bottom w:w="0" w:type="dxa"/>
            <w:right w:w="108" w:type="dxa"/>
          </w:tblCellMar>
        </w:tblPrEx>
        <w:trPr>
          <w:trHeight w:val="1457" w:hRule="atLeast"/>
        </w:trPr>
        <w:tc>
          <w:tcPr>
            <w:tcW w:w="85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ascii="Times New Roman" w:hAnsi="Times New Roman" w:eastAsia="方正仿宋_GBK" w:cs="宋体"/>
                <w:color w:val="000000"/>
                <w:kern w:val="0"/>
                <w:sz w:val="24"/>
                <w:szCs w:val="24"/>
              </w:rPr>
            </w:pPr>
          </w:p>
        </w:tc>
        <w:tc>
          <w:tcPr>
            <w:tcW w:w="1225"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实际完成投资控制在资金预算内比例</w:t>
            </w:r>
          </w:p>
        </w:tc>
        <w:tc>
          <w:tcPr>
            <w:tcW w:w="515" w:type="dxa"/>
            <w:gridSpan w:val="2"/>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818"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w:t>
            </w:r>
          </w:p>
        </w:tc>
        <w:tc>
          <w:tcPr>
            <w:tcW w:w="829"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471"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c>
          <w:tcPr>
            <w:tcW w:w="1064"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1162"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100%</w:t>
            </w:r>
          </w:p>
        </w:tc>
        <w:tc>
          <w:tcPr>
            <w:tcW w:w="1070"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007" w:type="dxa"/>
            <w:tcBorders>
              <w:top w:val="nil"/>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lang w:eastAsia="zh-CN"/>
              </w:rPr>
            </w:pPr>
            <w:r>
              <w:rPr>
                <w:rFonts w:hint="eastAsia" w:ascii="Times New Roman" w:hAnsi="Times New Roman" w:eastAsia="方正仿宋_GBK" w:cs="宋体"/>
                <w:color w:val="000000"/>
                <w:kern w:val="0"/>
                <w:sz w:val="24"/>
                <w:szCs w:val="24"/>
                <w:lang w:eastAsia="zh-CN"/>
              </w:rPr>
              <w:t>否</w:t>
            </w:r>
          </w:p>
        </w:tc>
      </w:tr>
      <w:tr>
        <w:tblPrEx>
          <w:tblCellMar>
            <w:top w:w="0" w:type="dxa"/>
            <w:left w:w="108" w:type="dxa"/>
            <w:bottom w:w="0" w:type="dxa"/>
            <w:right w:w="108" w:type="dxa"/>
          </w:tblCellMar>
        </w:tblPrEx>
        <w:trPr>
          <w:trHeight w:val="685" w:hRule="atLeast"/>
        </w:trPr>
        <w:tc>
          <w:tcPr>
            <w:tcW w:w="85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419"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60" w:lineRule="exact"/>
              <w:textAlignment w:val="auto"/>
              <w:rPr>
                <w:rFonts w:hint="eastAsia" w:ascii="Times New Roman" w:hAnsi="Times New Roman" w:eastAsia="方正仿宋_GBK" w:cs="宋体"/>
                <w:color w:val="000000"/>
                <w:kern w:val="0"/>
                <w:sz w:val="24"/>
                <w:szCs w:val="24"/>
              </w:rPr>
            </w:pPr>
          </w:p>
        </w:tc>
      </w:tr>
    </w:tbl>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textAlignment w:val="auto"/>
        <w:rPr>
          <w:rStyle w:val="7"/>
          <w:rFonts w:hint="eastAsia" w:ascii="方正仿宋_GBK" w:hAnsi="方正仿宋_GBK" w:eastAsia="方正仿宋_GBK" w:cs="方正仿宋_GBK"/>
          <w:b/>
          <w:bCs/>
          <w:kern w:val="0"/>
          <w:sz w:val="32"/>
          <w:szCs w:val="32"/>
          <w:lang w:val="en-US" w:eastAsia="zh-CN" w:bidi="ar"/>
        </w:rPr>
      </w:pP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321" w:firstLineChars="100"/>
        <w:textAlignment w:val="auto"/>
      </w:pPr>
      <w:r>
        <w:rPr>
          <w:rStyle w:val="7"/>
          <w:rFonts w:hint="eastAsia" w:ascii="方正仿宋_GBK" w:hAnsi="方正仿宋_GBK" w:eastAsia="方正仿宋_GBK" w:cs="方正仿宋_GBK"/>
          <w:b/>
          <w:bCs/>
          <w:kern w:val="0"/>
          <w:sz w:val="32"/>
          <w:szCs w:val="32"/>
          <w:lang w:val="en-US" w:eastAsia="zh-CN" w:bidi="ar"/>
        </w:rPr>
        <w:t>2.绩效自评报告或案例。</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本单位没有委托第三方开展绩效自评。</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textAlignment w:val="auto"/>
      </w:pPr>
      <w:r>
        <w:rPr>
          <w:rStyle w:val="5"/>
          <w:rFonts w:hint="eastAsia" w:ascii="宋体" w:hAnsi="宋体" w:eastAsia="宋体" w:cs="宋体"/>
          <w:sz w:val="27"/>
          <w:szCs w:val="27"/>
          <w:shd w:val="clear" w:fill="FFFFFF"/>
          <w:lang w:val="en-US"/>
        </w:rPr>
        <w:t> </w:t>
      </w:r>
      <w:r>
        <w:rPr>
          <w:rStyle w:val="7"/>
          <w:rFonts w:hint="eastAsia" w:ascii="方正仿宋_GBK" w:hAnsi="方正仿宋_GBK" w:eastAsia="方正仿宋_GBK" w:cs="方正仿宋_GBK"/>
          <w:b/>
          <w:bCs/>
          <w:kern w:val="0"/>
          <w:sz w:val="30"/>
          <w:szCs w:val="30"/>
          <w:lang w:val="en-US" w:eastAsia="zh-CN" w:bidi="ar"/>
        </w:rPr>
        <w:t>3.关于绩效自评结果的说明。</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通过绩效自评，所有项目都完成了年度绩效目标。</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textAlignment w:val="auto"/>
      </w:pPr>
      <w:r>
        <w:rPr>
          <w:rStyle w:val="5"/>
          <w:rFonts w:hint="eastAsia" w:ascii="宋体" w:hAnsi="宋体" w:eastAsia="宋体" w:cs="宋体"/>
          <w:sz w:val="27"/>
          <w:szCs w:val="27"/>
          <w:shd w:val="clear" w:fill="FFFFFF"/>
          <w:lang w:val="en-US"/>
        </w:rPr>
        <w:t xml:space="preserve">  </w:t>
      </w:r>
      <w:r>
        <w:rPr>
          <w:rStyle w:val="5"/>
          <w:rFonts w:hint="eastAsia" w:ascii="方正楷体_GBK" w:hAnsi="方正楷体_GBK" w:eastAsia="方正楷体_GBK" w:cs="方正楷体_GBK"/>
          <w:sz w:val="32"/>
          <w:szCs w:val="32"/>
          <w:shd w:val="clear" w:fill="FFFFFF"/>
          <w:lang w:val="en-US" w:eastAsia="zh-CN"/>
        </w:rPr>
        <w:t>（三）重点绩效评价结果。</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640" w:firstLineChars="200"/>
        <w:jc w:val="left"/>
        <w:textAlignment w:val="auto"/>
        <w:rPr>
          <w:rStyle w:val="7"/>
          <w:rFonts w:hint="eastAsia" w:ascii="方正仿宋_GBK" w:hAnsi="方正仿宋_GBK" w:eastAsia="方正仿宋_GBK" w:cs="方正仿宋_GBK"/>
          <w:b w:val="0"/>
          <w:kern w:val="0"/>
          <w:sz w:val="32"/>
          <w:szCs w:val="32"/>
          <w:lang w:val="en-US" w:eastAsia="zh-CN" w:bidi="ar"/>
        </w:rPr>
      </w:pPr>
      <w:r>
        <w:rPr>
          <w:rStyle w:val="7"/>
          <w:rFonts w:hint="eastAsia" w:ascii="方正仿宋_GBK" w:hAnsi="方正仿宋_GBK" w:eastAsia="方正仿宋_GBK" w:cs="方正仿宋_GBK"/>
          <w:b w:val="0"/>
          <w:kern w:val="0"/>
          <w:sz w:val="32"/>
          <w:szCs w:val="32"/>
          <w:lang w:val="en-US" w:eastAsia="zh-CN" w:bidi="ar"/>
        </w:rPr>
        <w:t>本单位没有财政重点绩效评价项目。</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textAlignment w:val="auto"/>
      </w:pPr>
      <w:r>
        <w:rPr>
          <w:rStyle w:val="5"/>
          <w:rFonts w:hint="eastAsia" w:ascii="宋体" w:hAnsi="宋体" w:eastAsia="宋体" w:cs="宋体"/>
          <w:sz w:val="27"/>
          <w:szCs w:val="27"/>
          <w:shd w:val="clear" w:fill="FFFFFF"/>
          <w:lang w:val="en-US"/>
        </w:rPr>
        <w:t xml:space="preserve">  </w:t>
      </w:r>
      <w:r>
        <w:rPr>
          <w:rStyle w:val="5"/>
          <w:rFonts w:hint="eastAsia" w:ascii="方正黑体_GBK" w:hAnsi="方正黑体_GBK" w:eastAsia="方正黑体_GBK" w:cs="方正黑体_GBK"/>
          <w:sz w:val="32"/>
          <w:szCs w:val="32"/>
          <w:shd w:val="clear" w:fill="FFFFFF"/>
          <w:lang w:val="en-US" w:eastAsia="zh-CN"/>
        </w:rPr>
        <w:t>六、专业名词解释</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（一）财政拨款收入</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指本年度从本级财政部门取得的财政拨款，包括一般公共预算财政拨款和政府性基金预算财政拨款。</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（二）事业收入</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指事业单位开展专业业务活动及其辅助活动取得的现金流入；事业单位收到的财政专户实际核拨的教育收费等资金在此反映。</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Fonts w:hint="eastAsia" w:ascii="Times New Roman" w:hAnsi="Times New Roman" w:eastAsia="方正仿宋_GBK" w:cs="宋体"/>
          <w:color w:val="000000"/>
          <w:kern w:val="0"/>
          <w:sz w:val="32"/>
          <w:szCs w:val="32"/>
          <w:lang w:eastAsia="zh-CN"/>
        </w:rPr>
      </w:pPr>
      <w:r>
        <w:rPr>
          <w:rStyle w:val="5"/>
          <w:rFonts w:hint="eastAsia" w:ascii="宋体" w:hAnsi="宋体" w:eastAsia="宋体" w:cs="宋体"/>
          <w:sz w:val="27"/>
          <w:szCs w:val="27"/>
          <w:shd w:val="clear" w:fill="FFFFFF"/>
          <w:lang w:eastAsia="zh-CN"/>
        </w:rPr>
        <w:t>（三）经营收入</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指事业单位在专业业务活动及其辅助活动之外开展非独立核算经营活动取得的现金流入。</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（四）其他收入</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（五）使用非财政拨款结余</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Fonts w:hint="eastAsia" w:ascii="Times New Roman" w:hAnsi="Times New Roman" w:eastAsia="方正仿宋_GBK" w:cs="宋体"/>
          <w:color w:val="000000"/>
          <w:kern w:val="0"/>
          <w:sz w:val="32"/>
          <w:szCs w:val="32"/>
          <w:lang w:eastAsia="zh-CN"/>
        </w:rPr>
      </w:pPr>
      <w:r>
        <w:rPr>
          <w:rStyle w:val="5"/>
          <w:rFonts w:hint="eastAsia" w:ascii="宋体" w:hAnsi="宋体" w:eastAsia="宋体" w:cs="宋体"/>
          <w:sz w:val="27"/>
          <w:szCs w:val="27"/>
          <w:shd w:val="clear" w:fill="FFFFFF"/>
          <w:lang w:eastAsia="zh-CN"/>
        </w:rPr>
        <w:t>（六）年初结转和结余</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指单位上年结转本年使用的基本支出结转、项目支出结转和结余、经营结余。</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Fonts w:hint="eastAsia" w:ascii="Times New Roman" w:hAnsi="Times New Roman" w:eastAsia="方正仿宋_GBK" w:cs="宋体"/>
          <w:color w:val="000000"/>
          <w:kern w:val="0"/>
          <w:sz w:val="32"/>
          <w:szCs w:val="32"/>
          <w:lang w:eastAsia="zh-CN"/>
        </w:rPr>
      </w:pPr>
      <w:r>
        <w:rPr>
          <w:rStyle w:val="5"/>
          <w:rFonts w:hint="eastAsia" w:ascii="宋体" w:hAnsi="宋体" w:eastAsia="宋体" w:cs="宋体"/>
          <w:sz w:val="27"/>
          <w:szCs w:val="27"/>
          <w:shd w:val="clear" w:fill="FFFFFF"/>
          <w:lang w:eastAsia="zh-CN"/>
        </w:rPr>
        <w:t>（七）结余分配</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指单位按照国家有关规定，缴纳所得税、提取专用基金、转入非财政拨款结余等当年结余的分配情况。</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（八）年末结转和结余</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指单位结转下年的基本支出结转、项目支出结转和结余、经营结余。</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（九）基本支出</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（十）项目支出</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指在基本支出之外为完成特定行政任务和事业发展目标所发生的支出。</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600" w:lineRule="exact"/>
        <w:ind w:firstLine="542"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（十一）经营支出</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指事业单位在专业业务活动及其辅助活动之外开展非独立核算经营活动发生的支出。</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（十二）</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三公</w:t>
      </w:r>
      <w:r>
        <w:rPr>
          <w:rStyle w:val="5"/>
          <w:rFonts w:hint="eastAsia" w:ascii="宋体" w:hAnsi="宋体" w:eastAsia="宋体" w:cs="宋体"/>
          <w:sz w:val="27"/>
          <w:szCs w:val="27"/>
          <w:shd w:val="clear" w:fill="FFFFFF"/>
          <w:lang w:val="en-US"/>
        </w:rPr>
        <w:t>”</w:t>
      </w:r>
      <w:r>
        <w:rPr>
          <w:rStyle w:val="5"/>
          <w:rFonts w:hint="eastAsia" w:ascii="宋体" w:hAnsi="宋体" w:eastAsia="宋体" w:cs="宋体"/>
          <w:sz w:val="27"/>
          <w:szCs w:val="27"/>
          <w:shd w:val="clear" w:fill="FFFFFF"/>
          <w:lang w:eastAsia="zh-CN"/>
        </w:rPr>
        <w:t>经费</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（十三）机关运行经费</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（十四）工资福利支出（支出经济分类科目类级）</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反映单位开支的在职职工和编制外长期聘用人员的各类劳动报酬，以及为上述人员缴纳的各项社会保险费等。</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（十五）商品和服务支出（支出经济分类科目类级）</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反映单位购买商品和服务的支出（不包括用于购置固定资产的支出、战略性和应急储备支出）。</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ind w:firstLine="542" w:firstLineChars="200"/>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（十六）对个人和家庭的补助（支出经济分类科目类级）</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反映用于对个人和家庭的补助支出。</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ind w:firstLine="542" w:firstLineChars="200"/>
        <w:jc w:val="both"/>
        <w:textAlignment w:val="auto"/>
        <w:rPr>
          <w:rStyle w:val="7"/>
          <w:rFonts w:hint="eastAsia" w:ascii="方正仿宋_GBK" w:hAnsi="方正仿宋_GBK" w:eastAsia="方正仿宋_GBK" w:cs="方正仿宋_GBK"/>
          <w:b w:val="0"/>
          <w:kern w:val="0"/>
          <w:sz w:val="32"/>
          <w:szCs w:val="32"/>
          <w:lang w:val="en-US" w:eastAsia="zh-CN" w:bidi="ar"/>
        </w:rPr>
      </w:pPr>
      <w:r>
        <w:rPr>
          <w:rStyle w:val="5"/>
          <w:rFonts w:hint="eastAsia" w:ascii="宋体" w:hAnsi="宋体" w:eastAsia="宋体" w:cs="宋体"/>
          <w:sz w:val="27"/>
          <w:szCs w:val="27"/>
          <w:shd w:val="clear" w:fill="FFFFFF"/>
          <w:lang w:eastAsia="zh-CN"/>
        </w:rPr>
        <w:t>（十七）其他资本性支出（支出经济分类科目类级）</w:t>
      </w:r>
      <w:r>
        <w:rPr>
          <w:sz w:val="27"/>
          <w:szCs w:val="27"/>
          <w:shd w:val="clear" w:fill="FFFFFF"/>
          <w:lang w:eastAsia="zh-CN"/>
        </w:rPr>
        <w:t>：</w:t>
      </w:r>
      <w:r>
        <w:rPr>
          <w:rStyle w:val="7"/>
          <w:rFonts w:hint="eastAsia" w:ascii="方正仿宋_GBK" w:hAnsi="方正仿宋_GBK" w:eastAsia="方正仿宋_GBK" w:cs="方正仿宋_GBK"/>
          <w:b w:val="0"/>
          <w:kern w:val="0"/>
          <w:sz w:val="32"/>
          <w:szCs w:val="32"/>
          <w:lang w:val="en-US" w:eastAsia="zh-CN" w:bidi="ar"/>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textAlignment w:val="auto"/>
        <w:rPr>
          <w:rStyle w:val="5"/>
          <w:rFonts w:hint="eastAsia" w:ascii="方正黑体_GBK" w:hAnsi="方正黑体_GBK" w:eastAsia="方正黑体_GBK" w:cs="方正黑体_GBK"/>
          <w:sz w:val="32"/>
          <w:szCs w:val="32"/>
          <w:shd w:val="clear" w:fill="FFFFFF"/>
          <w:lang w:val="en-US" w:eastAsia="zh-CN"/>
        </w:rPr>
      </w:pPr>
      <w:r>
        <w:rPr>
          <w:rStyle w:val="5"/>
          <w:rFonts w:hint="eastAsia" w:ascii="方正黑体_GBK" w:hAnsi="方正黑体_GBK" w:eastAsia="方正黑体_GBK" w:cs="方正黑体_GBK"/>
          <w:sz w:val="32"/>
          <w:szCs w:val="32"/>
          <w:shd w:val="clear" w:fill="FFFFFF"/>
          <w:lang w:val="en-US" w:eastAsia="zh-CN"/>
        </w:rPr>
        <w:t>七、决算公开联系方式及信息反馈渠道</w:t>
      </w:r>
    </w:p>
    <w:p>
      <w:pPr>
        <w:pStyle w:val="2"/>
        <w:keepNext w:val="0"/>
        <w:keepLines w:val="0"/>
        <w:pageBreakBefore w:val="0"/>
        <w:widowControl/>
        <w:shd w:val="clear" w:fill="FFFFFF"/>
        <w:kinsoku/>
        <w:wordWrap/>
        <w:overflowPunct/>
        <w:topLinePunct w:val="0"/>
        <w:autoSpaceDE/>
        <w:autoSpaceDN/>
        <w:bidi w:val="0"/>
        <w:adjustRightInd/>
        <w:snapToGrid w:val="0"/>
        <w:spacing w:beforeAutospacing="0" w:afterAutospacing="0" w:line="540" w:lineRule="exact"/>
        <w:textAlignment w:val="auto"/>
      </w:pPr>
      <w:r>
        <w:rPr>
          <w:sz w:val="27"/>
          <w:szCs w:val="27"/>
          <w:shd w:val="clear" w:fill="FFFFFF"/>
          <w:lang w:val="en-US"/>
        </w:rPr>
        <w:t xml:space="preserve">  </w:t>
      </w:r>
      <w:r>
        <w:rPr>
          <w:rFonts w:hint="eastAsia" w:ascii="Times New Roman" w:hAnsi="Times New Roman" w:eastAsia="方正仿宋_GBK" w:cs="宋体"/>
          <w:color w:val="000000"/>
          <w:kern w:val="0"/>
          <w:sz w:val="32"/>
          <w:szCs w:val="32"/>
          <w:lang w:eastAsia="zh-CN"/>
        </w:rPr>
        <w:t>本单位决算公开信息反馈和联系方式：</w:t>
      </w:r>
      <w:r>
        <w:rPr>
          <w:rFonts w:hint="eastAsia" w:ascii="Times New Roman" w:hAnsi="Times New Roman" w:eastAsia="方正仿宋_GBK" w:cs="宋体"/>
          <w:color w:val="000000"/>
          <w:kern w:val="0"/>
          <w:sz w:val="32"/>
          <w:szCs w:val="32"/>
          <w:lang w:val="en-US" w:eastAsia="zh-CN"/>
        </w:rPr>
        <w:t>梁静023-58520179</w:t>
      </w:r>
      <w:r>
        <w:rPr>
          <w:rFonts w:hint="eastAsia" w:ascii="Times New Roman" w:hAnsi="Times New Roman" w:eastAsia="方正仿宋_GBK" w:cs="宋体"/>
          <w:color w:val="000000"/>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GRlOWMxMjdlYmFlYTZmYTM1ZTcyYzE2MjdiYzQifQ=="/>
  </w:docVars>
  <w:rsids>
    <w:rsidRoot w:val="65350C83"/>
    <w:rsid w:val="02276973"/>
    <w:rsid w:val="031034A5"/>
    <w:rsid w:val="04284796"/>
    <w:rsid w:val="08B6244F"/>
    <w:rsid w:val="0F8C6CB2"/>
    <w:rsid w:val="12621BBB"/>
    <w:rsid w:val="148A193E"/>
    <w:rsid w:val="17E10E0A"/>
    <w:rsid w:val="181A3FA0"/>
    <w:rsid w:val="1C0A3439"/>
    <w:rsid w:val="23A05D42"/>
    <w:rsid w:val="23BC3FAF"/>
    <w:rsid w:val="25A00CF6"/>
    <w:rsid w:val="27EE3FA1"/>
    <w:rsid w:val="28963606"/>
    <w:rsid w:val="291A084D"/>
    <w:rsid w:val="292D69B8"/>
    <w:rsid w:val="2D496979"/>
    <w:rsid w:val="2F5D116C"/>
    <w:rsid w:val="2F7031A1"/>
    <w:rsid w:val="3502037B"/>
    <w:rsid w:val="3DBB3489"/>
    <w:rsid w:val="3DFB3B27"/>
    <w:rsid w:val="3F6525B0"/>
    <w:rsid w:val="434270B8"/>
    <w:rsid w:val="43ED256C"/>
    <w:rsid w:val="46B74672"/>
    <w:rsid w:val="46BB4695"/>
    <w:rsid w:val="47B23E78"/>
    <w:rsid w:val="499D4E1E"/>
    <w:rsid w:val="49C12A19"/>
    <w:rsid w:val="4E8051CD"/>
    <w:rsid w:val="516F259E"/>
    <w:rsid w:val="51D405FD"/>
    <w:rsid w:val="53442AD8"/>
    <w:rsid w:val="53E563B8"/>
    <w:rsid w:val="54221C3D"/>
    <w:rsid w:val="55061289"/>
    <w:rsid w:val="57EC47DB"/>
    <w:rsid w:val="585E74F2"/>
    <w:rsid w:val="593A6404"/>
    <w:rsid w:val="59B406AB"/>
    <w:rsid w:val="65350C83"/>
    <w:rsid w:val="656971DE"/>
    <w:rsid w:val="68F6221F"/>
    <w:rsid w:val="6A827C3E"/>
    <w:rsid w:val="71A22FE8"/>
    <w:rsid w:val="73DB6FD3"/>
    <w:rsid w:val="7514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 w:type="paragraph" w:customStyle="1" w:styleId="6">
    <w:name w:val="普通(网站) Char"/>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7">
    <w:name w:val="17"/>
    <w:qFormat/>
    <w:uiPriority w:val="0"/>
    <w:rPr>
      <w:rFonts w:hint="default" w:ascii="Times New Roman" w:hAnsi="Times New Roman" w:cs="Times New Roman"/>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5670</Words>
  <Characters>6274</Characters>
  <Lines>0</Lines>
  <Paragraphs>0</Paragraphs>
  <TotalTime>5</TotalTime>
  <ScaleCrop>false</ScaleCrop>
  <LinksUpToDate>false</LinksUpToDate>
  <CharactersWithSpaces>6356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2022-10-18T07:28:00Z</dcterms:created>
  <dc:creator>Administrator</dc:creator>
  <cp:lastModifiedBy>Administrator</cp:lastModifiedBy>
  <cp:lastPrinted>2022-10-20T05:05:00Z</cp:lastPrinted>
  <dcterms:modified xsi:type="dcterms:W3CDTF">2022-10-25T02:07:02Z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60A5DB7637B94FE289FC4DDCCEF6244A</vt:lpwstr>
  </property>
</Properties>
</file>