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2E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rFonts w:ascii="Times New Roman" w:hAnsi="Times New Roman" w:eastAsia="方正黑体_GBK"/>
          <w:color w:val="auto"/>
          <w:sz w:val="36"/>
          <w:szCs w:val="36"/>
        </w:rPr>
      </w:pPr>
      <w:r>
        <w:rPr>
          <w:rFonts w:hint="eastAsia" w:ascii="Times New Roman" w:hAnsi="Times New Roman" w:eastAsia="方正黑体_GBK"/>
          <w:color w:val="auto"/>
          <w:sz w:val="36"/>
          <w:szCs w:val="36"/>
          <w:lang w:val="en-US" w:eastAsia="zh-CN"/>
        </w:rPr>
        <w:t>重庆市万州区2025年前三季度</w:t>
      </w:r>
      <w:r>
        <w:rPr>
          <w:rFonts w:hint="eastAsia" w:ascii="Times New Roman" w:hAnsi="Times New Roman" w:eastAsia="方正黑体_GBK"/>
          <w:color w:val="auto"/>
          <w:sz w:val="36"/>
          <w:szCs w:val="36"/>
        </w:rPr>
        <w:t>经济运行简况</w:t>
      </w:r>
    </w:p>
    <w:p w14:paraId="27899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left"/>
        <w:textAlignment w:val="auto"/>
        <w:rPr>
          <w:rFonts w:ascii="Times New Roman" w:hAnsi="Times New Roman" w:eastAsia="方正黑体_GBK"/>
          <w:color w:val="auto"/>
          <w:sz w:val="36"/>
          <w:szCs w:val="36"/>
        </w:rPr>
      </w:pPr>
    </w:p>
    <w:p w14:paraId="7949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Times New Roman" w:hAnsi="Times New Roman" w:eastAsia="方正楷体_GBK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前三季度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全区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实现地区生产总值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944.45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亿元，同比增长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6.5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%。分产业看，第一产业实现增加值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90.58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4.3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%；第二产业实现增加值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302.41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5.9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%；第三产业实现增加值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551.45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7.2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</w:t>
      </w:r>
    </w:p>
    <w:p w14:paraId="307F8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default" w:ascii="Times New Roman" w:hAnsi="Times New Roman" w:eastAsia="方正黑体_GBK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黑体_GBK"/>
          <w:color w:val="auto"/>
          <w:sz w:val="28"/>
          <w:szCs w:val="28"/>
          <w:lang w:val="en-US" w:eastAsia="zh-CN"/>
        </w:rPr>
        <w:t>一、农业</w:t>
      </w:r>
    </w:p>
    <w:p w14:paraId="24F0E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前三季度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全区农林牧渔业实现总产值133.27亿元，同比增长4.4%。从主要产品产量看，蔬菜产量104.89万吨，增长3.2%，水果产量51.46万吨，增长4.9%，肉类总产量8.07万吨，增长8.2%。</w:t>
      </w:r>
    </w:p>
    <w:p w14:paraId="3027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黑体_GBK"/>
          <w:color w:val="auto"/>
          <w:sz w:val="28"/>
          <w:szCs w:val="28"/>
        </w:rPr>
      </w:pPr>
      <w:r>
        <w:rPr>
          <w:rFonts w:hint="eastAsia" w:ascii="Times New Roman" w:hAnsi="Times New Roman" w:eastAsia="方正黑体_GBK"/>
          <w:color w:val="auto"/>
          <w:sz w:val="28"/>
          <w:szCs w:val="28"/>
          <w:lang w:val="en-US" w:eastAsia="zh-CN"/>
        </w:rPr>
        <w:t>二</w:t>
      </w:r>
      <w:r>
        <w:rPr>
          <w:rFonts w:hint="eastAsia" w:ascii="Times New Roman" w:hAnsi="Times New Roman" w:eastAsia="方正黑体_GBK"/>
          <w:color w:val="auto"/>
          <w:sz w:val="28"/>
          <w:szCs w:val="28"/>
        </w:rPr>
        <w:t>、工业</w:t>
      </w:r>
    </w:p>
    <w:p w14:paraId="1BD38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Times New Roman" w:hAnsi="Times New Roman" w:eastAsia="方正楷体_GBK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前三季度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，全区规模以上工业完成总产值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581.41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亿元，同比增长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9.8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%。其中，经开区完成产值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521.01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10.5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%。分三大门类看，采矿业产值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5.33</w:t>
      </w:r>
      <w:r>
        <w:rPr>
          <w:rFonts w:ascii="Times New Roman" w:hAnsi="Times New Roman" w:eastAsia="方正楷体_GBK"/>
          <w:color w:val="auto"/>
          <w:sz w:val="28"/>
          <w:szCs w:val="28"/>
        </w:rPr>
        <w:t>亿元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下降14.9%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；</w:t>
      </w:r>
      <w:r>
        <w:rPr>
          <w:rFonts w:ascii="Times New Roman" w:hAnsi="Times New Roman" w:eastAsia="方正楷体_GBK"/>
          <w:color w:val="auto"/>
          <w:sz w:val="28"/>
          <w:szCs w:val="28"/>
        </w:rPr>
        <w:t>制造业产值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497.37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</w:t>
      </w:r>
      <w:r>
        <w:rPr>
          <w:rFonts w:ascii="Times New Roman" w:hAnsi="Times New Roman" w:eastAsia="方正楷体_GBK"/>
          <w:color w:val="auto"/>
          <w:sz w:val="28"/>
          <w:szCs w:val="28"/>
        </w:rPr>
        <w:t>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11.7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</w:t>
      </w:r>
      <w:r>
        <w:rPr>
          <w:rFonts w:ascii="Times New Roman" w:hAnsi="Times New Roman" w:eastAsia="方正楷体_GBK"/>
          <w:color w:val="auto"/>
          <w:sz w:val="28"/>
          <w:szCs w:val="28"/>
        </w:rPr>
        <w:t>电力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、热力、燃气及水生产和供应业产值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78.71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</w:t>
      </w:r>
      <w:r>
        <w:rPr>
          <w:rFonts w:ascii="Times New Roman" w:hAnsi="Times New Roman" w:eastAsia="方正楷体_GBK"/>
          <w:color w:val="auto"/>
          <w:sz w:val="28"/>
          <w:szCs w:val="28"/>
        </w:rPr>
        <w:t>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0.8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</w:t>
      </w:r>
    </w:p>
    <w:p w14:paraId="23992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从三大主导产业看，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先进材料产值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299.24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亿元，增长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14.1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%；智能装备及智能制造产值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108.19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亿元，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增长6.1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%；医药化工产值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36.65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亿元，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增长2.1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%。</w:t>
      </w:r>
    </w:p>
    <w:p w14:paraId="3B70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从两大特色产业看，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食品及农产品加工产值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35.94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亿元，增长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23.5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%；新型能源产值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82.66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亿元，增长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0.8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%。</w:t>
      </w:r>
    </w:p>
    <w:p w14:paraId="1EA06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黑体_GBK"/>
          <w:color w:val="auto"/>
          <w:sz w:val="28"/>
          <w:szCs w:val="28"/>
        </w:rPr>
      </w:pPr>
      <w:r>
        <w:rPr>
          <w:rFonts w:hint="eastAsia" w:ascii="Times New Roman" w:hAnsi="Times New Roman" w:eastAsia="方正黑体_GBK"/>
          <w:color w:val="auto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方正黑体_GBK"/>
          <w:color w:val="auto"/>
          <w:sz w:val="28"/>
          <w:szCs w:val="28"/>
        </w:rPr>
        <w:t>、固定资产投资</w:t>
      </w:r>
    </w:p>
    <w:p w14:paraId="5BC62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楷体_GBK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前三季度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，全区固定资产投资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额同比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8.3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%。其中，基础设施建设投资增长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19.2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</w:t>
      </w:r>
    </w:p>
    <w:p w14:paraId="623C3D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楷体_GBK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</w:rPr>
        <w:t>从投资类别看，建设与改造投资增长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6.3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%；房地产开发投资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15.5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</w:t>
      </w:r>
    </w:p>
    <w:p w14:paraId="3B04D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/>
          <w:color w:val="auto"/>
        </w:rPr>
      </w:pPr>
      <w:r>
        <w:rPr>
          <w:rFonts w:ascii="Times New Roman" w:hAnsi="Times New Roman" w:eastAsia="方正楷体_GBK"/>
          <w:color w:val="auto"/>
          <w:sz w:val="28"/>
          <w:szCs w:val="28"/>
        </w:rPr>
        <w:t>从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三次产业</w:t>
      </w:r>
      <w:r>
        <w:rPr>
          <w:rFonts w:ascii="Times New Roman" w:hAnsi="Times New Roman" w:eastAsia="方正楷体_GBK"/>
          <w:color w:val="auto"/>
          <w:sz w:val="28"/>
          <w:szCs w:val="28"/>
        </w:rPr>
        <w:t>看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</w:t>
      </w:r>
      <w:r>
        <w:rPr>
          <w:rFonts w:ascii="Times New Roman" w:hAnsi="Times New Roman" w:eastAsia="方正楷体_GBK"/>
          <w:color w:val="auto"/>
          <w:sz w:val="28"/>
          <w:szCs w:val="28"/>
        </w:rPr>
        <w:t>第一产业投资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65.4%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；</w:t>
      </w:r>
      <w:r>
        <w:rPr>
          <w:rFonts w:ascii="Times New Roman" w:hAnsi="Times New Roman" w:eastAsia="方正楷体_GBK"/>
          <w:color w:val="auto"/>
          <w:sz w:val="28"/>
          <w:szCs w:val="28"/>
        </w:rPr>
        <w:t>第二产业投资增长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13.2%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；</w:t>
      </w:r>
      <w:r>
        <w:rPr>
          <w:rFonts w:ascii="Times New Roman" w:hAnsi="Times New Roman" w:eastAsia="方正楷体_GBK"/>
          <w:color w:val="auto"/>
          <w:sz w:val="28"/>
          <w:szCs w:val="28"/>
        </w:rPr>
        <w:t>第三产业投资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增长9.1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</w:t>
      </w:r>
    </w:p>
    <w:p w14:paraId="14D62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黑体_GBK"/>
          <w:color w:val="auto"/>
          <w:sz w:val="28"/>
          <w:szCs w:val="28"/>
        </w:rPr>
      </w:pPr>
      <w:r>
        <w:rPr>
          <w:rFonts w:hint="eastAsia" w:ascii="Times New Roman" w:hAnsi="Times New Roman" w:eastAsia="方正黑体_GBK"/>
          <w:color w:val="auto"/>
          <w:sz w:val="28"/>
          <w:szCs w:val="28"/>
          <w:lang w:val="en-US" w:eastAsia="zh-CN"/>
        </w:rPr>
        <w:t>四</w:t>
      </w:r>
      <w:r>
        <w:rPr>
          <w:rFonts w:hint="eastAsia" w:ascii="Times New Roman" w:hAnsi="Times New Roman" w:eastAsia="方正黑体_GBK"/>
          <w:color w:val="auto"/>
          <w:sz w:val="28"/>
          <w:szCs w:val="28"/>
        </w:rPr>
        <w:t>、消费品市场</w:t>
      </w:r>
    </w:p>
    <w:p w14:paraId="2F672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楷体_GBK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前三季度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，全区实现社会消费品零售总额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398.05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亿元，同比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增长4.4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%。其中，限上单位社会消费品零售额115.60亿元，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增长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7.6 %。</w:t>
      </w:r>
    </w:p>
    <w:p w14:paraId="3352C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楷体_GBK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</w:rPr>
        <w:t>从贸易销售情况看，全区批发业商品销售额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1499.18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10.9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%；零售业商品销售额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291.92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6.1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%；住宿业营业额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6.24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8.0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%；餐饮业营业额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36.10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8.6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</w:t>
      </w:r>
    </w:p>
    <w:p w14:paraId="71F6F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黑体_GBK"/>
          <w:color w:val="auto"/>
          <w:sz w:val="28"/>
          <w:szCs w:val="28"/>
        </w:rPr>
      </w:pPr>
      <w:r>
        <w:rPr>
          <w:rFonts w:hint="eastAsia" w:ascii="Times New Roman" w:hAnsi="Times New Roman" w:eastAsia="方正黑体_GBK"/>
          <w:color w:val="auto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方正黑体_GBK"/>
          <w:color w:val="auto"/>
          <w:sz w:val="28"/>
          <w:szCs w:val="28"/>
        </w:rPr>
        <w:t>、财政</w:t>
      </w:r>
    </w:p>
    <w:p w14:paraId="5C5B3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楷体_GBK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前三季度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，全区一般公共预算收入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58.76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亿元，同比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增长17.6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%。其中，税收收入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33.79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增长6.1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%；非税收入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24.98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37.8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</w:t>
      </w:r>
    </w:p>
    <w:p w14:paraId="2A7D3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楷体_GBK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前三季度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，全区一般公共预算支出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122.45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增长4.3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%。其中，一般公共服务支出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10.21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增长17.8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%；教育支出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20.20</w:t>
      </w:r>
      <w:r>
        <w:rPr>
          <w:rFonts w:ascii="Times New Roman" w:hAnsi="Times New Roman" w:eastAsia="方正楷体_GBK"/>
          <w:color w:val="auto"/>
          <w:sz w:val="28"/>
          <w:szCs w:val="28"/>
        </w:rPr>
        <w:t>亿元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7.5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社会保障和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就业支出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18.17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下降9.3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%；卫生健康支出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10.13</w:t>
      </w:r>
      <w:r>
        <w:rPr>
          <w:rFonts w:ascii="Times New Roman" w:hAnsi="Times New Roman" w:eastAsia="方正楷体_GBK"/>
          <w:color w:val="auto"/>
          <w:sz w:val="28"/>
          <w:szCs w:val="28"/>
        </w:rPr>
        <w:t>亿元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20.1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</w:t>
      </w:r>
    </w:p>
    <w:p w14:paraId="1F33E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楷体_GBK"/>
          <w:color w:val="auto"/>
          <w:sz w:val="28"/>
          <w:szCs w:val="28"/>
        </w:rPr>
      </w:pPr>
      <w:r>
        <w:rPr>
          <w:rFonts w:hint="eastAsia" w:ascii="Times New Roman" w:hAnsi="Times New Roman" w:eastAsia="方正黑体_GBK"/>
          <w:color w:val="auto"/>
          <w:sz w:val="28"/>
          <w:szCs w:val="28"/>
          <w:lang w:val="en-US" w:eastAsia="zh-CN"/>
        </w:rPr>
        <w:t>六</w:t>
      </w:r>
      <w:r>
        <w:rPr>
          <w:rFonts w:hint="eastAsia" w:ascii="Times New Roman" w:hAnsi="Times New Roman" w:eastAsia="方正黑体_GBK"/>
          <w:color w:val="auto"/>
          <w:sz w:val="28"/>
          <w:szCs w:val="28"/>
        </w:rPr>
        <w:t>、金融</w:t>
      </w:r>
    </w:p>
    <w:p w14:paraId="6EF30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楷体_GBK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9月末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，全区金融机构本外币存款余额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2232.29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亿元，同比增长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11.3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%，其中，人民币存款余额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2229.51</w:t>
      </w:r>
      <w:r>
        <w:rPr>
          <w:rFonts w:ascii="Times New Roman" w:hAnsi="Times New Roman" w:eastAsia="方正楷体_GBK"/>
          <w:color w:val="auto"/>
          <w:sz w:val="28"/>
          <w:szCs w:val="28"/>
        </w:rPr>
        <w:t>亿元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</w:t>
      </w:r>
      <w:r>
        <w:rPr>
          <w:rFonts w:ascii="Times New Roman" w:hAnsi="Times New Roman" w:eastAsia="方正楷体_GBK"/>
          <w:color w:val="auto"/>
          <w:sz w:val="28"/>
          <w:szCs w:val="28"/>
        </w:rPr>
        <w:t>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11.3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%。本外币贷款余额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1258.42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亿元，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21.0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%，其中，人民币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贷款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余额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1258.25</w:t>
      </w:r>
      <w:r>
        <w:rPr>
          <w:rFonts w:ascii="Times New Roman" w:hAnsi="Times New Roman" w:eastAsia="方正楷体_GBK"/>
          <w:color w:val="auto"/>
          <w:sz w:val="28"/>
          <w:szCs w:val="28"/>
        </w:rPr>
        <w:t>亿元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21.0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</w:t>
      </w:r>
    </w:p>
    <w:p w14:paraId="3BACB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黑体_GBK"/>
          <w:color w:val="auto"/>
          <w:sz w:val="28"/>
          <w:szCs w:val="28"/>
        </w:rPr>
      </w:pPr>
      <w:r>
        <w:rPr>
          <w:rFonts w:hint="eastAsia" w:ascii="Times New Roman" w:hAnsi="Times New Roman" w:eastAsia="方正黑体_GBK"/>
          <w:color w:val="auto"/>
          <w:sz w:val="28"/>
          <w:szCs w:val="28"/>
          <w:lang w:val="en-US" w:eastAsia="zh-CN"/>
        </w:rPr>
        <w:t>七</w:t>
      </w:r>
      <w:r>
        <w:rPr>
          <w:rFonts w:hint="eastAsia" w:ascii="Times New Roman" w:hAnsi="Times New Roman" w:eastAsia="方正黑体_GBK"/>
          <w:color w:val="auto"/>
          <w:sz w:val="28"/>
          <w:szCs w:val="28"/>
        </w:rPr>
        <w:t>、房地产</w:t>
      </w:r>
    </w:p>
    <w:p w14:paraId="69BC4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楷体_GBK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前三季度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，全区商品房施工面积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367.48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万平方米，同比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下降12.8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%；商品房新开工面积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2.47</w:t>
      </w:r>
      <w:r>
        <w:rPr>
          <w:rFonts w:ascii="Times New Roman" w:hAnsi="Times New Roman" w:eastAsia="方正楷体_GBK"/>
          <w:color w:val="auto"/>
          <w:sz w:val="28"/>
          <w:szCs w:val="28"/>
        </w:rPr>
        <w:t>万平方米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下降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87.3%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；商品房销售面积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69.37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万平方米，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增长</w:t>
      </w:r>
      <w:r>
        <w:rPr>
          <w:rFonts w:hint="eastAsia" w:ascii="Times New Roman" w:hAnsi="Times New Roman" w:eastAsia="方正楷体_GBK"/>
          <w:color w:val="auto"/>
          <w:sz w:val="28"/>
          <w:szCs w:val="28"/>
          <w:lang w:val="en-US" w:eastAsia="zh-CN"/>
        </w:rPr>
        <w:t>1.4</w:t>
      </w:r>
      <w:r>
        <w:rPr>
          <w:rFonts w:hint="eastAsia" w:ascii="Times New Roman" w:hAnsi="Times New Roman" w:eastAsia="方正楷体_GBK"/>
          <w:color w:val="auto"/>
          <w:sz w:val="28"/>
          <w:szCs w:val="28"/>
        </w:rPr>
        <w:t>%。</w:t>
      </w:r>
    </w:p>
    <w:p w14:paraId="389CB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黑体_GBK"/>
          <w:color w:val="auto"/>
          <w:sz w:val="28"/>
          <w:szCs w:val="28"/>
        </w:rPr>
      </w:pPr>
      <w:r>
        <w:rPr>
          <w:rFonts w:hint="eastAsia" w:ascii="Times New Roman" w:hAnsi="Times New Roman" w:eastAsia="方正黑体_GBK"/>
          <w:color w:val="auto"/>
          <w:sz w:val="28"/>
          <w:szCs w:val="28"/>
          <w:lang w:val="en-US" w:eastAsia="zh-CN"/>
        </w:rPr>
        <w:t>八</w:t>
      </w:r>
      <w:r>
        <w:rPr>
          <w:rFonts w:hint="eastAsia" w:ascii="Times New Roman" w:hAnsi="Times New Roman" w:eastAsia="方正黑体_GBK"/>
          <w:color w:val="auto"/>
          <w:sz w:val="28"/>
          <w:szCs w:val="28"/>
        </w:rPr>
        <w:t>、居民</w:t>
      </w:r>
      <w:r>
        <w:rPr>
          <w:rFonts w:ascii="Times New Roman" w:hAnsi="Times New Roman" w:eastAsia="方正黑体_GBK"/>
          <w:color w:val="auto"/>
          <w:sz w:val="28"/>
          <w:szCs w:val="28"/>
        </w:rPr>
        <w:t>收入、</w:t>
      </w:r>
      <w:r>
        <w:rPr>
          <w:rFonts w:hint="eastAsia" w:ascii="Times New Roman" w:hAnsi="Times New Roman" w:eastAsia="方正黑体_GBK"/>
          <w:color w:val="auto"/>
          <w:sz w:val="28"/>
          <w:szCs w:val="28"/>
        </w:rPr>
        <w:t>就业、物价</w:t>
      </w:r>
    </w:p>
    <w:p w14:paraId="20010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前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三季度，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全区全体居民人均可支配收入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36507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，同比增长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4.0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%。其中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，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城镇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常住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居民人均可支配收入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43554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，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增长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3.5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%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；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农村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常住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居民人均可支配收入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19121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元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，增长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5.7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%。</w:t>
      </w:r>
    </w:p>
    <w:p w14:paraId="63872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前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  <w:t>三季度，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全区居民消费价格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与上年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  <w:t>持平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。分类别看，八大类商品和服务价格呈“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五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涨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一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平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  <w:t>两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跌”态势。其中，食品烟酒类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医疗保健类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  <w:t>、教育文化和娱乐类、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衣着类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、其他用品和服务类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价格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分别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上涨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0.1%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0.1%、0.6%、2.4%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5.1%；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  <w:t>居住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类价格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与上年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  <w:t>持平；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生活用品及服务类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  <w:t>、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交通和通信类价格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分别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下降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1.1%、2.7%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。</w:t>
      </w:r>
    </w:p>
    <w:p w14:paraId="3CDDD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textAlignment w:val="auto"/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</w:pPr>
      <w:r>
        <w:rPr>
          <w:rFonts w:hint="eastAsia" w:ascii="Times New Roman" w:hAnsi="Times New Roman" w:eastAsia="方正楷体_GBK"/>
          <w:color w:val="auto"/>
          <w:sz w:val="28"/>
          <w:szCs w:val="28"/>
          <w:lang w:eastAsia="zh-CN"/>
        </w:rPr>
        <w:t>前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eastAsia="zh-CN"/>
        </w:rPr>
        <w:t>三季度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，城镇新增就业人员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  <w:lang w:val="en-US" w:eastAsia="zh-CN"/>
        </w:rPr>
        <w:t>2.33</w:t>
      </w:r>
      <w:r>
        <w:rPr>
          <w:rFonts w:ascii="Times New Roman" w:hAnsi="Times New Roman" w:eastAsia="方正楷体_GBK"/>
          <w:b w:val="0"/>
          <w:bCs w:val="0"/>
          <w:color w:val="auto"/>
          <w:sz w:val="28"/>
          <w:szCs w:val="28"/>
        </w:rPr>
        <w:t>万</w:t>
      </w:r>
      <w:r>
        <w:rPr>
          <w:rFonts w:hint="eastAsia" w:ascii="Times New Roman" w:hAnsi="Times New Roman" w:eastAsia="方正楷体_GBK"/>
          <w:b w:val="0"/>
          <w:bCs w:val="0"/>
          <w:color w:val="auto"/>
          <w:sz w:val="28"/>
          <w:szCs w:val="28"/>
        </w:rPr>
        <w:t>人。</w:t>
      </w:r>
      <w:bookmarkStart w:id="0" w:name="_GoBack"/>
      <w:bookmarkEnd w:id="0"/>
    </w:p>
    <w:p w14:paraId="674E5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Times New Roman" w:hAnsi="Times New Roman" w:eastAsia="方正黑体_GBK"/>
          <w:color w:val="0000FF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ZThjNjE1YThkOWVlYTBkZTc2ZmUyNTcwOTMxYmQifQ=="/>
  </w:docVars>
  <w:rsids>
    <w:rsidRoot w:val="003A49ED"/>
    <w:rsid w:val="000075B9"/>
    <w:rsid w:val="000114ED"/>
    <w:rsid w:val="00032AA1"/>
    <w:rsid w:val="00033F4E"/>
    <w:rsid w:val="00076C17"/>
    <w:rsid w:val="000840D8"/>
    <w:rsid w:val="000D63EF"/>
    <w:rsid w:val="001101D3"/>
    <w:rsid w:val="00121916"/>
    <w:rsid w:val="001300DD"/>
    <w:rsid w:val="00135460"/>
    <w:rsid w:val="001D1B4A"/>
    <w:rsid w:val="001E445F"/>
    <w:rsid w:val="001F28C6"/>
    <w:rsid w:val="00205A3F"/>
    <w:rsid w:val="00234AC9"/>
    <w:rsid w:val="0034053D"/>
    <w:rsid w:val="00345463"/>
    <w:rsid w:val="003819A6"/>
    <w:rsid w:val="00390778"/>
    <w:rsid w:val="003A49ED"/>
    <w:rsid w:val="003D5FA6"/>
    <w:rsid w:val="003E66C6"/>
    <w:rsid w:val="003F1AAA"/>
    <w:rsid w:val="004050B2"/>
    <w:rsid w:val="0040556B"/>
    <w:rsid w:val="00411C2E"/>
    <w:rsid w:val="00414E1E"/>
    <w:rsid w:val="004319BD"/>
    <w:rsid w:val="00450E7D"/>
    <w:rsid w:val="00465D8A"/>
    <w:rsid w:val="004759FD"/>
    <w:rsid w:val="00492F95"/>
    <w:rsid w:val="004B67F4"/>
    <w:rsid w:val="004E5D79"/>
    <w:rsid w:val="00583452"/>
    <w:rsid w:val="006A11A8"/>
    <w:rsid w:val="006F26C2"/>
    <w:rsid w:val="007013F2"/>
    <w:rsid w:val="00782FE0"/>
    <w:rsid w:val="00791A06"/>
    <w:rsid w:val="007D1E32"/>
    <w:rsid w:val="00811A07"/>
    <w:rsid w:val="008215EE"/>
    <w:rsid w:val="0084038D"/>
    <w:rsid w:val="008905E3"/>
    <w:rsid w:val="00894DB1"/>
    <w:rsid w:val="00903E78"/>
    <w:rsid w:val="00920011"/>
    <w:rsid w:val="00945759"/>
    <w:rsid w:val="00961AB8"/>
    <w:rsid w:val="00972224"/>
    <w:rsid w:val="009B13E8"/>
    <w:rsid w:val="009B17F8"/>
    <w:rsid w:val="009D4FFE"/>
    <w:rsid w:val="009E2A59"/>
    <w:rsid w:val="009F42A7"/>
    <w:rsid w:val="00A02F8A"/>
    <w:rsid w:val="00A46C88"/>
    <w:rsid w:val="00A65B72"/>
    <w:rsid w:val="00A66669"/>
    <w:rsid w:val="00A77BD1"/>
    <w:rsid w:val="00B04F24"/>
    <w:rsid w:val="00B50142"/>
    <w:rsid w:val="00B91825"/>
    <w:rsid w:val="00B95F89"/>
    <w:rsid w:val="00BE279A"/>
    <w:rsid w:val="00C24CDB"/>
    <w:rsid w:val="00C332B7"/>
    <w:rsid w:val="00C6476B"/>
    <w:rsid w:val="00C802F4"/>
    <w:rsid w:val="00CC7D02"/>
    <w:rsid w:val="00CD6B93"/>
    <w:rsid w:val="00D04376"/>
    <w:rsid w:val="00D54871"/>
    <w:rsid w:val="00D6462D"/>
    <w:rsid w:val="00E03FCE"/>
    <w:rsid w:val="00E72F29"/>
    <w:rsid w:val="00E80723"/>
    <w:rsid w:val="00E8317B"/>
    <w:rsid w:val="00F33B24"/>
    <w:rsid w:val="00F91D64"/>
    <w:rsid w:val="01F90CB6"/>
    <w:rsid w:val="0307726F"/>
    <w:rsid w:val="044B2601"/>
    <w:rsid w:val="0565345E"/>
    <w:rsid w:val="05AC0627"/>
    <w:rsid w:val="067A6526"/>
    <w:rsid w:val="071C2880"/>
    <w:rsid w:val="08C75638"/>
    <w:rsid w:val="09027D2B"/>
    <w:rsid w:val="09301ACC"/>
    <w:rsid w:val="09353D53"/>
    <w:rsid w:val="095A5E82"/>
    <w:rsid w:val="09D034F0"/>
    <w:rsid w:val="0A237868"/>
    <w:rsid w:val="0A410C52"/>
    <w:rsid w:val="0B8E40E1"/>
    <w:rsid w:val="0D697F57"/>
    <w:rsid w:val="0D9A2D56"/>
    <w:rsid w:val="0E29234F"/>
    <w:rsid w:val="0F316DE4"/>
    <w:rsid w:val="0F4834EC"/>
    <w:rsid w:val="0F954CCA"/>
    <w:rsid w:val="0FB52FBB"/>
    <w:rsid w:val="0FBD309C"/>
    <w:rsid w:val="10B8138E"/>
    <w:rsid w:val="137B4746"/>
    <w:rsid w:val="14EF4CCC"/>
    <w:rsid w:val="15724AF5"/>
    <w:rsid w:val="16351A80"/>
    <w:rsid w:val="16370B22"/>
    <w:rsid w:val="1703744E"/>
    <w:rsid w:val="17C05CDE"/>
    <w:rsid w:val="17FF4B9C"/>
    <w:rsid w:val="195A6195"/>
    <w:rsid w:val="197C2BD7"/>
    <w:rsid w:val="19A54301"/>
    <w:rsid w:val="1AAE373A"/>
    <w:rsid w:val="1B284CB6"/>
    <w:rsid w:val="1B3C5CE9"/>
    <w:rsid w:val="1D5F7333"/>
    <w:rsid w:val="1D7A1705"/>
    <w:rsid w:val="1DC70227"/>
    <w:rsid w:val="1DEC298A"/>
    <w:rsid w:val="1FA0555D"/>
    <w:rsid w:val="1FB258CA"/>
    <w:rsid w:val="1FE25C7A"/>
    <w:rsid w:val="209A0F91"/>
    <w:rsid w:val="20F15B64"/>
    <w:rsid w:val="21382E2F"/>
    <w:rsid w:val="21D9102B"/>
    <w:rsid w:val="2228286B"/>
    <w:rsid w:val="231B0F42"/>
    <w:rsid w:val="239A1546"/>
    <w:rsid w:val="23F27321"/>
    <w:rsid w:val="24184DFE"/>
    <w:rsid w:val="24D64315"/>
    <w:rsid w:val="253D0352"/>
    <w:rsid w:val="25EF165A"/>
    <w:rsid w:val="270956E5"/>
    <w:rsid w:val="277744A1"/>
    <w:rsid w:val="28171FB8"/>
    <w:rsid w:val="28EE58E6"/>
    <w:rsid w:val="28FB2E5F"/>
    <w:rsid w:val="29F91237"/>
    <w:rsid w:val="2A723495"/>
    <w:rsid w:val="2A8D15A2"/>
    <w:rsid w:val="2AC860B7"/>
    <w:rsid w:val="2BDFC23A"/>
    <w:rsid w:val="2C3E5AF5"/>
    <w:rsid w:val="2E365ADC"/>
    <w:rsid w:val="2FAE4329"/>
    <w:rsid w:val="3045511D"/>
    <w:rsid w:val="315A30FD"/>
    <w:rsid w:val="31C6387C"/>
    <w:rsid w:val="32063E5B"/>
    <w:rsid w:val="331A6C9D"/>
    <w:rsid w:val="348E62F9"/>
    <w:rsid w:val="34A279D5"/>
    <w:rsid w:val="35843F2B"/>
    <w:rsid w:val="35ED7BFB"/>
    <w:rsid w:val="36FB7261"/>
    <w:rsid w:val="372A7A86"/>
    <w:rsid w:val="38333884"/>
    <w:rsid w:val="38A01901"/>
    <w:rsid w:val="38F87D4A"/>
    <w:rsid w:val="39557F91"/>
    <w:rsid w:val="3A306341"/>
    <w:rsid w:val="3BA80016"/>
    <w:rsid w:val="3C6810BE"/>
    <w:rsid w:val="3C7C565C"/>
    <w:rsid w:val="3C956318"/>
    <w:rsid w:val="3CD2369B"/>
    <w:rsid w:val="3CF40303"/>
    <w:rsid w:val="3D297F90"/>
    <w:rsid w:val="3DDD3477"/>
    <w:rsid w:val="3EAC716C"/>
    <w:rsid w:val="3EC26C8E"/>
    <w:rsid w:val="40AE48F5"/>
    <w:rsid w:val="40BD305E"/>
    <w:rsid w:val="40C33A32"/>
    <w:rsid w:val="41563310"/>
    <w:rsid w:val="422F042E"/>
    <w:rsid w:val="42A33FF0"/>
    <w:rsid w:val="44C27BA5"/>
    <w:rsid w:val="454542A9"/>
    <w:rsid w:val="45F50DCD"/>
    <w:rsid w:val="47864F72"/>
    <w:rsid w:val="480B15A0"/>
    <w:rsid w:val="4A094257"/>
    <w:rsid w:val="4A2A1193"/>
    <w:rsid w:val="4B2A24F3"/>
    <w:rsid w:val="4B923AF9"/>
    <w:rsid w:val="4C8449A7"/>
    <w:rsid w:val="4D002B0E"/>
    <w:rsid w:val="4F842E78"/>
    <w:rsid w:val="4FF72BAE"/>
    <w:rsid w:val="50B771CC"/>
    <w:rsid w:val="51843FFB"/>
    <w:rsid w:val="51FA40BF"/>
    <w:rsid w:val="52086984"/>
    <w:rsid w:val="522E333F"/>
    <w:rsid w:val="529B33B1"/>
    <w:rsid w:val="52B927DA"/>
    <w:rsid w:val="54055CC3"/>
    <w:rsid w:val="54190C8F"/>
    <w:rsid w:val="549C4376"/>
    <w:rsid w:val="55FE4F38"/>
    <w:rsid w:val="578E63E5"/>
    <w:rsid w:val="57FB365A"/>
    <w:rsid w:val="58105555"/>
    <w:rsid w:val="59220B76"/>
    <w:rsid w:val="599F6E03"/>
    <w:rsid w:val="5A17286D"/>
    <w:rsid w:val="5A653552"/>
    <w:rsid w:val="5C152586"/>
    <w:rsid w:val="5CDD51E0"/>
    <w:rsid w:val="5CF01326"/>
    <w:rsid w:val="5D487B5F"/>
    <w:rsid w:val="5D6032CB"/>
    <w:rsid w:val="5DDA6373"/>
    <w:rsid w:val="5E416969"/>
    <w:rsid w:val="5F543BEC"/>
    <w:rsid w:val="5FEE639A"/>
    <w:rsid w:val="5FF972FA"/>
    <w:rsid w:val="60B80016"/>
    <w:rsid w:val="621A1405"/>
    <w:rsid w:val="628A5A2B"/>
    <w:rsid w:val="63B67BF8"/>
    <w:rsid w:val="647A4909"/>
    <w:rsid w:val="65723C8F"/>
    <w:rsid w:val="67563A10"/>
    <w:rsid w:val="692A7D77"/>
    <w:rsid w:val="69357C11"/>
    <w:rsid w:val="698A0B27"/>
    <w:rsid w:val="69DF7962"/>
    <w:rsid w:val="6A0C390A"/>
    <w:rsid w:val="6B6A72D9"/>
    <w:rsid w:val="6D7E39C4"/>
    <w:rsid w:val="6D962A05"/>
    <w:rsid w:val="6F5A13B8"/>
    <w:rsid w:val="6F7E5F82"/>
    <w:rsid w:val="6F897B0E"/>
    <w:rsid w:val="6FC7B6AD"/>
    <w:rsid w:val="6FDE2718"/>
    <w:rsid w:val="70823738"/>
    <w:rsid w:val="70833C27"/>
    <w:rsid w:val="71331307"/>
    <w:rsid w:val="72487C70"/>
    <w:rsid w:val="72BF6344"/>
    <w:rsid w:val="74C54CBD"/>
    <w:rsid w:val="74E31E90"/>
    <w:rsid w:val="7522447A"/>
    <w:rsid w:val="754D0D40"/>
    <w:rsid w:val="75713CE3"/>
    <w:rsid w:val="75C94940"/>
    <w:rsid w:val="7627734E"/>
    <w:rsid w:val="765F6255"/>
    <w:rsid w:val="77DD0CA9"/>
    <w:rsid w:val="78922936"/>
    <w:rsid w:val="7907222D"/>
    <w:rsid w:val="79DE1FA4"/>
    <w:rsid w:val="7AA855BD"/>
    <w:rsid w:val="7B647A31"/>
    <w:rsid w:val="7C5F46C7"/>
    <w:rsid w:val="7D5B1E4D"/>
    <w:rsid w:val="7DD2CA54"/>
    <w:rsid w:val="7F4F4984"/>
    <w:rsid w:val="7FD81743"/>
    <w:rsid w:val="7FF5575A"/>
    <w:rsid w:val="B6FF4607"/>
    <w:rsid w:val="F6FEDB6B"/>
    <w:rsid w:val="FDBEFEBE"/>
    <w:rsid w:val="FDFEA3C3"/>
    <w:rsid w:val="FF73E2AB"/>
    <w:rsid w:val="FFFD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4"/>
    <w:qFormat/>
    <w:uiPriority w:val="99"/>
    <w:rPr>
      <w:sz w:val="18"/>
      <w:szCs w:val="18"/>
    </w:rPr>
  </w:style>
  <w:style w:type="character" w:customStyle="1" w:styleId="9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3</Pages>
  <Words>1143</Words>
  <Characters>1523</Characters>
  <Lines>11</Lines>
  <Paragraphs>3</Paragraphs>
  <TotalTime>0</TotalTime>
  <ScaleCrop>false</ScaleCrop>
  <LinksUpToDate>false</LinksUpToDate>
  <CharactersWithSpaces>1524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2018-03-18T23:36:00Z</dcterms:created>
  <dc:creator>Lenovo</dc:creator>
  <cp:lastModifiedBy>Chris </cp:lastModifiedBy>
  <dcterms:modified xsi:type="dcterms:W3CDTF">2025-10-24T06:12:15Z</dcterms:modified>
  <dc:title>1-7月万州经济运行简况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A5EC42DD3FD144F3BF2D1FEF8ED8A6EA_13</vt:lpwstr>
  </property>
  <property fmtid="{D5CDD505-2E9C-101B-9397-08002B2CF9AE}" pid="4" name="KSOTemplateDocerSaveRecord">
    <vt:lpwstr>eyJoZGlkIjoiMTczMThkMjQ1OGUxNWJhZjcyNTBiNWMyMThkYmI2ZTQiLCJ1c2VySWQiOiIyMjIwMTIyNzAifQ==</vt:lpwstr>
  </property>
</Properties>
</file>