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2024年上半年万州</w:t>
      </w:r>
      <w:r>
        <w:rPr>
          <w:rFonts w:hint="eastAsia" w:ascii="方正黑体_GBK" w:eastAsia="方正黑体_GBK"/>
          <w:color w:val="auto"/>
          <w:sz w:val="36"/>
          <w:szCs w:val="36"/>
        </w:rPr>
        <w:t>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全区</w:t>
      </w:r>
      <w:r>
        <w:rPr>
          <w:rFonts w:hint="eastAsia" w:ascii="方正楷体_GBK" w:eastAsia="方正楷体_GBK"/>
          <w:color w:val="auto"/>
          <w:sz w:val="28"/>
          <w:szCs w:val="28"/>
        </w:rPr>
        <w:t>地区生产总值同比增长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6.2</w:t>
      </w:r>
      <w:r>
        <w:rPr>
          <w:rFonts w:hint="eastAsia" w:ascii="方正楷体_GBK" w:eastAsia="方正楷体_GBK"/>
          <w:color w:val="auto"/>
          <w:sz w:val="28"/>
          <w:szCs w:val="28"/>
        </w:rPr>
        <w:t>%。分产业看，第一产业增加值同比增长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3.8</w:t>
      </w:r>
      <w:r>
        <w:rPr>
          <w:rFonts w:hint="eastAsia" w:ascii="方正楷体_GBK" w:eastAsia="方正楷体_GBK"/>
          <w:color w:val="auto"/>
          <w:sz w:val="28"/>
          <w:szCs w:val="28"/>
        </w:rPr>
        <w:t>%；第二产业增加值同比增长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10.2</w:t>
      </w:r>
      <w:r>
        <w:rPr>
          <w:rFonts w:hint="eastAsia" w:ascii="方正楷体_GBK" w:eastAsia="方正楷体_GBK"/>
          <w:color w:val="auto"/>
          <w:sz w:val="28"/>
          <w:szCs w:val="28"/>
        </w:rPr>
        <w:t>%；第三产业增加值同比增长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339.73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295.05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11.0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4.26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同比增长3.6%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287.04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11.7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48.43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8.8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13.37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增长11.0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20.90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16.4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5.6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12.4%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7.3%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pStyle w:val="2"/>
      </w:pP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226.13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增长4.8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69.11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增长10.0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970.45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14.1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112.13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9.2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7.27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8.9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27.70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36.34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22.88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增长5.1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13.46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71.51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增长0.8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5.57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下降15.2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13.47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1.7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13.50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增长5.9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5.00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下降10.9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1979.27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5.1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1977.64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5.1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1021.37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1.3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1021.19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409.19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13.0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10.94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5.8%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50.16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上半年，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25485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5.7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30187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4.7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；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13968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6.8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上半年，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与上年同期持平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衣着、居住、生活用品及服务、教育文化和娱乐、医疗保健、其他用品和服务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分别同比上涨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3.4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0.9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1.9%、0.8%和2.4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食品烟酒、交通和通信分别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2.2%和0.3%。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1.30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EC26C8E"/>
    <w:rsid w:val="3ED7297B"/>
    <w:rsid w:val="3F6DFFA2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9FB445D"/>
    <w:rsid w:val="5A653552"/>
    <w:rsid w:val="5B7EEBBD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AFC2BAB"/>
    <w:rsid w:val="6B6A72D9"/>
    <w:rsid w:val="6F5A13B8"/>
    <w:rsid w:val="6FC7B6AD"/>
    <w:rsid w:val="6FFDB048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C94940"/>
    <w:rsid w:val="765F6255"/>
    <w:rsid w:val="77DD0CA9"/>
    <w:rsid w:val="78922936"/>
    <w:rsid w:val="7907222D"/>
    <w:rsid w:val="7AA855BD"/>
    <w:rsid w:val="7B647A31"/>
    <w:rsid w:val="7C5F46C7"/>
    <w:rsid w:val="7D5B1E4D"/>
    <w:rsid w:val="7DD2CA54"/>
    <w:rsid w:val="7DDCA26F"/>
    <w:rsid w:val="7F4F4984"/>
    <w:rsid w:val="7FF5575A"/>
    <w:rsid w:val="B6FF4607"/>
    <w:rsid w:val="B9FF2E43"/>
    <w:rsid w:val="E6AF02DF"/>
    <w:rsid w:val="EA683B90"/>
    <w:rsid w:val="F6FEDB6B"/>
    <w:rsid w:val="FDBEFEBE"/>
    <w:rsid w:val="FDFEA3C3"/>
    <w:rsid w:val="FF73E2AB"/>
    <w:rsid w:val="FF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130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2018-03-20T15:36:00Z</dcterms:created>
  <dc:creator>Lenovo</dc:creator>
  <cp:lastModifiedBy>user</cp:lastModifiedBy>
  <dcterms:modified xsi:type="dcterms:W3CDTF">2025-10-17T10:44:06Z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