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color w:val="auto"/>
          <w:sz w:val="36"/>
          <w:szCs w:val="36"/>
        </w:rPr>
      </w:pPr>
      <w:bookmarkStart w:id="0" w:name="_GoBack"/>
      <w:r>
        <w:rPr>
          <w:rFonts w:hint="eastAsia" w:ascii="方正黑体_GBK" w:eastAsia="方正黑体_GBK"/>
          <w:color w:val="auto"/>
          <w:sz w:val="36"/>
          <w:szCs w:val="36"/>
          <w:lang w:val="en-US" w:eastAsia="zh-CN"/>
        </w:rPr>
        <w:t>重庆市万州区2023年一季度</w:t>
      </w:r>
      <w:r>
        <w:rPr>
          <w:rFonts w:hint="eastAsia" w:ascii="方正黑体_GBK" w:eastAsia="方正黑体_GBK"/>
          <w:color w:val="auto"/>
          <w:sz w:val="36"/>
          <w:szCs w:val="36"/>
        </w:rPr>
        <w:t>经济运行简况</w:t>
      </w:r>
    </w:p>
    <w:bookmarkEnd w:id="0"/>
    <w:p>
      <w:pPr>
        <w:jc w:val="left"/>
        <w:rPr>
          <w:rFonts w:ascii="方正黑体_GBK" w:eastAsia="方正黑体_GBK"/>
          <w:color w:val="auto"/>
          <w:sz w:val="36"/>
          <w:szCs w:val="36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一季度，全区地区生产总值同比增长6.6%。分产业看，第一产业增加值同比增长5.1%；第二产业增加值同比增长18.0%；第三产业增加值同比增长2.9%。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一、工业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一季度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，全区规模以上工业完成总产值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150.73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39.1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%。其中，经开区完成产值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130.15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47.4</w:t>
      </w:r>
      <w:r>
        <w:rPr>
          <w:rFonts w:hint="eastAsia" w:ascii="方正楷体_GBK" w:eastAsia="方正楷体_GBK"/>
          <w:color w:val="auto"/>
          <w:sz w:val="28"/>
          <w:szCs w:val="28"/>
        </w:rPr>
        <w:t>%。分三大门类看，采矿业完成产值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2.33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同比增长15.9%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制造业完成产值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123.13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44.6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ascii="方正楷体_GBK" w:eastAsia="方正楷体_GBK"/>
          <w:color w:val="auto"/>
          <w:sz w:val="28"/>
          <w:szCs w:val="28"/>
        </w:rPr>
        <w:t>电力</w:t>
      </w:r>
      <w:r>
        <w:rPr>
          <w:rFonts w:hint="eastAsia" w:ascii="方正楷体_GBK" w:eastAsia="方正楷体_GBK"/>
          <w:color w:val="auto"/>
          <w:sz w:val="28"/>
          <w:szCs w:val="28"/>
        </w:rPr>
        <w:t>、热力、燃气及水生产和供应业完成产值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25.28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19.5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一季度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规模以上</w:t>
      </w:r>
      <w:r>
        <w:rPr>
          <w:rFonts w:ascii="方正楷体_GBK" w:eastAsia="方正楷体_GBK"/>
          <w:color w:val="auto"/>
          <w:sz w:val="28"/>
          <w:szCs w:val="28"/>
        </w:rPr>
        <w:t>高技术制造业完成产值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5.77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下降0.1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ascii="方正楷体_GBK" w:eastAsia="方正楷体_GBK"/>
          <w:color w:val="auto"/>
          <w:sz w:val="28"/>
          <w:szCs w:val="28"/>
        </w:rPr>
        <w:t>规模以上农产品加工业完成产值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8.64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4.9</w:t>
      </w:r>
      <w:r>
        <w:rPr>
          <w:rFonts w:hint="eastAsia" w:ascii="方正楷体_GBK" w:eastAsia="方正楷体_GBK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二、固定资产投资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一季度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，全区固定资产投资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额同比</w:t>
      </w:r>
      <w:r>
        <w:rPr>
          <w:rFonts w:hint="eastAsia"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14.2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%。其中，基础设施建设投资同比增长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2.0</w:t>
      </w:r>
      <w:r>
        <w:rPr>
          <w:rFonts w:hint="eastAsia" w:ascii="方正楷体_GBK" w:eastAsia="方正楷体_GBK"/>
          <w:color w:val="auto"/>
          <w:sz w:val="28"/>
          <w:szCs w:val="28"/>
        </w:rPr>
        <w:t>%；民间投资同比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下降17.7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从投资类别看，建设与改造投资同比增长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16.1</w:t>
      </w:r>
      <w:r>
        <w:rPr>
          <w:rFonts w:hint="eastAsia" w:ascii="方正楷体_GBK" w:eastAsia="方正楷体_GBK"/>
          <w:color w:val="auto"/>
          <w:sz w:val="28"/>
          <w:szCs w:val="28"/>
        </w:rPr>
        <w:t>%；房地产开发投资同比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7.6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ascii="方正楷体_GBK" w:eastAsia="方正楷体_GBK"/>
          <w:color w:val="auto"/>
          <w:sz w:val="28"/>
          <w:szCs w:val="28"/>
        </w:rPr>
        <w:t>从三大产业看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第一产业投资同比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增长2.3倍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第二产业投资同比增长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8.1%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第三产业投资同比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增长9.2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三、消费品市场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一季度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，全区实现社会消费品零售总额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100.53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增长5.8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%。其中，限上单位社会消费品零售额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33.22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增长3.3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从贸易销售情况看，全区批发业商品销售额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432.79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22.5</w:t>
      </w:r>
      <w:r>
        <w:rPr>
          <w:rFonts w:hint="eastAsia" w:ascii="方正楷体_GBK" w:eastAsia="方正楷体_GBK"/>
          <w:color w:val="auto"/>
          <w:sz w:val="28"/>
          <w:szCs w:val="28"/>
        </w:rPr>
        <w:t>%；零售业商品销售额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63.30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6.9</w:t>
      </w:r>
      <w:r>
        <w:rPr>
          <w:rFonts w:hint="eastAsia" w:ascii="方正楷体_GBK" w:eastAsia="方正楷体_GBK"/>
          <w:color w:val="auto"/>
          <w:sz w:val="28"/>
          <w:szCs w:val="28"/>
        </w:rPr>
        <w:t>%；住宿业营业额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2.66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19.7</w:t>
      </w:r>
      <w:r>
        <w:rPr>
          <w:rFonts w:hint="eastAsia" w:ascii="方正楷体_GBK" w:eastAsia="方正楷体_GBK"/>
          <w:color w:val="auto"/>
          <w:sz w:val="28"/>
          <w:szCs w:val="28"/>
        </w:rPr>
        <w:t>%；餐饮业营业额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11.65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12.2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四、财政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一季度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，全区一般公共预算收入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18.48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增长2.7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%。其中，税收收入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9.88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增长2.1</w:t>
      </w:r>
      <w:r>
        <w:rPr>
          <w:rFonts w:hint="eastAsia" w:ascii="方正楷体_GBK" w:eastAsia="方正楷体_GBK"/>
          <w:color w:val="auto"/>
          <w:sz w:val="28"/>
          <w:szCs w:val="28"/>
        </w:rPr>
        <w:t>%；非税收入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8.60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3.4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一季度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，全区一般公共预算支出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39.31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增长7.4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%。其中，一般公共服务支出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3.77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增长7.4</w:t>
      </w:r>
      <w:r>
        <w:rPr>
          <w:rFonts w:hint="eastAsia" w:ascii="方正楷体_GBK" w:eastAsia="方正楷体_GBK"/>
          <w:color w:val="auto"/>
          <w:sz w:val="28"/>
          <w:szCs w:val="28"/>
        </w:rPr>
        <w:t>%；教育支出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7.80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1.5</w:t>
      </w:r>
      <w:r>
        <w:rPr>
          <w:rFonts w:hint="eastAsia" w:ascii="方正楷体_GBK" w:eastAsia="方正楷体_GBK"/>
          <w:color w:val="auto"/>
          <w:sz w:val="28"/>
          <w:szCs w:val="28"/>
        </w:rPr>
        <w:t>%；社保和就业支出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8.14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增长8.9</w:t>
      </w:r>
      <w:r>
        <w:rPr>
          <w:rFonts w:hint="eastAsia" w:ascii="方正楷体_GBK" w:eastAsia="方正楷体_GBK"/>
          <w:color w:val="auto"/>
          <w:sz w:val="28"/>
          <w:szCs w:val="28"/>
        </w:rPr>
        <w:t>%；卫生和健康支出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3.02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下降16.6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五、金融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3月末</w:t>
      </w:r>
      <w:r>
        <w:rPr>
          <w:rFonts w:hint="eastAsia" w:ascii="方正楷体_GBK" w:eastAsia="方正楷体_GBK"/>
          <w:color w:val="auto"/>
          <w:sz w:val="28"/>
          <w:szCs w:val="28"/>
        </w:rPr>
        <w:t>，全区金融机构本外币存款余额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1869.82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13.1</w:t>
      </w:r>
      <w:r>
        <w:rPr>
          <w:rFonts w:hint="eastAsia" w:ascii="方正楷体_GBK" w:eastAsia="方正楷体_GBK"/>
          <w:color w:val="auto"/>
          <w:sz w:val="28"/>
          <w:szCs w:val="28"/>
        </w:rPr>
        <w:t>%，其中，人民币存款余额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1868.41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13.1</w:t>
      </w:r>
      <w:r>
        <w:rPr>
          <w:rFonts w:hint="eastAsia" w:ascii="方正楷体_GBK" w:eastAsia="方正楷体_GBK"/>
          <w:color w:val="auto"/>
          <w:sz w:val="28"/>
          <w:szCs w:val="28"/>
        </w:rPr>
        <w:t>%。本外币贷款余额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957.00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下降0.9</w:t>
      </w:r>
      <w:r>
        <w:rPr>
          <w:rFonts w:hint="eastAsia" w:ascii="方正楷体_GBK" w:eastAsia="方正楷体_GBK"/>
          <w:color w:val="auto"/>
          <w:sz w:val="28"/>
          <w:szCs w:val="28"/>
        </w:rPr>
        <w:t>%，其中，人民币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贷款</w:t>
      </w:r>
      <w:r>
        <w:rPr>
          <w:rFonts w:hint="eastAsia" w:ascii="方正楷体_GBK" w:eastAsia="方正楷体_GBK"/>
          <w:color w:val="auto"/>
          <w:sz w:val="28"/>
          <w:szCs w:val="28"/>
        </w:rPr>
        <w:t>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956.80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下降0.9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六、房地产</w:t>
      </w:r>
    </w:p>
    <w:p>
      <w:pPr>
        <w:ind w:firstLine="560" w:firstLineChars="200"/>
        <w:rPr>
          <w:rFonts w:ascii="方正楷体_GBK" w:hAnsi="华文楷体" w:eastAsia="方正楷体_GBK"/>
          <w:color w:val="auto"/>
          <w:sz w:val="28"/>
          <w:szCs w:val="28"/>
        </w:rPr>
      </w:pP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一季度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，全区商品房施工面积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463.16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万平方米，同比下降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18.6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%；商品房新开工面积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3.02</w:t>
      </w:r>
      <w:r>
        <w:rPr>
          <w:rFonts w:ascii="方正楷体_GBK" w:hAnsi="华文楷体" w:eastAsia="方正楷体_GBK"/>
          <w:color w:val="auto"/>
          <w:sz w:val="28"/>
          <w:szCs w:val="28"/>
        </w:rPr>
        <w:t>万平方米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，</w:t>
      </w:r>
      <w:r>
        <w:rPr>
          <w:rFonts w:ascii="方正楷体_GBK" w:hAnsi="华文楷体" w:eastAsia="方正楷体_GBK"/>
          <w:color w:val="auto"/>
          <w:sz w:val="28"/>
          <w:szCs w:val="28"/>
        </w:rPr>
        <w:t>同比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下降92.4%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；商品房销售面积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30.39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万平方米，同比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增长5.2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七、居民</w:t>
      </w:r>
      <w:r>
        <w:rPr>
          <w:rFonts w:ascii="方正黑体_GBK" w:eastAsia="方正黑体_GBK"/>
          <w:color w:val="auto"/>
          <w:sz w:val="28"/>
          <w:szCs w:val="28"/>
        </w:rPr>
        <w:t>收入、</w:t>
      </w:r>
      <w:r>
        <w:rPr>
          <w:rFonts w:hint="eastAsia" w:ascii="方正黑体_GBK" w:eastAsia="方正黑体_GBK"/>
          <w:color w:val="auto"/>
          <w:sz w:val="28"/>
          <w:szCs w:val="28"/>
        </w:rPr>
        <w:t>就业、物价</w:t>
      </w:r>
    </w:p>
    <w:p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  <w:lang w:eastAsia="zh-CN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一季度，</w:t>
      </w:r>
      <w:r>
        <w:rPr>
          <w:rFonts w:ascii="方正楷体_GBK" w:eastAsia="方正楷体_GBK"/>
          <w:color w:val="auto"/>
          <w:sz w:val="28"/>
          <w:szCs w:val="28"/>
        </w:rPr>
        <w:t>全区全体居民人均可支配收入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11575</w:t>
      </w:r>
      <w:r>
        <w:rPr>
          <w:rFonts w:hint="eastAsia" w:ascii="方正楷体_GBK" w:eastAsia="方正楷体_GBK"/>
          <w:color w:val="auto"/>
          <w:sz w:val="28"/>
          <w:szCs w:val="28"/>
        </w:rPr>
        <w:t>元</w:t>
      </w:r>
      <w:r>
        <w:rPr>
          <w:rFonts w:ascii="方正楷体_GBK" w:eastAsia="方正楷体_GBK"/>
          <w:color w:val="auto"/>
          <w:sz w:val="28"/>
          <w:szCs w:val="28"/>
        </w:rPr>
        <w:t>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3.8</w:t>
      </w:r>
      <w:r>
        <w:rPr>
          <w:rFonts w:ascii="方正楷体_GBK" w:eastAsia="方正楷体_GBK"/>
          <w:color w:val="auto"/>
          <w:sz w:val="28"/>
          <w:szCs w:val="28"/>
        </w:rPr>
        <w:t>%。其中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城镇居民人均可支配收入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13697</w:t>
      </w:r>
      <w:r>
        <w:rPr>
          <w:rFonts w:hint="eastAsia" w:ascii="方正楷体_GBK" w:eastAsia="方正楷体_GBK"/>
          <w:color w:val="auto"/>
          <w:sz w:val="28"/>
          <w:szCs w:val="28"/>
        </w:rPr>
        <w:t>元</w:t>
      </w:r>
      <w:r>
        <w:rPr>
          <w:rFonts w:ascii="方正楷体_GBK" w:eastAsia="方正楷体_GBK"/>
          <w:color w:val="auto"/>
          <w:sz w:val="28"/>
          <w:szCs w:val="28"/>
        </w:rPr>
        <w:t>，同比</w:t>
      </w:r>
      <w:r>
        <w:rPr>
          <w:rFonts w:hint="eastAsia"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3.0</w:t>
      </w:r>
      <w:r>
        <w:rPr>
          <w:rFonts w:ascii="方正楷体_GBK" w:eastAsia="方正楷体_GBK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农村居民人均可支配收入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6625</w:t>
      </w:r>
      <w:r>
        <w:rPr>
          <w:rFonts w:hint="eastAsia" w:ascii="方正楷体_GBK" w:eastAsia="方正楷体_GBK"/>
          <w:color w:val="auto"/>
          <w:sz w:val="28"/>
          <w:szCs w:val="28"/>
        </w:rPr>
        <w:t>元</w:t>
      </w:r>
      <w:r>
        <w:rPr>
          <w:rFonts w:ascii="方正楷体_GBK" w:eastAsia="方正楷体_GBK"/>
          <w:color w:val="auto"/>
          <w:sz w:val="28"/>
          <w:szCs w:val="28"/>
        </w:rPr>
        <w:t>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6.5</w:t>
      </w:r>
      <w:r>
        <w:rPr>
          <w:rFonts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一季度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</w:rPr>
        <w:t>全区居民消费价格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同比上涨1.0%</w:t>
      </w:r>
      <w:r>
        <w:rPr>
          <w:rFonts w:hint="eastAsia" w:ascii="方正楷体_GBK" w:eastAsia="方正楷体_GBK"/>
          <w:color w:val="auto"/>
          <w:sz w:val="28"/>
          <w:szCs w:val="28"/>
        </w:rPr>
        <w:t>。分类别看，八大类商品和服务价格呈现“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六</w:t>
      </w:r>
      <w:r>
        <w:rPr>
          <w:rFonts w:hint="eastAsia" w:ascii="方正楷体_GBK" w:eastAsia="方正楷体_GBK"/>
          <w:color w:val="auto"/>
          <w:sz w:val="28"/>
          <w:szCs w:val="28"/>
        </w:rPr>
        <w:t>涨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两</w:t>
      </w:r>
      <w:r>
        <w:rPr>
          <w:rFonts w:hint="eastAsia" w:ascii="方正楷体_GBK" w:eastAsia="方正楷体_GBK"/>
          <w:color w:val="auto"/>
          <w:sz w:val="28"/>
          <w:szCs w:val="28"/>
        </w:rPr>
        <w:t>降”态势。其中，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食品烟酒、</w:t>
      </w:r>
      <w:r>
        <w:rPr>
          <w:rFonts w:hint="eastAsia" w:ascii="方正楷体_GBK" w:eastAsia="方正楷体_GBK"/>
          <w:color w:val="auto"/>
          <w:sz w:val="28"/>
          <w:szCs w:val="28"/>
        </w:rPr>
        <w:t>衣着、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生活用品及服务、</w:t>
      </w:r>
      <w:r>
        <w:rPr>
          <w:rFonts w:hint="eastAsia" w:ascii="方正楷体_GBK" w:eastAsia="方正楷体_GBK"/>
          <w:color w:val="auto"/>
          <w:sz w:val="28"/>
          <w:szCs w:val="28"/>
        </w:rPr>
        <w:t>交通和通信、教育文化和娱乐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、</w:t>
      </w:r>
      <w:r>
        <w:rPr>
          <w:rFonts w:hint="eastAsia" w:ascii="方正楷体_GBK" w:eastAsia="方正楷体_GBK"/>
          <w:color w:val="auto"/>
          <w:sz w:val="28"/>
          <w:szCs w:val="28"/>
        </w:rPr>
        <w:t>其他用品服务分别同比上涨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2.0</w:t>
      </w:r>
      <w:r>
        <w:rPr>
          <w:rFonts w:hint="eastAsia" w:ascii="方正楷体_GBK" w:eastAsia="方正楷体_GBK"/>
          <w:color w:val="auto"/>
          <w:sz w:val="28"/>
          <w:szCs w:val="28"/>
        </w:rPr>
        <w:t>%、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0.9</w:t>
      </w:r>
      <w:r>
        <w:rPr>
          <w:rFonts w:hint="eastAsia" w:ascii="方正楷体_GBK" w:eastAsia="方正楷体_GBK"/>
          <w:color w:val="auto"/>
          <w:sz w:val="28"/>
          <w:szCs w:val="28"/>
        </w:rPr>
        <w:t>%、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1.6</w:t>
      </w:r>
      <w:r>
        <w:rPr>
          <w:rFonts w:hint="eastAsia" w:ascii="方正楷体_GBK" w:eastAsia="方正楷体_GBK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1.0%、1.2%和0.7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居民和医疗保健分别</w:t>
      </w:r>
      <w:r>
        <w:rPr>
          <w:rFonts w:hint="eastAsia" w:ascii="方正楷体_GBK" w:eastAsia="方正楷体_GBK"/>
          <w:color w:val="auto"/>
          <w:sz w:val="28"/>
          <w:szCs w:val="28"/>
        </w:rPr>
        <w:t>同比下降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0.1</w:t>
      </w:r>
      <w:r>
        <w:rPr>
          <w:rFonts w:hint="eastAsia" w:ascii="方正楷体_GBK" w:eastAsia="方正楷体_GBK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0.3%</w:t>
      </w:r>
      <w:r>
        <w:rPr>
          <w:rFonts w:hint="eastAsia" w:ascii="方正楷体_GBK" w:eastAsia="方正楷体_GBK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一季度</w:t>
      </w:r>
      <w:r>
        <w:rPr>
          <w:rFonts w:hint="eastAsia" w:ascii="方正楷体_GBK" w:eastAsia="方正楷体_GBK"/>
          <w:color w:val="auto"/>
          <w:sz w:val="28"/>
          <w:szCs w:val="28"/>
        </w:rPr>
        <w:t>，城镇新增就业人员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0.80</w:t>
      </w:r>
      <w:r>
        <w:rPr>
          <w:rFonts w:ascii="方正楷体_GBK" w:eastAsia="方正楷体_GBK"/>
          <w:color w:val="auto"/>
          <w:sz w:val="28"/>
          <w:szCs w:val="28"/>
        </w:rPr>
        <w:t>万</w:t>
      </w:r>
      <w:r>
        <w:rPr>
          <w:rFonts w:hint="eastAsia" w:ascii="方正楷体_GBK" w:eastAsia="方正楷体_GBK"/>
          <w:color w:val="auto"/>
          <w:sz w:val="28"/>
          <w:szCs w:val="28"/>
        </w:rPr>
        <w:t>人。</w:t>
      </w:r>
    </w:p>
    <w:p>
      <w:pPr>
        <w:ind w:left="560"/>
        <w:rPr>
          <w:rFonts w:ascii="方正黑体_GBK" w:eastAsia="方正黑体_GBK"/>
          <w:color w:val="0000FF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zdhYmM2MGVlYThjODk2ZGUyYjBiZjY4NjNhOTkifQ=="/>
  </w:docVars>
  <w:rsids>
    <w:rsidRoot w:val="003A49ED"/>
    <w:rsid w:val="000075B9"/>
    <w:rsid w:val="000114ED"/>
    <w:rsid w:val="00032AA1"/>
    <w:rsid w:val="00033F4E"/>
    <w:rsid w:val="00076C17"/>
    <w:rsid w:val="000840D8"/>
    <w:rsid w:val="000D63EF"/>
    <w:rsid w:val="001101D3"/>
    <w:rsid w:val="00121916"/>
    <w:rsid w:val="001300DD"/>
    <w:rsid w:val="00135460"/>
    <w:rsid w:val="001D1B4A"/>
    <w:rsid w:val="001E445F"/>
    <w:rsid w:val="001F28C6"/>
    <w:rsid w:val="00205A3F"/>
    <w:rsid w:val="00234AC9"/>
    <w:rsid w:val="0034053D"/>
    <w:rsid w:val="00345463"/>
    <w:rsid w:val="003819A6"/>
    <w:rsid w:val="003A49ED"/>
    <w:rsid w:val="003D5FA6"/>
    <w:rsid w:val="003E66C6"/>
    <w:rsid w:val="003F1AAA"/>
    <w:rsid w:val="004050B2"/>
    <w:rsid w:val="0040556B"/>
    <w:rsid w:val="00411C2E"/>
    <w:rsid w:val="00414E1E"/>
    <w:rsid w:val="004319BD"/>
    <w:rsid w:val="00450E7D"/>
    <w:rsid w:val="00465D8A"/>
    <w:rsid w:val="004759FD"/>
    <w:rsid w:val="00492F95"/>
    <w:rsid w:val="004B67F4"/>
    <w:rsid w:val="004E5D79"/>
    <w:rsid w:val="00583452"/>
    <w:rsid w:val="006A11A8"/>
    <w:rsid w:val="006F26C2"/>
    <w:rsid w:val="007013F2"/>
    <w:rsid w:val="00782FE0"/>
    <w:rsid w:val="00791A06"/>
    <w:rsid w:val="007D1E32"/>
    <w:rsid w:val="00811A07"/>
    <w:rsid w:val="008215EE"/>
    <w:rsid w:val="0084038D"/>
    <w:rsid w:val="008905E3"/>
    <w:rsid w:val="00894DB1"/>
    <w:rsid w:val="00903E78"/>
    <w:rsid w:val="00920011"/>
    <w:rsid w:val="00945759"/>
    <w:rsid w:val="00961AB8"/>
    <w:rsid w:val="00972224"/>
    <w:rsid w:val="009B13E8"/>
    <w:rsid w:val="009B17F8"/>
    <w:rsid w:val="009D4FFE"/>
    <w:rsid w:val="009E2A59"/>
    <w:rsid w:val="009F42A7"/>
    <w:rsid w:val="00A02F8A"/>
    <w:rsid w:val="00A46C88"/>
    <w:rsid w:val="00A65B72"/>
    <w:rsid w:val="00A66669"/>
    <w:rsid w:val="00A77BD1"/>
    <w:rsid w:val="00B04F24"/>
    <w:rsid w:val="00B50142"/>
    <w:rsid w:val="00B91825"/>
    <w:rsid w:val="00B95F89"/>
    <w:rsid w:val="00BE279A"/>
    <w:rsid w:val="00C24CDB"/>
    <w:rsid w:val="00C332B7"/>
    <w:rsid w:val="00C6476B"/>
    <w:rsid w:val="00C802F4"/>
    <w:rsid w:val="00CC7D02"/>
    <w:rsid w:val="00CD6B93"/>
    <w:rsid w:val="00D04376"/>
    <w:rsid w:val="00D54871"/>
    <w:rsid w:val="00D6462D"/>
    <w:rsid w:val="00E03FCE"/>
    <w:rsid w:val="00E72F29"/>
    <w:rsid w:val="00E80723"/>
    <w:rsid w:val="00E8317B"/>
    <w:rsid w:val="00F33B24"/>
    <w:rsid w:val="00F91D64"/>
    <w:rsid w:val="01F90CB6"/>
    <w:rsid w:val="0307726F"/>
    <w:rsid w:val="044B2601"/>
    <w:rsid w:val="067A6526"/>
    <w:rsid w:val="071C2880"/>
    <w:rsid w:val="08C75638"/>
    <w:rsid w:val="09301ACC"/>
    <w:rsid w:val="09353D53"/>
    <w:rsid w:val="095A5E82"/>
    <w:rsid w:val="09D034F0"/>
    <w:rsid w:val="0A237868"/>
    <w:rsid w:val="0A410C52"/>
    <w:rsid w:val="0B8E40E1"/>
    <w:rsid w:val="0D697F57"/>
    <w:rsid w:val="0D9A2D56"/>
    <w:rsid w:val="0E29234F"/>
    <w:rsid w:val="0F316DE4"/>
    <w:rsid w:val="0F4834EC"/>
    <w:rsid w:val="0F954CCA"/>
    <w:rsid w:val="0FB52FBB"/>
    <w:rsid w:val="0FBD309C"/>
    <w:rsid w:val="10B8138E"/>
    <w:rsid w:val="137B4746"/>
    <w:rsid w:val="14EF4CCC"/>
    <w:rsid w:val="15724AF5"/>
    <w:rsid w:val="16370B22"/>
    <w:rsid w:val="17FF4B9C"/>
    <w:rsid w:val="197C2BD7"/>
    <w:rsid w:val="19A54301"/>
    <w:rsid w:val="1AAE373A"/>
    <w:rsid w:val="1B284CB6"/>
    <w:rsid w:val="1B3C5CE9"/>
    <w:rsid w:val="1D5F7333"/>
    <w:rsid w:val="1D7A1705"/>
    <w:rsid w:val="1DC70227"/>
    <w:rsid w:val="1FE25C7A"/>
    <w:rsid w:val="209A0F91"/>
    <w:rsid w:val="21382E2F"/>
    <w:rsid w:val="21D9102B"/>
    <w:rsid w:val="231B0F42"/>
    <w:rsid w:val="23F27321"/>
    <w:rsid w:val="24184DFE"/>
    <w:rsid w:val="24D64315"/>
    <w:rsid w:val="253D0352"/>
    <w:rsid w:val="25EF165A"/>
    <w:rsid w:val="270956E5"/>
    <w:rsid w:val="277744A1"/>
    <w:rsid w:val="28171FB8"/>
    <w:rsid w:val="28FB2E5F"/>
    <w:rsid w:val="29F91237"/>
    <w:rsid w:val="2A723495"/>
    <w:rsid w:val="2A8D15A2"/>
    <w:rsid w:val="2AC860B7"/>
    <w:rsid w:val="2C3E5AF5"/>
    <w:rsid w:val="2E365ADC"/>
    <w:rsid w:val="2FAE4329"/>
    <w:rsid w:val="3045511D"/>
    <w:rsid w:val="315A30FD"/>
    <w:rsid w:val="31C6387C"/>
    <w:rsid w:val="32063E5B"/>
    <w:rsid w:val="331A6C9D"/>
    <w:rsid w:val="348E62F9"/>
    <w:rsid w:val="34A279D5"/>
    <w:rsid w:val="36FB7261"/>
    <w:rsid w:val="372A7A86"/>
    <w:rsid w:val="38333884"/>
    <w:rsid w:val="3C6810BE"/>
    <w:rsid w:val="3C7C565C"/>
    <w:rsid w:val="3CD2369B"/>
    <w:rsid w:val="3CF40303"/>
    <w:rsid w:val="3DDD3477"/>
    <w:rsid w:val="3EC26C8E"/>
    <w:rsid w:val="40AE48F5"/>
    <w:rsid w:val="40BD305E"/>
    <w:rsid w:val="40C33A32"/>
    <w:rsid w:val="422F042E"/>
    <w:rsid w:val="42A33FF0"/>
    <w:rsid w:val="45F50DCD"/>
    <w:rsid w:val="4A094257"/>
    <w:rsid w:val="4A2A1193"/>
    <w:rsid w:val="4B2A24F3"/>
    <w:rsid w:val="4B923AF9"/>
    <w:rsid w:val="4C8449A7"/>
    <w:rsid w:val="4D002B0E"/>
    <w:rsid w:val="4FF72BAE"/>
    <w:rsid w:val="50B771CC"/>
    <w:rsid w:val="51843FFB"/>
    <w:rsid w:val="522E333F"/>
    <w:rsid w:val="529B33B1"/>
    <w:rsid w:val="52B927DA"/>
    <w:rsid w:val="55FE4F38"/>
    <w:rsid w:val="578E63E5"/>
    <w:rsid w:val="58105555"/>
    <w:rsid w:val="59220B76"/>
    <w:rsid w:val="5A653552"/>
    <w:rsid w:val="5C152586"/>
    <w:rsid w:val="5CDD51E0"/>
    <w:rsid w:val="5CF01326"/>
    <w:rsid w:val="5D487B5F"/>
    <w:rsid w:val="5D6032CB"/>
    <w:rsid w:val="5DDA6373"/>
    <w:rsid w:val="5E416969"/>
    <w:rsid w:val="5F543BEC"/>
    <w:rsid w:val="5FEE639A"/>
    <w:rsid w:val="5FF972FA"/>
    <w:rsid w:val="60B80016"/>
    <w:rsid w:val="621A1405"/>
    <w:rsid w:val="628A5A2B"/>
    <w:rsid w:val="63B67BF8"/>
    <w:rsid w:val="647A4909"/>
    <w:rsid w:val="65723C8F"/>
    <w:rsid w:val="67563A10"/>
    <w:rsid w:val="692A7D77"/>
    <w:rsid w:val="69357C11"/>
    <w:rsid w:val="69DF7962"/>
    <w:rsid w:val="6A0C390A"/>
    <w:rsid w:val="6B6A72D9"/>
    <w:rsid w:val="6F5A13B8"/>
    <w:rsid w:val="70823738"/>
    <w:rsid w:val="70833C27"/>
    <w:rsid w:val="71331307"/>
    <w:rsid w:val="72487C70"/>
    <w:rsid w:val="74C54CBD"/>
    <w:rsid w:val="74E31E90"/>
    <w:rsid w:val="74FB73BC"/>
    <w:rsid w:val="7522447A"/>
    <w:rsid w:val="754D0D40"/>
    <w:rsid w:val="75713CE3"/>
    <w:rsid w:val="75C94940"/>
    <w:rsid w:val="765F6255"/>
    <w:rsid w:val="77DD0CA9"/>
    <w:rsid w:val="78922936"/>
    <w:rsid w:val="7907222D"/>
    <w:rsid w:val="7AA855BD"/>
    <w:rsid w:val="7B647A31"/>
    <w:rsid w:val="7C5F46C7"/>
    <w:rsid w:val="7D5B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3</Pages>
  <Words>1072</Words>
  <Characters>1392</Characters>
  <Lines>11</Lines>
  <Paragraphs>3</Paragraphs>
  <TotalTime>258</TotalTime>
  <ScaleCrop>false</ScaleCrop>
  <LinksUpToDate>false</LinksUpToDate>
  <CharactersWithSpaces>1392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2018-03-15T15:36:00Z</dcterms:created>
  <dc:creator>Lenovo</dc:creator>
  <cp:lastModifiedBy>user</cp:lastModifiedBy>
  <dcterms:modified xsi:type="dcterms:W3CDTF">2024-05-28T17:20:41Z</dcterms:modified>
  <dc:title>1-7月万州经济运行简况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A5EC42DD3FD144F3BF2D1FEF8ED8A6EA_13</vt:lpwstr>
  </property>
</Properties>
</file>