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2</w:t>
      </w:r>
      <w:r>
        <w:rPr>
          <w:rFonts w:ascii="方正黑体_GBK" w:eastAsia="方正黑体_GBK"/>
          <w:sz w:val="36"/>
          <w:szCs w:val="36"/>
        </w:rPr>
        <w:t>年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上半年</w:t>
      </w:r>
      <w:r>
        <w:rPr>
          <w:rFonts w:hint="eastAsia" w:ascii="方正黑体_GBK" w:eastAsia="方正黑体_GBK"/>
          <w:sz w:val="36"/>
          <w:szCs w:val="36"/>
        </w:rPr>
        <w:t>万州经济运行简况</w:t>
      </w:r>
    </w:p>
    <w:p>
      <w:pPr>
        <w:jc w:val="left"/>
        <w:rPr>
          <w:rFonts w:ascii="方正黑体_GBK" w:eastAsia="方正黑体_GBK"/>
          <w:sz w:val="36"/>
          <w:szCs w:val="36"/>
        </w:rPr>
      </w:pP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全区</w:t>
      </w:r>
      <w:r>
        <w:rPr>
          <w:rFonts w:hint="eastAsia" w:ascii="方正楷体_GBK" w:eastAsia="方正楷体_GBK"/>
          <w:sz w:val="28"/>
          <w:szCs w:val="28"/>
        </w:rPr>
        <w:t>实现地区生产总值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513.80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2.8</w:t>
      </w:r>
      <w:r>
        <w:rPr>
          <w:rFonts w:hint="eastAsia" w:ascii="方正楷体_GBK" w:eastAsia="方正楷体_GBK"/>
          <w:sz w:val="28"/>
          <w:szCs w:val="28"/>
        </w:rPr>
        <w:t>%。分产业看，第一产业实现增加值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38.99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7.1</w:t>
      </w:r>
      <w:r>
        <w:rPr>
          <w:rFonts w:hint="eastAsia" w:ascii="方正楷体_GBK" w:eastAsia="方正楷体_GBK"/>
          <w:sz w:val="28"/>
          <w:szCs w:val="28"/>
        </w:rPr>
        <w:t>%；第二产业实现增加值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150.23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3.3</w:t>
      </w:r>
      <w:r>
        <w:rPr>
          <w:rFonts w:hint="eastAsia" w:ascii="方正楷体_GBK" w:eastAsia="方正楷体_GBK"/>
          <w:sz w:val="28"/>
          <w:szCs w:val="28"/>
        </w:rPr>
        <w:t>%；第三产业实现增加值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324.58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2.0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231.96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22.0</w:t>
      </w:r>
      <w:r>
        <w:rPr>
          <w:rFonts w:hint="eastAsia" w:ascii="方正楷体_GBK" w:eastAsia="方正楷体_GBK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192.81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24.4</w:t>
      </w:r>
      <w:r>
        <w:rPr>
          <w:rFonts w:hint="eastAsia" w:ascii="方正楷体_GBK" w:eastAsia="方正楷体_GBK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4.05</w:t>
      </w:r>
      <w:r>
        <w:rPr>
          <w:rFonts w:ascii="方正楷体_GBK" w:eastAsia="方正楷体_GBK"/>
          <w:sz w:val="28"/>
          <w:szCs w:val="28"/>
        </w:rPr>
        <w:t>亿元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同比增长28.6%</w:t>
      </w:r>
      <w:r>
        <w:rPr>
          <w:rFonts w:hint="eastAsia" w:ascii="方正楷体_GBK" w:eastAsia="方正楷体_GBK"/>
          <w:sz w:val="28"/>
          <w:szCs w:val="28"/>
        </w:rPr>
        <w:t>；</w:t>
      </w:r>
      <w:r>
        <w:rPr>
          <w:rFonts w:ascii="方正楷体_GBK" w:eastAsia="方正楷体_GBK"/>
          <w:sz w:val="28"/>
          <w:szCs w:val="28"/>
        </w:rPr>
        <w:t>制造业完成产值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195.23</w:t>
      </w:r>
      <w:r>
        <w:rPr>
          <w:rFonts w:hint="eastAsia" w:ascii="方正楷体_GBK" w:eastAsia="方正楷体_GBK"/>
          <w:sz w:val="28"/>
          <w:szCs w:val="28"/>
        </w:rPr>
        <w:t>亿元，</w:t>
      </w:r>
      <w:r>
        <w:rPr>
          <w:rFonts w:ascii="方正楷体_GBK" w:eastAsia="方正楷体_GBK"/>
          <w:sz w:val="28"/>
          <w:szCs w:val="28"/>
        </w:rPr>
        <w:t>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26.4</w:t>
      </w:r>
      <w:r>
        <w:rPr>
          <w:rFonts w:hint="eastAsia" w:ascii="方正楷体_GBK" w:eastAsia="方正楷体_GBK"/>
          <w:sz w:val="28"/>
          <w:szCs w:val="28"/>
        </w:rPr>
        <w:t>%；</w:t>
      </w:r>
      <w:r>
        <w:rPr>
          <w:rFonts w:ascii="方正楷体_GBK" w:eastAsia="方正楷体_GBK"/>
          <w:sz w:val="28"/>
          <w:szCs w:val="28"/>
        </w:rPr>
        <w:t>电力</w:t>
      </w:r>
      <w:r>
        <w:rPr>
          <w:rFonts w:hint="eastAsia" w:ascii="方正楷体_GBK" w:eastAsia="方正楷体_GBK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32.69</w:t>
      </w:r>
      <w:r>
        <w:rPr>
          <w:rFonts w:hint="eastAsia" w:ascii="方正楷体_GBK" w:eastAsia="方正楷体_GBK"/>
          <w:sz w:val="28"/>
          <w:szCs w:val="28"/>
        </w:rPr>
        <w:t>亿元，</w:t>
      </w:r>
      <w:r>
        <w:rPr>
          <w:rFonts w:ascii="方正楷体_GBK" w:eastAsia="方正楷体_GBK"/>
          <w:sz w:val="28"/>
          <w:szCs w:val="28"/>
        </w:rPr>
        <w:t>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0.5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sz w:val="28"/>
          <w:szCs w:val="28"/>
        </w:rPr>
        <w:t>，全区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10.36</w:t>
      </w:r>
      <w:r>
        <w:rPr>
          <w:rFonts w:ascii="方正楷体_GBK" w:eastAsia="方正楷体_GBK"/>
          <w:sz w:val="28"/>
          <w:szCs w:val="28"/>
        </w:rPr>
        <w:t>亿元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ascii="方正楷体_GBK" w:eastAsia="方正楷体_GBK"/>
          <w:sz w:val="28"/>
          <w:szCs w:val="28"/>
        </w:rPr>
        <w:t>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11.6</w:t>
      </w:r>
      <w:r>
        <w:rPr>
          <w:rFonts w:hint="eastAsia" w:ascii="方正楷体_GBK" w:eastAsia="方正楷体_GBK"/>
          <w:sz w:val="28"/>
          <w:szCs w:val="28"/>
        </w:rPr>
        <w:t>%；</w:t>
      </w:r>
      <w:r>
        <w:rPr>
          <w:rFonts w:ascii="方正楷体_GBK" w:eastAsia="方正楷体_GBK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16.16</w:t>
      </w:r>
      <w:r>
        <w:rPr>
          <w:rFonts w:ascii="方正楷体_GBK" w:eastAsia="方正楷体_GBK"/>
          <w:sz w:val="28"/>
          <w:szCs w:val="28"/>
        </w:rPr>
        <w:t>亿元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ascii="方正楷体_GBK" w:eastAsia="方正楷体_GBK"/>
          <w:sz w:val="28"/>
          <w:szCs w:val="28"/>
        </w:rPr>
        <w:t>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18.5</w:t>
      </w:r>
      <w:r>
        <w:rPr>
          <w:rFonts w:hint="eastAsia" w:ascii="方正楷体_GBK" w:eastAsia="方正楷体_GBK"/>
          <w:sz w:val="28"/>
          <w:szCs w:val="28"/>
        </w:rPr>
        <w:t>%</w:t>
      </w:r>
      <w:r>
        <w:rPr>
          <w:rFonts w:hint="eastAsia" w:ascii="方正楷体_GBK" w:eastAsia="方正楷体_GBK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sz w:val="28"/>
          <w:szCs w:val="28"/>
        </w:rPr>
        <w:t>，全区固定资产投资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sz w:val="28"/>
          <w:szCs w:val="28"/>
        </w:rPr>
        <w:t>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7.1</w:t>
      </w:r>
      <w:r>
        <w:rPr>
          <w:rFonts w:hint="eastAsia" w:ascii="方正楷体_GBK" w:eastAsia="方正楷体_GBK"/>
          <w:sz w:val="28"/>
          <w:szCs w:val="28"/>
        </w:rPr>
        <w:t>%。其中，基础设施建设投资同比增长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16.0</w:t>
      </w:r>
      <w:r>
        <w:rPr>
          <w:rFonts w:hint="eastAsia" w:ascii="方正楷体_GBK" w:eastAsia="方正楷体_GBK"/>
          <w:sz w:val="28"/>
          <w:szCs w:val="28"/>
        </w:rPr>
        <w:t>%；民间投资同比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下降19.5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25.6</w:t>
      </w:r>
      <w:r>
        <w:rPr>
          <w:rFonts w:hint="eastAsia" w:ascii="方正楷体_GBK" w:eastAsia="方正楷体_GBK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下降32.4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/>
          <w:sz w:val="28"/>
          <w:szCs w:val="28"/>
        </w:rPr>
        <w:t>从三大产业看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ascii="方正楷体_GBK" w:eastAsia="方正楷体_GBK"/>
          <w:sz w:val="28"/>
          <w:szCs w:val="28"/>
        </w:rPr>
        <w:t>第一产业投资同比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增长3.3</w:t>
      </w:r>
      <w:r>
        <w:rPr>
          <w:rFonts w:hint="eastAsia" w:ascii="方正楷体_GBK" w:eastAsia="方正楷体_GBK"/>
          <w:sz w:val="28"/>
          <w:szCs w:val="28"/>
        </w:rPr>
        <w:t>%；</w:t>
      </w:r>
      <w:r>
        <w:rPr>
          <w:rFonts w:ascii="方正楷体_GBK" w:eastAsia="方正楷体_GBK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12.9%</w:t>
      </w:r>
      <w:r>
        <w:rPr>
          <w:rFonts w:hint="eastAsia" w:ascii="方正楷体_GBK" w:eastAsia="方正楷体_GBK"/>
          <w:sz w:val="28"/>
          <w:szCs w:val="28"/>
        </w:rPr>
        <w:t>；</w:t>
      </w:r>
      <w:r>
        <w:rPr>
          <w:rFonts w:ascii="方正楷体_GBK" w:eastAsia="方正楷体_GBK"/>
          <w:sz w:val="28"/>
          <w:szCs w:val="28"/>
        </w:rPr>
        <w:t>第三产业投资同比增长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5.0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201.05</w:t>
      </w:r>
      <w:r>
        <w:rPr>
          <w:rFonts w:hint="eastAsia" w:ascii="方正楷体_GBK" w:eastAsia="方正楷体_GBK"/>
          <w:sz w:val="28"/>
          <w:szCs w:val="28"/>
        </w:rPr>
        <w:t>亿元，同比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下降3.7</w:t>
      </w:r>
      <w:r>
        <w:rPr>
          <w:rFonts w:hint="eastAsia" w:ascii="方正楷体_GBK" w:eastAsia="方正楷体_GBK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55.76</w:t>
      </w:r>
      <w:r>
        <w:rPr>
          <w:rFonts w:hint="eastAsia" w:ascii="方正楷体_GBK" w:eastAsia="方正楷体_GBK"/>
          <w:sz w:val="28"/>
          <w:szCs w:val="28"/>
        </w:rPr>
        <w:t>亿元，同比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下降3.7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727.89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12.7</w:t>
      </w:r>
      <w:r>
        <w:rPr>
          <w:rFonts w:hint="eastAsia" w:ascii="方正楷体_GBK" w:eastAsia="方正楷体_GBK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95.57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6.1</w:t>
      </w:r>
      <w:r>
        <w:rPr>
          <w:rFonts w:hint="eastAsia" w:ascii="方正楷体_GBK" w:eastAsia="方正楷体_GBK"/>
          <w:sz w:val="28"/>
          <w:szCs w:val="28"/>
        </w:rPr>
        <w:t>%；住宿业营业额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5.76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2.8</w:t>
      </w:r>
      <w:r>
        <w:rPr>
          <w:rFonts w:hint="eastAsia" w:ascii="方正楷体_GBK" w:eastAsia="方正楷体_GBK"/>
          <w:sz w:val="28"/>
          <w:szCs w:val="28"/>
        </w:rPr>
        <w:t>%；餐饮业营业额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21.12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2.6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000000" w:themeColor="text1"/>
          <w:sz w:val="28"/>
          <w:szCs w:val="28"/>
        </w:rPr>
      </w:pP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30.98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下降8.4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18.39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下降14.2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</w:rPr>
        <w:t>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12.59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1.8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000000" w:themeColor="text1"/>
          <w:sz w:val="28"/>
          <w:szCs w:val="28"/>
        </w:rPr>
      </w:pP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67.00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增长4.2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6.26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下降1.6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13.64</w:t>
      </w:r>
      <w:r>
        <w:rPr>
          <w:rFonts w:ascii="方正楷体_GBK" w:eastAsia="方正楷体_GBK"/>
          <w:color w:val="000000" w:themeColor="text1"/>
          <w:sz w:val="28"/>
          <w:szCs w:val="28"/>
        </w:rPr>
        <w:t>亿元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，</w:t>
      </w:r>
      <w:r>
        <w:rPr>
          <w:rFonts w:ascii="方正楷体_GBK" w:eastAsia="方正楷体_GBK"/>
          <w:color w:val="000000" w:themeColor="text1"/>
          <w:sz w:val="28"/>
          <w:szCs w:val="28"/>
        </w:rPr>
        <w:t>同比增长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6.5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%；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11.78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下降3.3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000000" w:themeColor="text1"/>
          <w:sz w:val="28"/>
          <w:szCs w:val="28"/>
        </w:rPr>
        <w:t>健康支出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5.93</w:t>
      </w:r>
      <w:r>
        <w:rPr>
          <w:rFonts w:ascii="方正楷体_GBK" w:eastAsia="方正楷体_GBK"/>
          <w:color w:val="000000" w:themeColor="text1"/>
          <w:sz w:val="28"/>
          <w:szCs w:val="28"/>
        </w:rPr>
        <w:t>亿元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，</w:t>
      </w:r>
      <w:r>
        <w:rPr>
          <w:rFonts w:ascii="方正楷体_GBK" w:eastAsia="方正楷体_GBK"/>
          <w:color w:val="000000" w:themeColor="text1"/>
          <w:sz w:val="28"/>
          <w:szCs w:val="28"/>
        </w:rPr>
        <w:t>同比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下降15.6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  <w:lang w:val="en-US" w:eastAsia="zh-CN"/>
        </w:rPr>
        <w:t>6月末</w:t>
      </w:r>
      <w:r>
        <w:rPr>
          <w:rFonts w:hint="eastAsia" w:ascii="方正楷体_GBK" w:eastAsia="方正楷体_GBK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1667.83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13.0</w:t>
      </w:r>
      <w:r>
        <w:rPr>
          <w:rFonts w:hint="eastAsia" w:ascii="方正楷体_GBK" w:eastAsia="方正楷体_GBK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1666.42</w:t>
      </w:r>
      <w:r>
        <w:rPr>
          <w:rFonts w:ascii="方正楷体_GBK" w:eastAsia="方正楷体_GBK"/>
          <w:sz w:val="28"/>
          <w:szCs w:val="28"/>
        </w:rPr>
        <w:t>亿元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ascii="方正楷体_GBK" w:eastAsia="方正楷体_GBK"/>
          <w:sz w:val="28"/>
          <w:szCs w:val="28"/>
        </w:rPr>
        <w:t>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13.0</w:t>
      </w:r>
      <w:r>
        <w:rPr>
          <w:rFonts w:hint="eastAsia" w:ascii="方正楷体_GBK" w:eastAsia="方正楷体_GBK"/>
          <w:sz w:val="28"/>
          <w:szCs w:val="28"/>
        </w:rPr>
        <w:t>%。本外币贷款余额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995.26</w:t>
      </w:r>
      <w:r>
        <w:rPr>
          <w:rFonts w:hint="eastAsia" w:ascii="方正楷体_GBK" w:eastAsia="方正楷体_GBK"/>
          <w:sz w:val="28"/>
          <w:szCs w:val="28"/>
        </w:rPr>
        <w:t>亿元，同比增长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10.1</w:t>
      </w:r>
      <w:r>
        <w:rPr>
          <w:rFonts w:hint="eastAsia" w:ascii="方正楷体_GBK" w:eastAsia="方正楷体_GBK"/>
          <w:sz w:val="28"/>
          <w:szCs w:val="28"/>
        </w:rPr>
        <w:t>%，其中，人民币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sz w:val="28"/>
          <w:szCs w:val="28"/>
        </w:rPr>
        <w:t>余额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995.04</w:t>
      </w:r>
      <w:r>
        <w:rPr>
          <w:rFonts w:ascii="方正楷体_GBK" w:eastAsia="方正楷体_GBK"/>
          <w:sz w:val="28"/>
          <w:szCs w:val="28"/>
        </w:rPr>
        <w:t>亿元</w:t>
      </w:r>
      <w:r>
        <w:rPr>
          <w:rFonts w:hint="eastAsia" w:ascii="方正楷体_GBK" w:eastAsia="方正楷体_GBK"/>
          <w:sz w:val="28"/>
          <w:szCs w:val="28"/>
        </w:rPr>
        <w:t>，</w:t>
      </w:r>
      <w:r>
        <w:rPr>
          <w:rFonts w:ascii="方正楷体_GBK" w:eastAsia="方正楷体_GBK"/>
          <w:sz w:val="28"/>
          <w:szCs w:val="28"/>
        </w:rPr>
        <w:t>同比增长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10.1</w:t>
      </w:r>
      <w:r>
        <w:rPr>
          <w:rFonts w:hint="eastAsia" w:ascii="方正楷体_GBK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sz w:val="28"/>
          <w:szCs w:val="28"/>
        </w:rPr>
      </w:pP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上半年</w:t>
      </w:r>
      <w:r>
        <w:rPr>
          <w:rFonts w:hint="eastAsia" w:ascii="方正楷体_GBK" w:hAnsi="华文楷体" w:eastAsia="方正楷体_GBK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574.47</w:t>
      </w:r>
      <w:r>
        <w:rPr>
          <w:rFonts w:hint="eastAsia" w:ascii="方正楷体_GBK" w:hAnsi="华文楷体" w:eastAsia="方正楷体_GBK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21.2</w:t>
      </w:r>
      <w:r>
        <w:rPr>
          <w:rFonts w:hint="eastAsia" w:ascii="方正楷体_GBK" w:hAnsi="华文楷体" w:eastAsia="方正楷体_GBK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42.83</w:t>
      </w:r>
      <w:r>
        <w:rPr>
          <w:rFonts w:ascii="方正楷体_GBK" w:hAnsi="华文楷体" w:eastAsia="方正楷体_GBK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sz w:val="28"/>
          <w:szCs w:val="28"/>
        </w:rPr>
        <w:t>，</w:t>
      </w:r>
      <w:r>
        <w:rPr>
          <w:rFonts w:ascii="方正楷体_GBK" w:hAnsi="华文楷体" w:eastAsia="方正楷体_GBK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下降15.8%</w:t>
      </w:r>
      <w:r>
        <w:rPr>
          <w:rFonts w:hint="eastAsia" w:ascii="方正楷体_GBK" w:hAnsi="华文楷体" w:eastAsia="方正楷体_GBK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52.62</w:t>
      </w:r>
      <w:r>
        <w:rPr>
          <w:rFonts w:hint="eastAsia" w:ascii="方正楷体_GBK" w:hAnsi="华文楷体" w:eastAsia="方正楷体_GBK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sz w:val="28"/>
          <w:szCs w:val="28"/>
          <w:lang w:val="en-US" w:eastAsia="zh-CN"/>
        </w:rPr>
        <w:t>下降37.6</w:t>
      </w:r>
      <w:r>
        <w:rPr>
          <w:rFonts w:hint="eastAsia" w:ascii="方正楷体_GBK" w:hAnsi="华文楷体" w:eastAsia="方正楷体_GBK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七、居民</w:t>
      </w:r>
      <w:r>
        <w:rPr>
          <w:rFonts w:ascii="方正黑体_GBK" w:eastAsia="方正黑体_GBK"/>
          <w:sz w:val="28"/>
          <w:szCs w:val="28"/>
        </w:rPr>
        <w:t>收入、</w:t>
      </w:r>
      <w:r>
        <w:rPr>
          <w:rFonts w:hint="eastAsia" w:ascii="方正黑体_GBK" w:eastAsia="方正黑体_GBK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上半年</w:t>
      </w:r>
      <w:r>
        <w:rPr>
          <w:rFonts w:ascii="方正楷体_GBK" w:eastAsia="方正楷体_GBK"/>
          <w:color w:val="auto"/>
          <w:sz w:val="28"/>
          <w:szCs w:val="28"/>
        </w:rPr>
        <w:t>，全区全体居民人均可支配收入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22953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8.4</w:t>
      </w:r>
      <w:r>
        <w:rPr>
          <w:rFonts w:ascii="方正楷体_GBK" w:eastAsia="方正楷体_GBK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27670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6.4</w:t>
      </w:r>
      <w:r>
        <w:rPr>
          <w:rFonts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12133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8.7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000000" w:themeColor="text1"/>
          <w:sz w:val="28"/>
          <w:szCs w:val="28"/>
        </w:rPr>
      </w:pP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，全区居民消费价格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同比上升1.5%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五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涨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三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降”态势。其中，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食品烟酒、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衣着、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居住、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交通和通信、医疗保健分别同比上涨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2.1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%、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0.5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%、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0.5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%、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6.2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和1.0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%；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生活用品及服务、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教育文化和娱乐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其他用品服务分别同比下降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0.7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0.9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%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和0.3%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。</w:t>
      </w:r>
    </w:p>
    <w:p>
      <w:pPr>
        <w:ind w:firstLine="560" w:firstLineChars="200"/>
        <w:rPr>
          <w:rFonts w:ascii="方正楷体_GBK" w:eastAsia="方正楷体_GBK"/>
          <w:color w:val="000000" w:themeColor="text1"/>
          <w:sz w:val="28"/>
          <w:szCs w:val="28"/>
        </w:rPr>
      </w:pP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，城镇新增就业人员</w:t>
      </w:r>
      <w:r>
        <w:rPr>
          <w:rFonts w:hint="eastAsia" w:ascii="方正楷体_GBK" w:eastAsia="方正楷体_GBK"/>
          <w:color w:val="000000" w:themeColor="text1"/>
          <w:sz w:val="28"/>
          <w:szCs w:val="28"/>
          <w:lang w:val="en-US" w:eastAsia="zh-CN"/>
        </w:rPr>
        <w:t>1.41</w:t>
      </w:r>
      <w:r>
        <w:rPr>
          <w:rFonts w:ascii="方正楷体_GBK" w:eastAsia="方正楷体_GBK"/>
          <w:color w:val="000000" w:themeColor="text1"/>
          <w:sz w:val="28"/>
          <w:szCs w:val="28"/>
        </w:rPr>
        <w:t>万</w:t>
      </w:r>
      <w:r>
        <w:rPr>
          <w:rFonts w:hint="eastAsia" w:ascii="方正楷体_GBK" w:eastAsia="方正楷体_GBK"/>
          <w:color w:val="000000" w:themeColor="text1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g2OWU4MGEyMGQxYThmNzJkNjZiM2Y1YWRiNTE0Njg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307726F"/>
    <w:rsid w:val="044B2601"/>
    <w:rsid w:val="067A6526"/>
    <w:rsid w:val="071C2880"/>
    <w:rsid w:val="08C75638"/>
    <w:rsid w:val="09301ACC"/>
    <w:rsid w:val="09353D53"/>
    <w:rsid w:val="09D034F0"/>
    <w:rsid w:val="0A410C52"/>
    <w:rsid w:val="0B8E40E1"/>
    <w:rsid w:val="0D697F57"/>
    <w:rsid w:val="0D9A2D56"/>
    <w:rsid w:val="0E29234F"/>
    <w:rsid w:val="0F316DE4"/>
    <w:rsid w:val="0FB52FBB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209A0F91"/>
    <w:rsid w:val="21382E2F"/>
    <w:rsid w:val="21D9102B"/>
    <w:rsid w:val="24D64315"/>
    <w:rsid w:val="253D0352"/>
    <w:rsid w:val="25EF165A"/>
    <w:rsid w:val="277744A1"/>
    <w:rsid w:val="28171FB8"/>
    <w:rsid w:val="28FB2E5F"/>
    <w:rsid w:val="2A723495"/>
    <w:rsid w:val="2A8D15A2"/>
    <w:rsid w:val="2AC860B7"/>
    <w:rsid w:val="2C3E5AF5"/>
    <w:rsid w:val="2E365ADC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DDD3477"/>
    <w:rsid w:val="3EC26C8E"/>
    <w:rsid w:val="40AE48F5"/>
    <w:rsid w:val="40C33A32"/>
    <w:rsid w:val="42A33FF0"/>
    <w:rsid w:val="45F50DCD"/>
    <w:rsid w:val="4A2A1193"/>
    <w:rsid w:val="4B923AF9"/>
    <w:rsid w:val="4D002B0E"/>
    <w:rsid w:val="522E333F"/>
    <w:rsid w:val="52B927DA"/>
    <w:rsid w:val="55FE4F38"/>
    <w:rsid w:val="578E63E5"/>
    <w:rsid w:val="58105555"/>
    <w:rsid w:val="59220B76"/>
    <w:rsid w:val="5A653552"/>
    <w:rsid w:val="5C152586"/>
    <w:rsid w:val="5CF01326"/>
    <w:rsid w:val="5D487B5F"/>
    <w:rsid w:val="5E416969"/>
    <w:rsid w:val="5FEE639A"/>
    <w:rsid w:val="60B80016"/>
    <w:rsid w:val="628A5A2B"/>
    <w:rsid w:val="647A4909"/>
    <w:rsid w:val="65723C8F"/>
    <w:rsid w:val="67563A10"/>
    <w:rsid w:val="692A7D77"/>
    <w:rsid w:val="69357C11"/>
    <w:rsid w:val="69DF7962"/>
    <w:rsid w:val="6B6A72D9"/>
    <w:rsid w:val="70823738"/>
    <w:rsid w:val="70833C27"/>
    <w:rsid w:val="71331307"/>
    <w:rsid w:val="72487C70"/>
    <w:rsid w:val="74E31E90"/>
    <w:rsid w:val="7522447A"/>
    <w:rsid w:val="754D0D40"/>
    <w:rsid w:val="75713CE3"/>
    <w:rsid w:val="765F6255"/>
    <w:rsid w:val="77DD0CA9"/>
    <w:rsid w:val="78922936"/>
    <w:rsid w:val="7AA855BD"/>
    <w:rsid w:val="7B647A31"/>
    <w:rsid w:val="7C5F46C7"/>
    <w:rsid w:val="7D5B1E4D"/>
    <w:rsid w:val="FF0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1067</Words>
  <Characters>1401</Characters>
  <Lines>11</Lines>
  <Paragraphs>3</Paragraphs>
  <TotalTime>1</TotalTime>
  <ScaleCrop>false</ScaleCrop>
  <LinksUpToDate>false</LinksUpToDate>
  <CharactersWithSpaces>1401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2018-03-15T15:36:00Z</dcterms:created>
  <dc:creator>Lenovo</dc:creator>
  <cp:lastModifiedBy>user</cp:lastModifiedBy>
  <dcterms:modified xsi:type="dcterms:W3CDTF">2025-10-17T10:01:06Z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DCD64255B485453488A3F4D9DD784497</vt:lpwstr>
  </property>
</Properties>
</file>