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2</w:t>
      </w:r>
      <w:r>
        <w:rPr>
          <w:rFonts w:ascii="方正黑体_GBK" w:eastAsia="方正黑体_GBK"/>
          <w:sz w:val="36"/>
          <w:szCs w:val="36"/>
        </w:rPr>
        <w:t>年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上半年</w:t>
      </w:r>
      <w:r>
        <w:rPr>
          <w:rFonts w:hint="eastAsia" w:ascii="方正黑体_GBK" w:eastAsia="方正黑体_GBK"/>
          <w:sz w:val="36"/>
          <w:szCs w:val="36"/>
        </w:rPr>
        <w:t>万州经济运行简况</w:t>
      </w:r>
    </w:p>
    <w:p>
      <w:pPr>
        <w:jc w:val="left"/>
        <w:rPr>
          <w:rFonts w:ascii="方正黑体_GBK" w:eastAsia="方正黑体_GBK"/>
          <w:sz w:val="36"/>
          <w:szCs w:val="36"/>
        </w:rPr>
      </w:pPr>
    </w:p>
    <w:p>
      <w:pPr>
        <w:ind w:firstLine="560" w:firstLineChars="200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  <w:lang w:val="en-US" w:eastAsia="zh-CN"/>
        </w:rPr>
        <w:t>上半年</w:t>
      </w:r>
      <w:r>
        <w:rPr>
          <w:rFonts w:hint="eastAsia" w:ascii="方正楷体_GBK" w:eastAsia="方正楷体_GBK"/>
          <w:sz w:val="28"/>
          <w:szCs w:val="28"/>
        </w:rPr>
        <w:t>，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全区</w:t>
      </w:r>
      <w:r>
        <w:rPr>
          <w:rFonts w:hint="eastAsia" w:ascii="方正楷体_GBK" w:eastAsia="方正楷体_GBK"/>
          <w:sz w:val="28"/>
          <w:szCs w:val="28"/>
        </w:rPr>
        <w:t>实现地区生产总值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513.80</w:t>
      </w:r>
      <w:r>
        <w:rPr>
          <w:rFonts w:hint="eastAsia" w:ascii="方正楷体_GBK" w:eastAsia="方正楷体_GBK"/>
          <w:sz w:val="28"/>
          <w:szCs w:val="28"/>
        </w:rPr>
        <w:t>亿元，同比增长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2.8</w:t>
      </w:r>
      <w:r>
        <w:rPr>
          <w:rFonts w:hint="eastAsia" w:ascii="方正楷体_GBK" w:eastAsia="方正楷体_GBK"/>
          <w:sz w:val="28"/>
          <w:szCs w:val="28"/>
        </w:rPr>
        <w:t>%。分产业看，第一产业实现增加值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38.99</w:t>
      </w:r>
      <w:r>
        <w:rPr>
          <w:rFonts w:hint="eastAsia" w:ascii="方正楷体_GBK" w:eastAsia="方正楷体_GBK"/>
          <w:sz w:val="28"/>
          <w:szCs w:val="28"/>
        </w:rPr>
        <w:t>亿元，同比增长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7.1</w:t>
      </w:r>
      <w:r>
        <w:rPr>
          <w:rFonts w:hint="eastAsia" w:ascii="方正楷体_GBK" w:eastAsia="方正楷体_GBK"/>
          <w:sz w:val="28"/>
          <w:szCs w:val="28"/>
        </w:rPr>
        <w:t>%；第二产业实现增加值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150.23</w:t>
      </w:r>
      <w:r>
        <w:rPr>
          <w:rFonts w:hint="eastAsia" w:ascii="方正楷体_GBK" w:eastAsia="方正楷体_GBK"/>
          <w:sz w:val="28"/>
          <w:szCs w:val="28"/>
        </w:rPr>
        <w:t>亿元，同比增长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3.3</w:t>
      </w:r>
      <w:r>
        <w:rPr>
          <w:rFonts w:hint="eastAsia" w:ascii="方正楷体_GBK" w:eastAsia="方正楷体_GBK"/>
          <w:sz w:val="28"/>
          <w:szCs w:val="28"/>
        </w:rPr>
        <w:t>%；第三产业实现增加值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324.58</w:t>
      </w:r>
      <w:r>
        <w:rPr>
          <w:rFonts w:hint="eastAsia" w:ascii="方正楷体_GBK" w:eastAsia="方正楷体_GBK"/>
          <w:sz w:val="28"/>
          <w:szCs w:val="28"/>
        </w:rPr>
        <w:t>亿元，同比增长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2.0</w:t>
      </w:r>
      <w:r>
        <w:rPr>
          <w:rFonts w:hint="eastAsia" w:ascii="方正楷体_GBK" w:eastAsia="方正楷体_GBK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一、工业</w:t>
      </w:r>
    </w:p>
    <w:p>
      <w:pPr>
        <w:ind w:firstLine="560" w:firstLineChars="200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  <w:lang w:val="en-US" w:eastAsia="zh-CN"/>
        </w:rPr>
        <w:t>上半年</w:t>
      </w:r>
      <w:r>
        <w:rPr>
          <w:rFonts w:hint="eastAsia" w:ascii="方正楷体_GBK" w:eastAsia="方正楷体_GBK"/>
          <w:sz w:val="28"/>
          <w:szCs w:val="28"/>
        </w:rPr>
        <w:t>，全区规模以上工业完成总产值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231.96</w:t>
      </w:r>
      <w:r>
        <w:rPr>
          <w:rFonts w:hint="eastAsia" w:ascii="方正楷体_GBK" w:eastAsia="方正楷体_GBK"/>
          <w:sz w:val="28"/>
          <w:szCs w:val="28"/>
        </w:rPr>
        <w:t>亿元，同比增长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22.0</w:t>
      </w:r>
      <w:r>
        <w:rPr>
          <w:rFonts w:hint="eastAsia" w:ascii="方正楷体_GBK" w:eastAsia="方正楷体_GBK"/>
          <w:sz w:val="28"/>
          <w:szCs w:val="28"/>
        </w:rPr>
        <w:t>%。其中，经开区完成产值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192.81</w:t>
      </w:r>
      <w:r>
        <w:rPr>
          <w:rFonts w:hint="eastAsia" w:ascii="方正楷体_GBK" w:eastAsia="方正楷体_GBK"/>
          <w:sz w:val="28"/>
          <w:szCs w:val="28"/>
        </w:rPr>
        <w:t>亿元，同比增长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24.4</w:t>
      </w:r>
      <w:r>
        <w:rPr>
          <w:rFonts w:hint="eastAsia" w:ascii="方正楷体_GBK" w:eastAsia="方正楷体_GBK"/>
          <w:sz w:val="28"/>
          <w:szCs w:val="28"/>
        </w:rPr>
        <w:t>%。分三大门类看，采矿业完成产值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4.05</w:t>
      </w:r>
      <w:r>
        <w:rPr>
          <w:rFonts w:ascii="方正楷体_GBK" w:eastAsia="方正楷体_GBK"/>
          <w:sz w:val="28"/>
          <w:szCs w:val="28"/>
        </w:rPr>
        <w:t>亿元</w:t>
      </w:r>
      <w:r>
        <w:rPr>
          <w:rFonts w:hint="eastAsia" w:ascii="方正楷体_GBK" w:eastAsia="方正楷体_GBK"/>
          <w:sz w:val="28"/>
          <w:szCs w:val="28"/>
        </w:rPr>
        <w:t>，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同比增长28.6%</w:t>
      </w:r>
      <w:r>
        <w:rPr>
          <w:rFonts w:hint="eastAsia" w:ascii="方正楷体_GBK" w:eastAsia="方正楷体_GBK"/>
          <w:sz w:val="28"/>
          <w:szCs w:val="28"/>
        </w:rPr>
        <w:t>；</w:t>
      </w:r>
      <w:r>
        <w:rPr>
          <w:rFonts w:ascii="方正楷体_GBK" w:eastAsia="方正楷体_GBK"/>
          <w:sz w:val="28"/>
          <w:szCs w:val="28"/>
        </w:rPr>
        <w:t>制造业完成产值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195.23</w:t>
      </w:r>
      <w:r>
        <w:rPr>
          <w:rFonts w:hint="eastAsia" w:ascii="方正楷体_GBK" w:eastAsia="方正楷体_GBK"/>
          <w:sz w:val="28"/>
          <w:szCs w:val="28"/>
        </w:rPr>
        <w:t>亿元，</w:t>
      </w:r>
      <w:r>
        <w:rPr>
          <w:rFonts w:ascii="方正楷体_GBK" w:eastAsia="方正楷体_GBK"/>
          <w:sz w:val="28"/>
          <w:szCs w:val="28"/>
        </w:rPr>
        <w:t>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26.4</w:t>
      </w:r>
      <w:r>
        <w:rPr>
          <w:rFonts w:hint="eastAsia" w:ascii="方正楷体_GBK" w:eastAsia="方正楷体_GBK"/>
          <w:sz w:val="28"/>
          <w:szCs w:val="28"/>
        </w:rPr>
        <w:t>%；</w:t>
      </w:r>
      <w:r>
        <w:rPr>
          <w:rFonts w:ascii="方正楷体_GBK" w:eastAsia="方正楷体_GBK"/>
          <w:sz w:val="28"/>
          <w:szCs w:val="28"/>
        </w:rPr>
        <w:t>电力</w:t>
      </w:r>
      <w:r>
        <w:rPr>
          <w:rFonts w:hint="eastAsia" w:ascii="方正楷体_GBK" w:eastAsia="方正楷体_GBK"/>
          <w:sz w:val="28"/>
          <w:szCs w:val="28"/>
        </w:rPr>
        <w:t>、热力、燃气及水生产和供应业完成产值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32.69</w:t>
      </w:r>
      <w:r>
        <w:rPr>
          <w:rFonts w:hint="eastAsia" w:ascii="方正楷体_GBK" w:eastAsia="方正楷体_GBK"/>
          <w:sz w:val="28"/>
          <w:szCs w:val="28"/>
        </w:rPr>
        <w:t>亿元，</w:t>
      </w:r>
      <w:r>
        <w:rPr>
          <w:rFonts w:ascii="方正楷体_GBK" w:eastAsia="方正楷体_GBK"/>
          <w:sz w:val="28"/>
          <w:szCs w:val="28"/>
        </w:rPr>
        <w:t>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0.5</w:t>
      </w:r>
      <w:r>
        <w:rPr>
          <w:rFonts w:hint="eastAsia" w:ascii="方正楷体_GBK" w:eastAsia="方正楷体_GBK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  <w:lang w:val="en-US" w:eastAsia="zh-CN"/>
        </w:rPr>
        <w:t>上半年</w:t>
      </w:r>
      <w:r>
        <w:rPr>
          <w:rFonts w:hint="eastAsia" w:ascii="方正楷体_GBK" w:eastAsia="方正楷体_GBK"/>
          <w:sz w:val="28"/>
          <w:szCs w:val="28"/>
        </w:rPr>
        <w:t>，全区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规模以上</w:t>
      </w:r>
      <w:r>
        <w:rPr>
          <w:rFonts w:ascii="方正楷体_GBK" w:eastAsia="方正楷体_GBK"/>
          <w:sz w:val="28"/>
          <w:szCs w:val="28"/>
        </w:rPr>
        <w:t>高技术制造业完成产值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10.36</w:t>
      </w:r>
      <w:r>
        <w:rPr>
          <w:rFonts w:ascii="方正楷体_GBK" w:eastAsia="方正楷体_GBK"/>
          <w:sz w:val="28"/>
          <w:szCs w:val="28"/>
        </w:rPr>
        <w:t>亿元</w:t>
      </w:r>
      <w:r>
        <w:rPr>
          <w:rFonts w:hint="eastAsia" w:ascii="方正楷体_GBK" w:eastAsia="方正楷体_GBK"/>
          <w:sz w:val="28"/>
          <w:szCs w:val="28"/>
        </w:rPr>
        <w:t>，</w:t>
      </w:r>
      <w:r>
        <w:rPr>
          <w:rFonts w:ascii="方正楷体_GBK" w:eastAsia="方正楷体_GBK"/>
          <w:sz w:val="28"/>
          <w:szCs w:val="28"/>
        </w:rPr>
        <w:t>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11.6</w:t>
      </w:r>
      <w:r>
        <w:rPr>
          <w:rFonts w:hint="eastAsia" w:ascii="方正楷体_GBK" w:eastAsia="方正楷体_GBK"/>
          <w:sz w:val="28"/>
          <w:szCs w:val="28"/>
        </w:rPr>
        <w:t>%；</w:t>
      </w:r>
      <w:r>
        <w:rPr>
          <w:rFonts w:ascii="方正楷体_GBK" w:eastAsia="方正楷体_GBK"/>
          <w:sz w:val="28"/>
          <w:szCs w:val="28"/>
        </w:rPr>
        <w:t>规模以上农产品加工业完成产值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16.16</w:t>
      </w:r>
      <w:r>
        <w:rPr>
          <w:rFonts w:ascii="方正楷体_GBK" w:eastAsia="方正楷体_GBK"/>
          <w:sz w:val="28"/>
          <w:szCs w:val="28"/>
        </w:rPr>
        <w:t>亿元</w:t>
      </w:r>
      <w:r>
        <w:rPr>
          <w:rFonts w:hint="eastAsia" w:ascii="方正楷体_GBK" w:eastAsia="方正楷体_GBK"/>
          <w:sz w:val="28"/>
          <w:szCs w:val="28"/>
        </w:rPr>
        <w:t>，</w:t>
      </w:r>
      <w:r>
        <w:rPr>
          <w:rFonts w:ascii="方正楷体_GBK" w:eastAsia="方正楷体_GBK"/>
          <w:sz w:val="28"/>
          <w:szCs w:val="28"/>
        </w:rPr>
        <w:t>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18.5</w:t>
      </w:r>
      <w:r>
        <w:rPr>
          <w:rFonts w:hint="eastAsia" w:ascii="方正楷体_GBK" w:eastAsia="方正楷体_GBK"/>
          <w:sz w:val="28"/>
          <w:szCs w:val="28"/>
        </w:rPr>
        <w:t>%</w:t>
      </w:r>
      <w:r>
        <w:rPr>
          <w:rFonts w:hint="eastAsia" w:ascii="方正楷体_GBK" w:eastAsia="方正楷体_GBK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二、固定资产投资</w:t>
      </w:r>
    </w:p>
    <w:p>
      <w:pPr>
        <w:ind w:firstLine="560" w:firstLineChars="200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  <w:lang w:val="en-US" w:eastAsia="zh-CN"/>
        </w:rPr>
        <w:t>上半年</w:t>
      </w:r>
      <w:r>
        <w:rPr>
          <w:rFonts w:hint="eastAsia" w:ascii="方正楷体_GBK" w:eastAsia="方正楷体_GBK"/>
          <w:sz w:val="28"/>
          <w:szCs w:val="28"/>
        </w:rPr>
        <w:t>，全区固定资产投资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额同比</w:t>
      </w:r>
      <w:r>
        <w:rPr>
          <w:rFonts w:hint="eastAsia" w:ascii="方正楷体_GBK" w:eastAsia="方正楷体_GBK"/>
          <w:sz w:val="28"/>
          <w:szCs w:val="28"/>
        </w:rPr>
        <w:t>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7.1</w:t>
      </w:r>
      <w:r>
        <w:rPr>
          <w:rFonts w:hint="eastAsia" w:ascii="方正楷体_GBK" w:eastAsia="方正楷体_GBK"/>
          <w:sz w:val="28"/>
          <w:szCs w:val="28"/>
        </w:rPr>
        <w:t>%。其中，基础设施建设投资同比增长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16.0</w:t>
      </w:r>
      <w:r>
        <w:rPr>
          <w:rFonts w:hint="eastAsia" w:ascii="方正楷体_GBK" w:eastAsia="方正楷体_GBK"/>
          <w:sz w:val="28"/>
          <w:szCs w:val="28"/>
        </w:rPr>
        <w:t>%；民间投资同比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下降19.5</w:t>
      </w:r>
      <w:r>
        <w:rPr>
          <w:rFonts w:hint="eastAsia" w:ascii="方正楷体_GBK" w:eastAsia="方正楷体_GBK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从投资类别看，建设与改造投资同比增长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25.6</w:t>
      </w:r>
      <w:r>
        <w:rPr>
          <w:rFonts w:hint="eastAsia" w:ascii="方正楷体_GBK" w:eastAsia="方正楷体_GBK"/>
          <w:sz w:val="28"/>
          <w:szCs w:val="28"/>
        </w:rPr>
        <w:t>%；房地产开发投资同比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下降32.4</w:t>
      </w:r>
      <w:r>
        <w:rPr>
          <w:rFonts w:hint="eastAsia" w:ascii="方正楷体_GBK" w:eastAsia="方正楷体_GBK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/>
          <w:sz w:val="28"/>
          <w:szCs w:val="28"/>
        </w:rPr>
        <w:t>从三大产业看</w:t>
      </w:r>
      <w:r>
        <w:rPr>
          <w:rFonts w:hint="eastAsia" w:ascii="方正楷体_GBK" w:eastAsia="方正楷体_GBK"/>
          <w:sz w:val="28"/>
          <w:szCs w:val="28"/>
        </w:rPr>
        <w:t>，</w:t>
      </w:r>
      <w:r>
        <w:rPr>
          <w:rFonts w:ascii="方正楷体_GBK" w:eastAsia="方正楷体_GBK"/>
          <w:sz w:val="28"/>
          <w:szCs w:val="28"/>
        </w:rPr>
        <w:t>第一产业投资同比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增长3.3</w:t>
      </w:r>
      <w:r>
        <w:rPr>
          <w:rFonts w:hint="eastAsia" w:ascii="方正楷体_GBK" w:eastAsia="方正楷体_GBK"/>
          <w:sz w:val="28"/>
          <w:szCs w:val="28"/>
        </w:rPr>
        <w:t>%；</w:t>
      </w:r>
      <w:r>
        <w:rPr>
          <w:rFonts w:ascii="方正楷体_GBK" w:eastAsia="方正楷体_GBK"/>
          <w:sz w:val="28"/>
          <w:szCs w:val="28"/>
        </w:rPr>
        <w:t>第二产业投资同比增长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12.9%</w:t>
      </w:r>
      <w:r>
        <w:rPr>
          <w:rFonts w:hint="eastAsia" w:ascii="方正楷体_GBK" w:eastAsia="方正楷体_GBK"/>
          <w:sz w:val="28"/>
          <w:szCs w:val="28"/>
        </w:rPr>
        <w:t>；</w:t>
      </w:r>
      <w:r>
        <w:rPr>
          <w:rFonts w:ascii="方正楷体_GBK" w:eastAsia="方正楷体_GBK"/>
          <w:sz w:val="28"/>
          <w:szCs w:val="28"/>
        </w:rPr>
        <w:t>第三产业投资同比增长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5.0</w:t>
      </w:r>
      <w:r>
        <w:rPr>
          <w:rFonts w:hint="eastAsia" w:ascii="方正楷体_GBK" w:eastAsia="方正楷体_GBK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三、消费品市场</w:t>
      </w:r>
    </w:p>
    <w:p>
      <w:pPr>
        <w:ind w:firstLine="560" w:firstLineChars="200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  <w:lang w:val="en-US" w:eastAsia="zh-CN"/>
        </w:rPr>
        <w:t>上半年</w:t>
      </w:r>
      <w:r>
        <w:rPr>
          <w:rFonts w:hint="eastAsia" w:ascii="方正楷体_GBK" w:eastAsia="方正楷体_GBK"/>
          <w:sz w:val="28"/>
          <w:szCs w:val="28"/>
        </w:rPr>
        <w:t>，全区实现社会消费品零售总额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201.05</w:t>
      </w:r>
      <w:r>
        <w:rPr>
          <w:rFonts w:hint="eastAsia" w:ascii="方正楷体_GBK" w:eastAsia="方正楷体_GBK"/>
          <w:sz w:val="28"/>
          <w:szCs w:val="28"/>
        </w:rPr>
        <w:t>亿元，同比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下降3.7</w:t>
      </w:r>
      <w:r>
        <w:rPr>
          <w:rFonts w:hint="eastAsia" w:ascii="方正楷体_GBK" w:eastAsia="方正楷体_GBK"/>
          <w:sz w:val="28"/>
          <w:szCs w:val="28"/>
        </w:rPr>
        <w:t>%。其中，限上单位社会消费品零售额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55.76</w:t>
      </w:r>
      <w:r>
        <w:rPr>
          <w:rFonts w:hint="eastAsia" w:ascii="方正楷体_GBK" w:eastAsia="方正楷体_GBK"/>
          <w:sz w:val="28"/>
          <w:szCs w:val="28"/>
        </w:rPr>
        <w:t>亿元，同比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下降3.7</w:t>
      </w:r>
      <w:r>
        <w:rPr>
          <w:rFonts w:hint="eastAsia" w:ascii="方正楷体_GBK" w:eastAsia="方正楷体_GBK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从贸易销售情况看，全区批发业商品销售额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727.89</w:t>
      </w:r>
      <w:r>
        <w:rPr>
          <w:rFonts w:hint="eastAsia" w:ascii="方正楷体_GBK" w:eastAsia="方正楷体_GBK"/>
          <w:sz w:val="28"/>
          <w:szCs w:val="28"/>
        </w:rPr>
        <w:t>亿元，同比增长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12.7</w:t>
      </w:r>
      <w:r>
        <w:rPr>
          <w:rFonts w:hint="eastAsia" w:ascii="方正楷体_GBK" w:eastAsia="方正楷体_GBK"/>
          <w:sz w:val="28"/>
          <w:szCs w:val="28"/>
        </w:rPr>
        <w:t>%；零售业商品销售额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95.57</w:t>
      </w:r>
      <w:r>
        <w:rPr>
          <w:rFonts w:hint="eastAsia" w:ascii="方正楷体_GBK" w:eastAsia="方正楷体_GBK"/>
          <w:sz w:val="28"/>
          <w:szCs w:val="28"/>
        </w:rPr>
        <w:t>亿元，同比增长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6.1</w:t>
      </w:r>
      <w:r>
        <w:rPr>
          <w:rFonts w:hint="eastAsia" w:ascii="方正楷体_GBK" w:eastAsia="方正楷体_GBK"/>
          <w:sz w:val="28"/>
          <w:szCs w:val="28"/>
        </w:rPr>
        <w:t>%；住宿业营业额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5.76</w:t>
      </w:r>
      <w:r>
        <w:rPr>
          <w:rFonts w:hint="eastAsia" w:ascii="方正楷体_GBK" w:eastAsia="方正楷体_GBK"/>
          <w:sz w:val="28"/>
          <w:szCs w:val="28"/>
        </w:rPr>
        <w:t>亿元，同比增长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2.8</w:t>
      </w:r>
      <w:r>
        <w:rPr>
          <w:rFonts w:hint="eastAsia" w:ascii="方正楷体_GBK" w:eastAsia="方正楷体_GBK"/>
          <w:sz w:val="28"/>
          <w:szCs w:val="28"/>
        </w:rPr>
        <w:t>%；餐饮业营业额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21.12</w:t>
      </w:r>
      <w:r>
        <w:rPr>
          <w:rFonts w:hint="eastAsia" w:ascii="方正楷体_GBK" w:eastAsia="方正楷体_GBK"/>
          <w:sz w:val="28"/>
          <w:szCs w:val="28"/>
        </w:rPr>
        <w:t>亿元，同比增长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2.6</w:t>
      </w:r>
      <w:r>
        <w:rPr>
          <w:rFonts w:hint="eastAsia" w:ascii="方正楷体_GBK" w:eastAsia="方正楷体_GBK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四、财政</w:t>
      </w:r>
    </w:p>
    <w:p>
      <w:pPr>
        <w:ind w:firstLine="560" w:firstLineChars="200"/>
        <w:rPr>
          <w:rFonts w:ascii="方正楷体_GBK" w:eastAsia="方正楷体_GBK"/>
          <w:color w:val="000000" w:themeColor="text1"/>
          <w:sz w:val="28"/>
          <w:szCs w:val="28"/>
        </w:rPr>
      </w:pP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上半年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，全区一般公共预算收入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30.98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下降8.4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%。其中，税收收入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18.39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下降14.2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%；</w:t>
      </w:r>
      <w:r>
        <w:rPr>
          <w:rFonts w:hint="eastAsia" w:ascii="方正楷体_GBK" w:eastAsia="方正楷体_GBK"/>
          <w:color w:val="auto"/>
          <w:sz w:val="28"/>
          <w:szCs w:val="28"/>
        </w:rPr>
        <w:t>非税收入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12.59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1.8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000000" w:themeColor="text1"/>
          <w:sz w:val="28"/>
          <w:szCs w:val="28"/>
        </w:rPr>
      </w:pP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上半年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，全区一般公共预算支出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67.00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增长4.2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%。其中，一般公共服务支出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6.26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下降1.6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%；教育支出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13.64</w:t>
      </w:r>
      <w:r>
        <w:rPr>
          <w:rFonts w:ascii="方正楷体_GBK" w:eastAsia="方正楷体_GBK"/>
          <w:color w:val="000000" w:themeColor="text1"/>
          <w:sz w:val="28"/>
          <w:szCs w:val="28"/>
        </w:rPr>
        <w:t>亿元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，</w:t>
      </w:r>
      <w:r>
        <w:rPr>
          <w:rFonts w:ascii="方正楷体_GBK" w:eastAsia="方正楷体_GBK"/>
          <w:color w:val="000000" w:themeColor="text1"/>
          <w:sz w:val="28"/>
          <w:szCs w:val="28"/>
        </w:rPr>
        <w:t>同比增长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6.5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%；社保和就业支出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11.78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下降3.3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%；卫生和健康支出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5.93</w:t>
      </w:r>
      <w:r>
        <w:rPr>
          <w:rFonts w:ascii="方正楷体_GBK" w:eastAsia="方正楷体_GBK"/>
          <w:color w:val="000000" w:themeColor="text1"/>
          <w:sz w:val="28"/>
          <w:szCs w:val="28"/>
        </w:rPr>
        <w:t>亿元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，</w:t>
      </w:r>
      <w:r>
        <w:rPr>
          <w:rFonts w:ascii="方正楷体_GBK" w:eastAsia="方正楷体_GBK"/>
          <w:color w:val="000000" w:themeColor="text1"/>
          <w:sz w:val="28"/>
          <w:szCs w:val="28"/>
        </w:rPr>
        <w:t>同比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下降15.6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五、金融</w:t>
      </w:r>
    </w:p>
    <w:p>
      <w:pPr>
        <w:ind w:firstLine="560" w:firstLineChars="200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方正楷体_GBK" w:eastAsia="方正楷体_GBK"/>
          <w:sz w:val="28"/>
          <w:szCs w:val="28"/>
          <w:lang w:val="en-US" w:eastAsia="zh-CN"/>
        </w:rPr>
        <w:t>月末</w:t>
      </w:r>
      <w:r>
        <w:rPr>
          <w:rFonts w:hint="eastAsia" w:ascii="方正楷体_GBK" w:eastAsia="方正楷体_GBK"/>
          <w:sz w:val="28"/>
          <w:szCs w:val="28"/>
        </w:rPr>
        <w:t>，全区金融机构本外币存款余额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1667.83</w:t>
      </w:r>
      <w:r>
        <w:rPr>
          <w:rFonts w:hint="eastAsia" w:ascii="方正楷体_GBK" w:eastAsia="方正楷体_GBK"/>
          <w:sz w:val="28"/>
          <w:szCs w:val="28"/>
        </w:rPr>
        <w:t>亿元，同比增长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13.0</w:t>
      </w:r>
      <w:r>
        <w:rPr>
          <w:rFonts w:hint="eastAsia" w:ascii="方正楷体_GBK" w:eastAsia="方正楷体_GBK"/>
          <w:sz w:val="28"/>
          <w:szCs w:val="28"/>
        </w:rPr>
        <w:t>%，其中，人民币存款余额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1666.42</w:t>
      </w:r>
      <w:r>
        <w:rPr>
          <w:rFonts w:ascii="方正楷体_GBK" w:eastAsia="方正楷体_GBK"/>
          <w:sz w:val="28"/>
          <w:szCs w:val="28"/>
        </w:rPr>
        <w:t>亿元</w:t>
      </w:r>
      <w:r>
        <w:rPr>
          <w:rFonts w:hint="eastAsia" w:ascii="方正楷体_GBK" w:eastAsia="方正楷体_GBK"/>
          <w:sz w:val="28"/>
          <w:szCs w:val="28"/>
        </w:rPr>
        <w:t>，</w:t>
      </w:r>
      <w:r>
        <w:rPr>
          <w:rFonts w:ascii="方正楷体_GBK" w:eastAsia="方正楷体_GBK"/>
          <w:sz w:val="28"/>
          <w:szCs w:val="28"/>
        </w:rPr>
        <w:t>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13.0</w:t>
      </w:r>
      <w:r>
        <w:rPr>
          <w:rFonts w:hint="eastAsia" w:ascii="方正楷体_GBK" w:eastAsia="方正楷体_GBK"/>
          <w:sz w:val="28"/>
          <w:szCs w:val="28"/>
        </w:rPr>
        <w:t>%。本外币贷款余额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995.26</w:t>
      </w:r>
      <w:r>
        <w:rPr>
          <w:rFonts w:hint="eastAsia" w:ascii="方正楷体_GBK" w:eastAsia="方正楷体_GBK"/>
          <w:sz w:val="28"/>
          <w:szCs w:val="28"/>
        </w:rPr>
        <w:t>亿元，同比增长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10.1</w:t>
      </w:r>
      <w:r>
        <w:rPr>
          <w:rFonts w:hint="eastAsia" w:ascii="方正楷体_GBK" w:eastAsia="方正楷体_GBK"/>
          <w:sz w:val="28"/>
          <w:szCs w:val="28"/>
        </w:rPr>
        <w:t>%，其中，人民币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贷款</w:t>
      </w:r>
      <w:r>
        <w:rPr>
          <w:rFonts w:hint="eastAsia" w:ascii="方正楷体_GBK" w:eastAsia="方正楷体_GBK"/>
          <w:sz w:val="28"/>
          <w:szCs w:val="28"/>
        </w:rPr>
        <w:t>余额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995.04</w:t>
      </w:r>
      <w:r>
        <w:rPr>
          <w:rFonts w:ascii="方正楷体_GBK" w:eastAsia="方正楷体_GBK"/>
          <w:sz w:val="28"/>
          <w:szCs w:val="28"/>
        </w:rPr>
        <w:t>亿元</w:t>
      </w:r>
      <w:r>
        <w:rPr>
          <w:rFonts w:hint="eastAsia" w:ascii="方正楷体_GBK" w:eastAsia="方正楷体_GBK"/>
          <w:sz w:val="28"/>
          <w:szCs w:val="28"/>
        </w:rPr>
        <w:t>，</w:t>
      </w:r>
      <w:r>
        <w:rPr>
          <w:rFonts w:ascii="方正楷体_GBK" w:eastAsia="方正楷体_GBK"/>
          <w:sz w:val="28"/>
          <w:szCs w:val="28"/>
        </w:rPr>
        <w:t>同比增长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10.1</w:t>
      </w:r>
      <w:r>
        <w:rPr>
          <w:rFonts w:hint="eastAsia" w:ascii="方正楷体_GBK" w:eastAsia="方正楷体_GBK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六、房地产</w:t>
      </w:r>
    </w:p>
    <w:p>
      <w:pPr>
        <w:ind w:firstLine="560" w:firstLineChars="200"/>
        <w:rPr>
          <w:rFonts w:ascii="方正楷体_GBK" w:hAnsi="华文楷体" w:eastAsia="方正楷体_GBK"/>
          <w:sz w:val="28"/>
          <w:szCs w:val="28"/>
        </w:rPr>
      </w:pPr>
      <w:r>
        <w:rPr>
          <w:rFonts w:hint="eastAsia" w:ascii="方正楷体_GBK" w:hAnsi="华文楷体" w:eastAsia="方正楷体_GBK"/>
          <w:sz w:val="28"/>
          <w:szCs w:val="28"/>
          <w:lang w:val="en-US" w:eastAsia="zh-CN"/>
        </w:rPr>
        <w:t>上半年</w:t>
      </w:r>
      <w:r>
        <w:rPr>
          <w:rFonts w:hint="eastAsia" w:ascii="方正楷体_GBK" w:hAnsi="华文楷体" w:eastAsia="方正楷体_GBK"/>
          <w:sz w:val="28"/>
          <w:szCs w:val="28"/>
        </w:rPr>
        <w:t>，全区商品房施工面积</w:t>
      </w:r>
      <w:r>
        <w:rPr>
          <w:rFonts w:hint="eastAsia" w:ascii="方正楷体_GBK" w:hAnsi="华文楷体" w:eastAsia="方正楷体_GBK"/>
          <w:sz w:val="28"/>
          <w:szCs w:val="28"/>
          <w:lang w:val="en-US" w:eastAsia="zh-CN"/>
        </w:rPr>
        <w:t>574.47</w:t>
      </w:r>
      <w:r>
        <w:rPr>
          <w:rFonts w:hint="eastAsia" w:ascii="方正楷体_GBK" w:hAnsi="华文楷体" w:eastAsia="方正楷体_GBK"/>
          <w:sz w:val="28"/>
          <w:szCs w:val="28"/>
        </w:rPr>
        <w:t>万平方米，同比下降</w:t>
      </w:r>
      <w:r>
        <w:rPr>
          <w:rFonts w:hint="eastAsia" w:ascii="方正楷体_GBK" w:hAnsi="华文楷体" w:eastAsia="方正楷体_GBK"/>
          <w:sz w:val="28"/>
          <w:szCs w:val="28"/>
          <w:lang w:val="en-US" w:eastAsia="zh-CN"/>
        </w:rPr>
        <w:t>21.2</w:t>
      </w:r>
      <w:r>
        <w:rPr>
          <w:rFonts w:hint="eastAsia" w:ascii="方正楷体_GBK" w:hAnsi="华文楷体" w:eastAsia="方正楷体_GBK"/>
          <w:sz w:val="28"/>
          <w:szCs w:val="28"/>
        </w:rPr>
        <w:t>%；商品房新开工面积</w:t>
      </w:r>
      <w:r>
        <w:rPr>
          <w:rFonts w:hint="eastAsia" w:ascii="方正楷体_GBK" w:hAnsi="华文楷体" w:eastAsia="方正楷体_GBK"/>
          <w:sz w:val="28"/>
          <w:szCs w:val="28"/>
          <w:lang w:val="en-US" w:eastAsia="zh-CN"/>
        </w:rPr>
        <w:t>42.83</w:t>
      </w:r>
      <w:r>
        <w:rPr>
          <w:rFonts w:ascii="方正楷体_GBK" w:hAnsi="华文楷体" w:eastAsia="方正楷体_GBK"/>
          <w:sz w:val="28"/>
          <w:szCs w:val="28"/>
        </w:rPr>
        <w:t>万平方米</w:t>
      </w:r>
      <w:r>
        <w:rPr>
          <w:rFonts w:hint="eastAsia" w:ascii="方正楷体_GBK" w:hAnsi="华文楷体" w:eastAsia="方正楷体_GBK"/>
          <w:sz w:val="28"/>
          <w:szCs w:val="28"/>
        </w:rPr>
        <w:t>，</w:t>
      </w:r>
      <w:r>
        <w:rPr>
          <w:rFonts w:ascii="方正楷体_GBK" w:hAnsi="华文楷体" w:eastAsia="方正楷体_GBK"/>
          <w:sz w:val="28"/>
          <w:szCs w:val="28"/>
        </w:rPr>
        <w:t>同比</w:t>
      </w:r>
      <w:r>
        <w:rPr>
          <w:rFonts w:hint="eastAsia" w:ascii="方正楷体_GBK" w:hAnsi="华文楷体" w:eastAsia="方正楷体_GBK"/>
          <w:sz w:val="28"/>
          <w:szCs w:val="28"/>
          <w:lang w:val="en-US" w:eastAsia="zh-CN"/>
        </w:rPr>
        <w:t>下降15.8%</w:t>
      </w:r>
      <w:r>
        <w:rPr>
          <w:rFonts w:hint="eastAsia" w:ascii="方正楷体_GBK" w:hAnsi="华文楷体" w:eastAsia="方正楷体_GBK"/>
          <w:sz w:val="28"/>
          <w:szCs w:val="28"/>
        </w:rPr>
        <w:t>；商品房销售面积</w:t>
      </w:r>
      <w:r>
        <w:rPr>
          <w:rFonts w:hint="eastAsia" w:ascii="方正楷体_GBK" w:hAnsi="华文楷体" w:eastAsia="方正楷体_GBK"/>
          <w:sz w:val="28"/>
          <w:szCs w:val="28"/>
          <w:lang w:val="en-US" w:eastAsia="zh-CN"/>
        </w:rPr>
        <w:t>52.62</w:t>
      </w:r>
      <w:r>
        <w:rPr>
          <w:rFonts w:hint="eastAsia" w:ascii="方正楷体_GBK" w:hAnsi="华文楷体" w:eastAsia="方正楷体_GBK"/>
          <w:sz w:val="28"/>
          <w:szCs w:val="28"/>
        </w:rPr>
        <w:t>万平方米，同比</w:t>
      </w:r>
      <w:r>
        <w:rPr>
          <w:rFonts w:hint="eastAsia" w:ascii="方正楷体_GBK" w:hAnsi="华文楷体" w:eastAsia="方正楷体_GBK"/>
          <w:sz w:val="28"/>
          <w:szCs w:val="28"/>
          <w:lang w:val="en-US" w:eastAsia="zh-CN"/>
        </w:rPr>
        <w:t>下降37.6</w:t>
      </w:r>
      <w:r>
        <w:rPr>
          <w:rFonts w:hint="eastAsia" w:ascii="方正楷体_GBK" w:hAnsi="华文楷体" w:eastAsia="方正楷体_GBK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七、居民</w:t>
      </w:r>
      <w:r>
        <w:rPr>
          <w:rFonts w:ascii="方正黑体_GBK" w:eastAsia="方正黑体_GBK"/>
          <w:sz w:val="28"/>
          <w:szCs w:val="28"/>
        </w:rPr>
        <w:t>收入、</w:t>
      </w:r>
      <w:r>
        <w:rPr>
          <w:rFonts w:hint="eastAsia" w:ascii="方正黑体_GBK" w:eastAsia="方正黑体_GBK"/>
          <w:sz w:val="28"/>
          <w:szCs w:val="28"/>
        </w:rPr>
        <w:t>就业、物价</w:t>
      </w:r>
    </w:p>
    <w:p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  <w:lang w:eastAsia="zh-CN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上半年</w:t>
      </w:r>
      <w:r>
        <w:rPr>
          <w:rFonts w:ascii="方正楷体_GBK" w:eastAsia="方正楷体_GBK"/>
          <w:color w:val="auto"/>
          <w:sz w:val="28"/>
          <w:szCs w:val="28"/>
        </w:rPr>
        <w:t>，全区全体居民人均可支配收入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22953</w:t>
      </w:r>
      <w:r>
        <w:rPr>
          <w:rFonts w:hint="eastAsia" w:ascii="方正楷体_GBK" w:eastAsia="方正楷体_GBK"/>
          <w:color w:val="auto"/>
          <w:sz w:val="28"/>
          <w:szCs w:val="28"/>
        </w:rPr>
        <w:t>元</w:t>
      </w:r>
      <w:r>
        <w:rPr>
          <w:rFonts w:ascii="方正楷体_GBK" w:eastAsia="方正楷体_GBK"/>
          <w:color w:val="auto"/>
          <w:sz w:val="28"/>
          <w:szCs w:val="28"/>
        </w:rPr>
        <w:t>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8.4</w:t>
      </w:r>
      <w:r>
        <w:rPr>
          <w:rFonts w:ascii="方正楷体_GBK" w:eastAsia="方正楷体_GBK"/>
          <w:color w:val="auto"/>
          <w:sz w:val="28"/>
          <w:szCs w:val="28"/>
        </w:rPr>
        <w:t>%。其中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城镇居民人均可支配收入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27670</w:t>
      </w:r>
      <w:r>
        <w:rPr>
          <w:rFonts w:hint="eastAsia" w:ascii="方正楷体_GBK" w:eastAsia="方正楷体_GBK"/>
          <w:color w:val="auto"/>
          <w:sz w:val="28"/>
          <w:szCs w:val="28"/>
        </w:rPr>
        <w:t>元</w:t>
      </w:r>
      <w:r>
        <w:rPr>
          <w:rFonts w:ascii="方正楷体_GBK" w:eastAsia="方正楷体_GBK"/>
          <w:color w:val="auto"/>
          <w:sz w:val="28"/>
          <w:szCs w:val="28"/>
        </w:rPr>
        <w:t>，同比</w:t>
      </w:r>
      <w:r>
        <w:rPr>
          <w:rFonts w:hint="eastAsia"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6.4</w:t>
      </w:r>
      <w:r>
        <w:rPr>
          <w:rFonts w:ascii="方正楷体_GBK" w:eastAsia="方正楷体_GBK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农村居民人均可支配收入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12133</w:t>
      </w:r>
      <w:r>
        <w:rPr>
          <w:rFonts w:hint="eastAsia" w:ascii="方正楷体_GBK" w:eastAsia="方正楷体_GBK"/>
          <w:color w:val="auto"/>
          <w:sz w:val="28"/>
          <w:szCs w:val="28"/>
        </w:rPr>
        <w:t>元</w:t>
      </w:r>
      <w:r>
        <w:rPr>
          <w:rFonts w:ascii="方正楷体_GBK" w:eastAsia="方正楷体_GBK"/>
          <w:color w:val="auto"/>
          <w:sz w:val="28"/>
          <w:szCs w:val="28"/>
        </w:rPr>
        <w:t>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8.7</w:t>
      </w:r>
      <w:r>
        <w:rPr>
          <w:rFonts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000000" w:themeColor="text1"/>
          <w:sz w:val="28"/>
          <w:szCs w:val="28"/>
        </w:rPr>
      </w:pP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上半年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，全区居民消费价格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同比上升1.5%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。分类别看，八大类商品和服务价格呈现“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五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涨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三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降”态势。其中，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食品烟酒、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衣着、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居住、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交通和通信、医疗保健分别同比上涨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2.1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%、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0.5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%、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0.5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%、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6.2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%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和1.0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%；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生活用品及服务、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教育文化和娱乐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eastAsia="zh-CN"/>
        </w:rPr>
        <w:t>、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其他用品服务分别同比下降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0.7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%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eastAsia="zh-CN"/>
        </w:rPr>
        <w:t>、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0.9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%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和0.3%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。</w:t>
      </w:r>
    </w:p>
    <w:p>
      <w:pPr>
        <w:ind w:firstLine="560" w:firstLineChars="200"/>
        <w:rPr>
          <w:rFonts w:ascii="方正楷体_GBK" w:eastAsia="方正楷体_GBK"/>
          <w:color w:val="000000" w:themeColor="text1"/>
          <w:sz w:val="28"/>
          <w:szCs w:val="28"/>
        </w:rPr>
      </w:pP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上半年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，城镇新增就业人员</w:t>
      </w:r>
      <w:r>
        <w:rPr>
          <w:rFonts w:hint="eastAsia" w:ascii="方正楷体_GBK" w:eastAsia="方正楷体_GBK"/>
          <w:color w:val="000000" w:themeColor="text1"/>
          <w:sz w:val="28"/>
          <w:szCs w:val="28"/>
          <w:lang w:val="en-US" w:eastAsia="zh-CN"/>
        </w:rPr>
        <w:t>1.41</w:t>
      </w:r>
      <w:r>
        <w:rPr>
          <w:rFonts w:ascii="方正楷体_GBK" w:eastAsia="方正楷体_GBK"/>
          <w:color w:val="000000" w:themeColor="text1"/>
          <w:sz w:val="28"/>
          <w:szCs w:val="28"/>
        </w:rPr>
        <w:t>万</w:t>
      </w:r>
      <w:r>
        <w:rPr>
          <w:rFonts w:hint="eastAsia" w:ascii="方正楷体_GBK" w:eastAsia="方正楷体_GBK"/>
          <w:color w:val="000000" w:themeColor="text1"/>
          <w:sz w:val="28"/>
          <w:szCs w:val="28"/>
        </w:rPr>
        <w:t>人。</w:t>
      </w:r>
    </w:p>
    <w:p>
      <w:pPr>
        <w:ind w:left="560"/>
        <w:rPr>
          <w:rFonts w:ascii="方正黑体_GBK" w:eastAsia="方正黑体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g2OWU4MGEyMGQxYThmNzJkNjZiM2Y1YWRiNTE0NjgifQ=="/>
  </w:docVars>
  <w:rsids>
    <w:rsidRoot w:val="003A49ED"/>
    <w:rsid w:val="000075B9"/>
    <w:rsid w:val="000114ED"/>
    <w:rsid w:val="00032AA1"/>
    <w:rsid w:val="00033F4E"/>
    <w:rsid w:val="00076C17"/>
    <w:rsid w:val="000840D8"/>
    <w:rsid w:val="000D63EF"/>
    <w:rsid w:val="001101D3"/>
    <w:rsid w:val="00121916"/>
    <w:rsid w:val="001300DD"/>
    <w:rsid w:val="00135460"/>
    <w:rsid w:val="001D1B4A"/>
    <w:rsid w:val="001E445F"/>
    <w:rsid w:val="001F28C6"/>
    <w:rsid w:val="00205A3F"/>
    <w:rsid w:val="00234AC9"/>
    <w:rsid w:val="0034053D"/>
    <w:rsid w:val="00345463"/>
    <w:rsid w:val="003819A6"/>
    <w:rsid w:val="003A49ED"/>
    <w:rsid w:val="003D5FA6"/>
    <w:rsid w:val="003E66C6"/>
    <w:rsid w:val="003F1AAA"/>
    <w:rsid w:val="004050B2"/>
    <w:rsid w:val="0040556B"/>
    <w:rsid w:val="00411C2E"/>
    <w:rsid w:val="00414E1E"/>
    <w:rsid w:val="004319BD"/>
    <w:rsid w:val="00450E7D"/>
    <w:rsid w:val="00465D8A"/>
    <w:rsid w:val="004759FD"/>
    <w:rsid w:val="00492F95"/>
    <w:rsid w:val="004B67F4"/>
    <w:rsid w:val="004E5D79"/>
    <w:rsid w:val="00583452"/>
    <w:rsid w:val="006A11A8"/>
    <w:rsid w:val="006F26C2"/>
    <w:rsid w:val="007013F2"/>
    <w:rsid w:val="00782FE0"/>
    <w:rsid w:val="00791A06"/>
    <w:rsid w:val="007D1E32"/>
    <w:rsid w:val="00811A07"/>
    <w:rsid w:val="008215EE"/>
    <w:rsid w:val="0084038D"/>
    <w:rsid w:val="008905E3"/>
    <w:rsid w:val="00894DB1"/>
    <w:rsid w:val="00903E78"/>
    <w:rsid w:val="00920011"/>
    <w:rsid w:val="00945759"/>
    <w:rsid w:val="00961AB8"/>
    <w:rsid w:val="00972224"/>
    <w:rsid w:val="009B13E8"/>
    <w:rsid w:val="009B17F8"/>
    <w:rsid w:val="009D4FFE"/>
    <w:rsid w:val="009E2A59"/>
    <w:rsid w:val="009F42A7"/>
    <w:rsid w:val="00A02F8A"/>
    <w:rsid w:val="00A46C88"/>
    <w:rsid w:val="00A65B72"/>
    <w:rsid w:val="00A66669"/>
    <w:rsid w:val="00A77BD1"/>
    <w:rsid w:val="00B04F24"/>
    <w:rsid w:val="00B50142"/>
    <w:rsid w:val="00B91825"/>
    <w:rsid w:val="00B95F89"/>
    <w:rsid w:val="00BE279A"/>
    <w:rsid w:val="00C24CDB"/>
    <w:rsid w:val="00C332B7"/>
    <w:rsid w:val="00C6476B"/>
    <w:rsid w:val="00C802F4"/>
    <w:rsid w:val="00CC7D02"/>
    <w:rsid w:val="00CD6B93"/>
    <w:rsid w:val="00D04376"/>
    <w:rsid w:val="00D54871"/>
    <w:rsid w:val="00D6462D"/>
    <w:rsid w:val="00E03FCE"/>
    <w:rsid w:val="00E72F29"/>
    <w:rsid w:val="00E80723"/>
    <w:rsid w:val="00E8317B"/>
    <w:rsid w:val="00F33B24"/>
    <w:rsid w:val="00F91D64"/>
    <w:rsid w:val="0307726F"/>
    <w:rsid w:val="044B2601"/>
    <w:rsid w:val="067A6526"/>
    <w:rsid w:val="071C2880"/>
    <w:rsid w:val="08C75638"/>
    <w:rsid w:val="09301ACC"/>
    <w:rsid w:val="09353D53"/>
    <w:rsid w:val="09D034F0"/>
    <w:rsid w:val="0A410C52"/>
    <w:rsid w:val="0B8E40E1"/>
    <w:rsid w:val="0D697F57"/>
    <w:rsid w:val="0D9A2D56"/>
    <w:rsid w:val="0E29234F"/>
    <w:rsid w:val="0F316DE4"/>
    <w:rsid w:val="0FB52FBB"/>
    <w:rsid w:val="137B4746"/>
    <w:rsid w:val="14EF4CCC"/>
    <w:rsid w:val="15724AF5"/>
    <w:rsid w:val="16370B22"/>
    <w:rsid w:val="17FF4B9C"/>
    <w:rsid w:val="197C2BD7"/>
    <w:rsid w:val="19A54301"/>
    <w:rsid w:val="1AAE373A"/>
    <w:rsid w:val="1B284CB6"/>
    <w:rsid w:val="1B3C5CE9"/>
    <w:rsid w:val="1D5F7333"/>
    <w:rsid w:val="209A0F91"/>
    <w:rsid w:val="21382E2F"/>
    <w:rsid w:val="21D9102B"/>
    <w:rsid w:val="24D64315"/>
    <w:rsid w:val="253D0352"/>
    <w:rsid w:val="25EF165A"/>
    <w:rsid w:val="277744A1"/>
    <w:rsid w:val="28171FB8"/>
    <w:rsid w:val="28FB2E5F"/>
    <w:rsid w:val="2A723495"/>
    <w:rsid w:val="2A8D15A2"/>
    <w:rsid w:val="2AC860B7"/>
    <w:rsid w:val="2C3E5AF5"/>
    <w:rsid w:val="2E365ADC"/>
    <w:rsid w:val="31C6387C"/>
    <w:rsid w:val="32063E5B"/>
    <w:rsid w:val="331A6C9D"/>
    <w:rsid w:val="348E62F9"/>
    <w:rsid w:val="34A279D5"/>
    <w:rsid w:val="36FB7261"/>
    <w:rsid w:val="372A7A86"/>
    <w:rsid w:val="38333884"/>
    <w:rsid w:val="3C6810BE"/>
    <w:rsid w:val="3C7C565C"/>
    <w:rsid w:val="3CD2369B"/>
    <w:rsid w:val="3CF40303"/>
    <w:rsid w:val="3DDD3477"/>
    <w:rsid w:val="3EC26C8E"/>
    <w:rsid w:val="40AE48F5"/>
    <w:rsid w:val="40C33A32"/>
    <w:rsid w:val="42A33FF0"/>
    <w:rsid w:val="45F50DCD"/>
    <w:rsid w:val="4A2A1193"/>
    <w:rsid w:val="4B923AF9"/>
    <w:rsid w:val="4D002B0E"/>
    <w:rsid w:val="522E333F"/>
    <w:rsid w:val="52B927DA"/>
    <w:rsid w:val="55FE4F38"/>
    <w:rsid w:val="578E63E5"/>
    <w:rsid w:val="58105555"/>
    <w:rsid w:val="59220B76"/>
    <w:rsid w:val="5A653552"/>
    <w:rsid w:val="5C152586"/>
    <w:rsid w:val="5CF01326"/>
    <w:rsid w:val="5D487B5F"/>
    <w:rsid w:val="5E416969"/>
    <w:rsid w:val="5FEE639A"/>
    <w:rsid w:val="60B80016"/>
    <w:rsid w:val="628A5A2B"/>
    <w:rsid w:val="647A4909"/>
    <w:rsid w:val="65723C8F"/>
    <w:rsid w:val="67563A10"/>
    <w:rsid w:val="692A7D77"/>
    <w:rsid w:val="69357C11"/>
    <w:rsid w:val="69DF7962"/>
    <w:rsid w:val="6B6A72D9"/>
    <w:rsid w:val="70823738"/>
    <w:rsid w:val="70833C27"/>
    <w:rsid w:val="71331307"/>
    <w:rsid w:val="72487C70"/>
    <w:rsid w:val="74E31E90"/>
    <w:rsid w:val="7522447A"/>
    <w:rsid w:val="754D0D40"/>
    <w:rsid w:val="75713CE3"/>
    <w:rsid w:val="765F6255"/>
    <w:rsid w:val="77DD0CA9"/>
    <w:rsid w:val="78922936"/>
    <w:rsid w:val="7AA855BD"/>
    <w:rsid w:val="7B647A31"/>
    <w:rsid w:val="7C5F46C7"/>
    <w:rsid w:val="7D5B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3</Pages>
  <Words>1067</Words>
  <Characters>1401</Characters>
  <Lines>11</Lines>
  <Paragraphs>3</Paragraphs>
  <TotalTime>1</TotalTime>
  <ScaleCrop>false</ScaleCrop>
  <LinksUpToDate>false</LinksUpToDate>
  <CharactersWithSpaces>1401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2018-03-15T07:36:00Z</dcterms:created>
  <dc:creator>Lenovo</dc:creator>
  <cp:lastModifiedBy>2  U</cp:lastModifiedBy>
  <dcterms:modified xsi:type="dcterms:W3CDTF">2022-07-22T09:12:00Z</dcterms:modified>
  <dc:title>1-7月万州经济运行简况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DCD64255B485453488A3F4D9DD784497</vt:lpwstr>
  </property>
</Properties>
</file>