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年重庆市万州区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重庆市万州区统计局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  <w:t xml:space="preserve">  国家统计局万州调查队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  <w:t>2021年3月31日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是“十三五”收官之年，也是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万州发展极不平常的一年，面对突如其来的新冠疫情、复杂严峻的经济形势，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全区上下坚持以习近平新时代中国特色社会主义思想为指导，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深入贯彻党中央系列重大部署和习近平总书记系列重要讲话精神，全面落实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习近平总书记对重庆提出的营造良好政治生态，坚持“两点”定位、“两地”“两高”目标，发挥“三个作用”和推动成渝地区双城经济圈建设等重要指示要求，扎实做好“六稳”“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”工作，统筹推进疫情防控和经济社会发展，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经济运行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逐季恢复，稳定好转。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初步核算，全年实现地区生产总值9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70.68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%。按产业分，第一产业增加值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95.97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%；第二产业增加值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268.00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%；第三产业增加值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606.71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%。三次产业结构比为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。民营经济增加值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540.47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%，占全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经济总量的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8595" cy="33185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年末全区户籍总人口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172.57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万人，其中，城镇人口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73.69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万人；乡村人口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98.88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万人。全年出生人口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11508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人，人口出生率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6.67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‰；死亡人口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17365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人，人口死亡率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10.06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‰；人口自然增长率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-3.39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表1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年年末户籍人口数及其构成</w:t>
      </w:r>
    </w:p>
    <w:tbl>
      <w:tblPr>
        <w:tblStyle w:val="13"/>
        <w:tblpPr w:leftFromText="180" w:rightFromText="180" w:vertAnchor="text" w:horzAnchor="page" w:tblpXSpec="center" w:tblpY="102"/>
        <w:tblW w:w="821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2392"/>
        <w:gridCol w:w="14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33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60"/>
                <w:kern w:val="0"/>
                <w:sz w:val="24"/>
                <w:szCs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</w:p>
        </w:tc>
        <w:tc>
          <w:tcPr>
            <w:tcW w:w="23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年末数（万人）</w:t>
            </w:r>
          </w:p>
        </w:tc>
        <w:tc>
          <w:tcPr>
            <w:tcW w:w="148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年末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户籍总人口</w:t>
            </w:r>
          </w:p>
        </w:tc>
        <w:tc>
          <w:tcPr>
            <w:tcW w:w="23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172.57</w:t>
            </w:r>
          </w:p>
        </w:tc>
        <w:tc>
          <w:tcPr>
            <w:tcW w:w="148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其中：城镇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73.69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乡村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98.88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其中：男性</w:t>
            </w: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85.02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49.3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岁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22.26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岁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112.15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65.0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60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岁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8.03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331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周岁及以上</w:t>
            </w:r>
          </w:p>
        </w:tc>
        <w:tc>
          <w:tcPr>
            <w:tcW w:w="239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30.12</w:t>
            </w:r>
          </w:p>
        </w:tc>
        <w:tc>
          <w:tcPr>
            <w:tcW w:w="1489" w:type="dxa"/>
            <w:tcBorders>
              <w:top w:val="nil"/>
              <w:bottom w:val="single" w:color="auto" w:sz="12" w:space="0"/>
            </w:tcBorders>
            <w:vAlign w:val="bottom"/>
          </w:tcPr>
          <w:p>
            <w:pPr>
              <w:snapToGrid w:val="0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全年新增就业人员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3.69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万人，城镇登记失业率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%。创建“充分就业社区”187个。农村劳动力培训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0.37万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“4050”人员就业人数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全年居民消费价格比上年上涨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%，其中，食品烟酒价格上涨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表2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年居民消费价格涨跌幅度</w:t>
      </w:r>
    </w:p>
    <w:tbl>
      <w:tblPr>
        <w:tblStyle w:val="13"/>
        <w:tblpPr w:leftFromText="180" w:rightFromText="180" w:vertAnchor="text" w:horzAnchor="page" w:tblpXSpec="center" w:tblpY="76"/>
        <w:tblW w:w="850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448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02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Hlk507580720"/>
            <w:r>
              <w:rPr>
                <w:rFonts w:hint="eastAsia" w:ascii="宋体" w:hAnsi="宋体" w:cs="宋体"/>
                <w:spacing w:val="360"/>
                <w:kern w:val="0"/>
                <w:sz w:val="24"/>
                <w:szCs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</w:p>
        </w:tc>
        <w:tc>
          <w:tcPr>
            <w:tcW w:w="448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居民消费价格总水平</w:t>
            </w:r>
          </w:p>
        </w:tc>
        <w:tc>
          <w:tcPr>
            <w:tcW w:w="4481" w:type="dxa"/>
            <w:tcBorders>
              <w:top w:val="single" w:color="auto" w:sz="8" w:space="0"/>
            </w:tcBorders>
            <w:vAlign w:val="bottom"/>
          </w:tcPr>
          <w:p>
            <w:pPr>
              <w:snapToGrid w:val="0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#食品烟酒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衣着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居住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生活用品及服务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交通和通信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教育文化和娱乐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医疗保健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023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其他用品和服务</w:t>
            </w:r>
          </w:p>
        </w:tc>
        <w:tc>
          <w:tcPr>
            <w:tcW w:w="4481" w:type="dxa"/>
            <w:vAlign w:val="bottom"/>
          </w:tcPr>
          <w:p>
            <w:pPr>
              <w:snapToGrid w:val="0"/>
              <w:jc w:val="righ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bookmarkEnd w:id="0"/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39055" cy="3625215"/>
            <wp:effectExtent l="0" t="0" r="4445" b="13335"/>
            <wp:docPr id="316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60" w:leftChars="0" w:hanging="720" w:firstLineChars="0"/>
        <w:textAlignment w:val="auto"/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</w:rPr>
        <w:t>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全年农林牧渔总产值142.13亿元，比上年增长5.5%。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全年粮食播种面积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148.10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。蔬菜播种面积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73.11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%。水果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面积47.26万亩，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4.5%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。生猪年末存栏54.86万头，比上年增长33.5%。家禽年末存栏417.13万只，比上年增长13.3%。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宋体" w:hAnsi="宋体" w:eastAsia="方正仿宋_GBK"/>
          <w:b/>
          <w:color w:val="FF000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全年粮食总产量49.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增长0.6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%。蔬菜产量11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bookmarkStart w:id="1" w:name="_Hlk508356050"/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水果产量49.59万吨，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6.8%。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出栏生猪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64.97万头，比上年下降4.2%。出栏家禽739.39万只，比上年增长5.8%。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表3 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年主要农产品产量</w:t>
      </w:r>
    </w:p>
    <w:tbl>
      <w:tblPr>
        <w:tblStyle w:val="13"/>
        <w:tblW w:w="830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962"/>
        <w:gridCol w:w="2469"/>
        <w:gridCol w:w="15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7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产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品名称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单  位</w:t>
            </w:r>
          </w:p>
        </w:tc>
        <w:tc>
          <w:tcPr>
            <w:tcW w:w="246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 xml:space="preserve">产   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量</w:t>
            </w:r>
          </w:p>
        </w:tc>
        <w:tc>
          <w:tcPr>
            <w:tcW w:w="159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粮食</w:t>
            </w:r>
          </w:p>
        </w:tc>
        <w:tc>
          <w:tcPr>
            <w:tcW w:w="96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万吨</w:t>
            </w:r>
          </w:p>
        </w:tc>
        <w:tc>
          <w:tcPr>
            <w:tcW w:w="24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49.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9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Meiryo U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eastAsia="zh-CN"/>
              </w:rPr>
              <w:t>蔬菜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Meiryo U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eastAsia="zh-CN"/>
              </w:rPr>
              <w:t>万吨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118.59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Meiryo U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eastAsia="zh-CN"/>
              </w:rPr>
              <w:t>水果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Meiryo U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eastAsia="zh-CN"/>
              </w:rPr>
              <w:t>万吨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49.59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禽蛋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万吨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Meiryo UI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ascii="宋体" w:hAnsi="宋体" w:cs="Meiryo U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Meiryo U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栏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 xml:space="preserve">生猪 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万头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64.97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-4.2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栏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 xml:space="preserve">牛 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万头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Meiryo U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-0.9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栏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 xml:space="preserve">羊 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万只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15.41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Meiryo UI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肉类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总产</w:t>
            </w: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量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万吨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6.55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-1.9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78" w:type="dxa"/>
            <w:vAlign w:val="center"/>
          </w:tcPr>
          <w:p>
            <w:pPr>
              <w:snapToGrid w:val="0"/>
              <w:jc w:val="left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 xml:space="preserve">  ＃猪肉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宋体" w:hAnsi="宋体" w:cs="Meiryo U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</w:rPr>
              <w:t>万吨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4.93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Meiryo U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kern w:val="0"/>
                <w:sz w:val="24"/>
                <w:szCs w:val="24"/>
                <w:lang w:val="en-US" w:eastAsia="zh-CN"/>
              </w:rPr>
              <w:t>-4.0</w:t>
            </w:r>
          </w:p>
        </w:tc>
      </w:tr>
      <w:bookmarkEnd w:id="1"/>
    </w:tbl>
    <w:p>
      <w:pPr>
        <w:pStyle w:val="9"/>
        <w:spacing w:before="0" w:beforeAutospacing="0" w:after="0" w:afterAutospacing="0" w:line="440" w:lineRule="exact"/>
        <w:jc w:val="both"/>
        <w:rPr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eastAsia="方正黑体_GBK"/>
          <w:bCs/>
          <w:sz w:val="32"/>
          <w:szCs w:val="32"/>
        </w:rPr>
      </w:pPr>
      <w:r>
        <w:drawing>
          <wp:inline distT="0" distB="0" distL="114300" distR="114300">
            <wp:extent cx="5274310" cy="3347085"/>
            <wp:effectExtent l="0" t="0" r="254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区147户规模以上工业企业完成总产值332.30亿元，比上年增长5.4%。其中，经开区73户企业完成总产值260.48亿元，比上年增长6.2%；大中型企业总产值173.84亿元，比上年下降4.0%；国有控股企业160.53亿元，比上年增长11.3%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drawing>
          <wp:inline distT="0" distB="0" distL="114300" distR="114300">
            <wp:extent cx="5267960" cy="3638550"/>
            <wp:effectExtent l="0" t="0" r="889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全年规模以上工业企业实现利税总额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34.66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增长42.3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%；实现利润总额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23.25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增长43.9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%；产品销售率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提高0.4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</w:p>
    <w:tbl>
      <w:tblPr>
        <w:tblStyle w:val="13"/>
        <w:tblpPr w:leftFromText="180" w:rightFromText="180" w:vertAnchor="text" w:horzAnchor="page" w:tblpX="1932" w:tblpY="567"/>
        <w:tblW w:w="829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322"/>
        <w:gridCol w:w="2080"/>
        <w:gridCol w:w="19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 w:firstLine="7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2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单 位</w:t>
            </w:r>
          </w:p>
        </w:tc>
        <w:tc>
          <w:tcPr>
            <w:tcW w:w="20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产  量</w:t>
            </w:r>
          </w:p>
        </w:tc>
        <w:tc>
          <w:tcPr>
            <w:tcW w:w="199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汽车</w:t>
            </w:r>
          </w:p>
        </w:tc>
        <w:tc>
          <w:tcPr>
            <w:tcW w:w="1322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万辆</w:t>
            </w:r>
          </w:p>
        </w:tc>
        <w:tc>
          <w:tcPr>
            <w:tcW w:w="208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14.84 </w:t>
            </w:r>
          </w:p>
        </w:tc>
        <w:tc>
          <w:tcPr>
            <w:tcW w:w="1996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-10.9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原盐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万吨</w:t>
            </w:r>
          </w:p>
        </w:tc>
        <w:tc>
          <w:tcPr>
            <w:tcW w:w="208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122.05 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-3.1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纯碱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万吨</w:t>
            </w:r>
          </w:p>
        </w:tc>
        <w:tc>
          <w:tcPr>
            <w:tcW w:w="2080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74.27 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棉纱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吨</w:t>
            </w:r>
          </w:p>
        </w:tc>
        <w:tc>
          <w:tcPr>
            <w:tcW w:w="2080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6891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-79.2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水泥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万吨</w:t>
            </w:r>
          </w:p>
        </w:tc>
        <w:tc>
          <w:tcPr>
            <w:tcW w:w="2080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167.92 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-11.7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灯具及照明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装置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万套</w:t>
            </w:r>
          </w:p>
        </w:tc>
        <w:tc>
          <w:tcPr>
            <w:tcW w:w="2080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8688.95 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-7.7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92" w:type="dxa"/>
            <w:tcBorders>
              <w:top w:val="nil"/>
              <w:bottom w:val="single" w:color="auto" w:sz="8" w:space="0"/>
            </w:tcBorders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金属切削机床</w:t>
            </w:r>
          </w:p>
        </w:tc>
        <w:tc>
          <w:tcPr>
            <w:tcW w:w="1322" w:type="dxa"/>
            <w:tcBorders>
              <w:top w:val="nil"/>
              <w:bottom w:val="single" w:color="auto" w:sz="8" w:space="0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2080" w:type="dxa"/>
            <w:tcBorders>
              <w:top w:val="nil"/>
              <w:bottom w:val="single" w:color="auto" w:sz="8" w:space="0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1036 </w:t>
            </w:r>
          </w:p>
        </w:tc>
        <w:tc>
          <w:tcPr>
            <w:tcW w:w="1996" w:type="dxa"/>
            <w:tcBorders>
              <w:top w:val="nil"/>
              <w:bottom w:val="single" w:color="auto" w:sz="8" w:space="0"/>
            </w:tcBorders>
            <w:vAlign w:val="top"/>
          </w:tcPr>
          <w:p>
            <w:pPr>
              <w:snapToGrid w:val="0"/>
              <w:spacing w:line="300" w:lineRule="exact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-3.9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表4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年规模以上工业主要产品产量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全年实现注册地总专包建筑企业总产值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222.89亿元，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增长3.2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年末有资质的建筑企业215家，其中，一级企业19家，二级企业69家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auto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全年全区公路通车里程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7340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公里，其中，高速公路通车里程195公里。境内铁路营运里程157公里。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年末全区民用汽车拥有量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25.47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万辆，比上年增长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%，其中，私人汽车拥有量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23.58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万辆，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%。实有货运汽车营运车辆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1.33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万辆，比上年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下降0.6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%。实有客运汽车营运车辆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4224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下降1.8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%。实有公共汽（电）车营运车辆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下降22.7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Style w:val="12"/>
        </w:rPr>
        <w:footnoteReference w:id="0"/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。实有出租汽车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全年货物运输总量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9169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%。货物周转量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443.10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亿吨公里，比上年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下降4.5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%。全年港口完成货物吞吐量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2141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下降5.8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表5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年货物运输量及其增速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1" w:type="dxa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指  标</w:t>
            </w:r>
          </w:p>
        </w:tc>
        <w:tc>
          <w:tcPr>
            <w:tcW w:w="213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绝对额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12" w:space="0"/>
              <w:right w:val="nil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top w:val="single" w:color="auto" w:sz="12" w:space="0"/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货运量</w:t>
            </w:r>
          </w:p>
        </w:tc>
        <w:tc>
          <w:tcPr>
            <w:tcW w:w="213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万吨</w:t>
            </w:r>
          </w:p>
        </w:tc>
        <w:tc>
          <w:tcPr>
            <w:tcW w:w="2130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9168.72</w:t>
            </w:r>
          </w:p>
        </w:tc>
        <w:tc>
          <w:tcPr>
            <w:tcW w:w="2130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公路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万吨</w:t>
            </w:r>
          </w:p>
        </w:tc>
        <w:tc>
          <w:tcPr>
            <w:tcW w:w="2130" w:type="dxa"/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5471.00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10.6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水路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万吨</w:t>
            </w:r>
          </w:p>
        </w:tc>
        <w:tc>
          <w:tcPr>
            <w:tcW w:w="2130" w:type="dxa"/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3697.60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-3.4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民航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万吨</w:t>
            </w:r>
          </w:p>
        </w:tc>
        <w:tc>
          <w:tcPr>
            <w:tcW w:w="2130" w:type="dxa"/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-29.4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货物周转量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亿吨公里</w:t>
            </w:r>
          </w:p>
        </w:tc>
        <w:tc>
          <w:tcPr>
            <w:tcW w:w="2130" w:type="dxa"/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443.10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公路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亿吨公里</w:t>
            </w:r>
          </w:p>
        </w:tc>
        <w:tc>
          <w:tcPr>
            <w:tcW w:w="2130" w:type="dxa"/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48.30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10.7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水运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亿吨公里</w:t>
            </w:r>
          </w:p>
        </w:tc>
        <w:tc>
          <w:tcPr>
            <w:tcW w:w="2130" w:type="dxa"/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394.79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-6.1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tcBorders>
              <w:left w:val="nil"/>
              <w:bottom w:val="single" w:color="auto" w:sz="12" w:space="0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民航</w:t>
            </w:r>
          </w:p>
        </w:tc>
        <w:tc>
          <w:tcPr>
            <w:tcW w:w="213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亿吨公里</w:t>
            </w:r>
          </w:p>
        </w:tc>
        <w:tc>
          <w:tcPr>
            <w:tcW w:w="2130" w:type="dxa"/>
            <w:tcBorders>
              <w:bottom w:val="single" w:color="auto" w:sz="12" w:space="0"/>
            </w:tcBorders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2130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-35.8 </w:t>
            </w:r>
          </w:p>
        </w:tc>
      </w:tr>
    </w:tbl>
    <w:p>
      <w:pPr>
        <w:spacing w:line="300" w:lineRule="exact"/>
        <w:rPr>
          <w:rFonts w:ascii="宋体" w:hAnsi="宋体" w:cs="宋体"/>
          <w:bCs/>
          <w:kern w:val="0"/>
          <w:sz w:val="22"/>
          <w:szCs w:val="22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注：不含铁路运输。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全年旅客运输总量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2095.33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万人次，比上年下降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%。旅客周转量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17.36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亿人公里，比上年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下降33.6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表6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年旅客运输量及其增速</w:t>
      </w:r>
    </w:p>
    <w:tbl>
      <w:tblPr>
        <w:tblStyle w:val="1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6"/>
        <w:gridCol w:w="212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25" w:type="dxa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指  标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2124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绝对额</w:t>
            </w:r>
          </w:p>
        </w:tc>
        <w:tc>
          <w:tcPr>
            <w:tcW w:w="2125" w:type="dxa"/>
            <w:tcBorders>
              <w:top w:val="single" w:color="auto" w:sz="12" w:space="0"/>
              <w:bottom w:val="single" w:color="auto" w:sz="12" w:space="0"/>
              <w:right w:val="nil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5" w:type="dxa"/>
            <w:tcBorders>
              <w:top w:val="single" w:color="auto" w:sz="12" w:space="0"/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客运量</w:t>
            </w:r>
          </w:p>
        </w:tc>
        <w:tc>
          <w:tcPr>
            <w:tcW w:w="212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万人次</w:t>
            </w:r>
          </w:p>
        </w:tc>
        <w:tc>
          <w:tcPr>
            <w:tcW w:w="2124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2095.33</w:t>
            </w:r>
          </w:p>
        </w:tc>
        <w:tc>
          <w:tcPr>
            <w:tcW w:w="2125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-34.6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5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公路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万人次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1965.00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-35.3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5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水路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万人次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29.60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-43.3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5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民航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万人次</w:t>
            </w: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100.73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-12.5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5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旅客周转量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亿人公里</w:t>
            </w:r>
          </w:p>
        </w:tc>
        <w:tc>
          <w:tcPr>
            <w:tcW w:w="2124" w:type="dxa"/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17.36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-33.6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5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公路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亿人公里</w:t>
            </w:r>
          </w:p>
        </w:tc>
        <w:tc>
          <w:tcPr>
            <w:tcW w:w="2124" w:type="dxa"/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5.61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-50.7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5" w:type="dxa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水运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亿人公里</w:t>
            </w:r>
          </w:p>
        </w:tc>
        <w:tc>
          <w:tcPr>
            <w:tcW w:w="2124" w:type="dxa"/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0.20</w:t>
            </w:r>
          </w:p>
        </w:tc>
        <w:tc>
          <w:tcPr>
            <w:tcW w:w="212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-60.1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25" w:type="dxa"/>
            <w:tcBorders>
              <w:left w:val="nil"/>
              <w:bottom w:val="single" w:color="auto" w:sz="12" w:space="0"/>
            </w:tcBorders>
          </w:tcPr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民航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亿人公里</w:t>
            </w:r>
          </w:p>
        </w:tc>
        <w:tc>
          <w:tcPr>
            <w:tcW w:w="2124" w:type="dxa"/>
            <w:tcBorders>
              <w:bottom w:val="single" w:color="auto" w:sz="12" w:space="0"/>
            </w:tcBorders>
          </w:tcPr>
          <w:p>
            <w:pPr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11.55</w:t>
            </w:r>
          </w:p>
        </w:tc>
        <w:tc>
          <w:tcPr>
            <w:tcW w:w="2125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-19.1 </w:t>
            </w:r>
          </w:p>
        </w:tc>
      </w:tr>
    </w:tbl>
    <w:p>
      <w:pPr>
        <w:spacing w:line="300" w:lineRule="exact"/>
        <w:rPr>
          <w:rFonts w:hint="eastAsia" w:ascii="宋体" w:hAnsi="宋体" w:cs="宋体"/>
          <w:bCs/>
          <w:kern w:val="0"/>
          <w:sz w:val="22"/>
          <w:szCs w:val="22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注：不含铁路运输。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全年完成邮电业务收入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13.37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增长4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%，其中，邮政业务收入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3.41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比上年增长9.0%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电信业务收入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9.96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%。完成邮政函件业务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30.49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年末固定电话用户20.96万户，比上年下降1.2%；年末移动电话用户160.25万户，与去年持平。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社会消费品零售总额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345.80亿元，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下降2.0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%，其中，限上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零售总额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110.99亿元，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比上年下降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%。在限上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中，餐饮收入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下降8.3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%；商品零售下降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全年实现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批发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商品销售额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1025.59亿元，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其中，限额以上批发业商品销售额746.04亿元，比上年增长9.6%。实现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零售业商品销售额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143.66亿元，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下降8.2%，其中，限额以上零售业商品销售额117.42亿元，比上年下降10.1%。实现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营业额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13.18亿元，比上年下降0.7%，其中，限额以上住宿业营业额1.11亿元，比上年下降12.7%。实现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餐饮业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营业额40.37亿元，比上年下降3.7%，其中，限额以上餐饮业营业额3.23亿元，比上年增长0.5%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在限额以上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单位中，粮油、食品类商品零售额比上年增长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%，饮料类商品增长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%，烟酒类商品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%，服装、鞋帽、针纺织品类商品下降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%，化妆品类商品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%，日用品类商品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%，体育、娱乐用品类商品增长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%，家用电器和音像器材类商品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%，中西药品类商品增长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%，文化办公用品类商品增长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%，通讯器材类商品下降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%，建筑及装潢材料类商品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%，石油及制品类商品下降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%，汽车类商品增长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在限额以上法人单位中，通过公共网络实现的商品销售额29.89亿元，比上年增长20.0%，其中，零售额1.54亿元，增长2.0倍。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202.94亿元，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%，其中，第一产业投资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14.81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增长7.3倍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，占固定资产投资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%；第二产业投资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31.30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增长51.2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%，占固定资产投资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%；第三产业投资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156.83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下降4.7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%，占固定资产投资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%。 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040" cy="3108960"/>
            <wp:effectExtent l="0" t="0" r="3810" b="152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在固定资产投资中，基础设施投资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83.97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增长57.1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%，占固定资产投资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%；民间投资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80.56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下降30.5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%，占固定资产投资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%；工业投资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31.30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增长51.2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%，占固定资产投资的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全年完成房地产开发投资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62.53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下降37.1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%。房屋施工面积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855.90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万平方米，比上年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下降11.7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%；房屋竣工面积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181.28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万平方米，比上年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下降12.7%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；房屋销售面积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125.38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万平方米，比上年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下降32.8%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表7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年商品房建设与销售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2525"/>
        <w:gridCol w:w="23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68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ind w:firstLine="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20"/>
                <w:kern w:val="0"/>
                <w:sz w:val="24"/>
                <w:szCs w:val="24"/>
                <w:fitText w:val="1120" w:id="0"/>
              </w:rPr>
              <w:t>指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fitText w:val="1120" w:id="0"/>
              </w:rPr>
              <w:t>标</w:t>
            </w:r>
          </w:p>
        </w:tc>
        <w:tc>
          <w:tcPr>
            <w:tcW w:w="252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ind w:right="248" w:rightChars="118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绝对额</w:t>
            </w:r>
          </w:p>
          <w:p>
            <w:pPr>
              <w:snapToGrid w:val="0"/>
              <w:ind w:right="248" w:rightChars="118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（万平方米）</w:t>
            </w:r>
          </w:p>
        </w:tc>
        <w:tc>
          <w:tcPr>
            <w:tcW w:w="230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ind w:right="248" w:rightChars="11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施工面积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855.90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-11.7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＃住宅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558.78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-8.5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商业营业用房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99.92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-25.4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新开工面积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103.26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-48.5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＃住宅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70.95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-44.7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商业营业用房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3.54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-83.3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竣工面积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181.28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-12.7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＃住宅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114.00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-8.5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商业营业用房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19.63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-51.2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销售面积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125.38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-32.8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＃住宅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103.34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-31.4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8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商业营业用房</w:t>
            </w:r>
          </w:p>
        </w:tc>
        <w:tc>
          <w:tcPr>
            <w:tcW w:w="2525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6.70 </w:t>
            </w:r>
          </w:p>
        </w:tc>
        <w:tc>
          <w:tcPr>
            <w:tcW w:w="2309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-72.5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七、对外经济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全年实现货物进出口总额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39.84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。其中，出口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12.44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7.6%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；进口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27.40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12.3倍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。按美元计算，货物实现进出口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6.13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亿美元，比上年增长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其中，出口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亿美元，增长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%；进口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亿美元，增长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13.4倍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实际利用外资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亿美元，比上年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增长35.6%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八、财政金融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全年完成一般公共预算收入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67.13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增长25.8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%，其中，税收收入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38.34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%；一般公共预算支出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161.34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增长21.4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widowControl/>
        <w:suppressLineNumbers w:val="0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drawing>
          <wp:inline distT="0" distB="0" distL="114300" distR="114300">
            <wp:extent cx="5273040" cy="3158490"/>
            <wp:effectExtent l="0" t="0" r="381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年末全区金融机构本外币存款余额为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1404.71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%，其中，人民币存款余额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1403.09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%。金融机构本外币贷款余额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833.28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%，其中，短期贷款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185.85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增长24.8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5"/>
          <w:szCs w:val="25"/>
          <w14:textFill>
            <w14:solidFill>
              <w14:schemeClr w14:val="tx1"/>
            </w14:solidFill>
          </w14:textFill>
        </w:rPr>
        <w:t>表8  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5"/>
          <w:szCs w:val="25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25"/>
          <w:szCs w:val="25"/>
          <w14:textFill>
            <w14:solidFill>
              <w14:schemeClr w14:val="tx1"/>
            </w14:solidFill>
          </w14:textFill>
        </w:rPr>
        <w:t>年末金融机构存贷款余额</w:t>
      </w:r>
    </w:p>
    <w:tbl>
      <w:tblPr>
        <w:tblStyle w:val="13"/>
        <w:tblpPr w:leftFromText="180" w:rightFromText="180" w:vertAnchor="text" w:horzAnchor="page" w:tblpX="1892" w:tblpY="129"/>
        <w:tblOverlap w:val="never"/>
        <w:tblW w:w="830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2791"/>
        <w:gridCol w:w="229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21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ind w:firstLine="9" w:firstLineChars="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279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ind w:firstLine="2" w:firstLineChars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年末数（亿元）</w:t>
            </w:r>
          </w:p>
        </w:tc>
        <w:tc>
          <w:tcPr>
            <w:tcW w:w="229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napToGrid w:val="0"/>
              <w:ind w:firstLine="2" w:firstLineChars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本外币存款余额</w:t>
            </w:r>
          </w:p>
        </w:tc>
        <w:tc>
          <w:tcPr>
            <w:tcW w:w="27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1404.71 </w:t>
            </w:r>
          </w:p>
        </w:tc>
        <w:tc>
          <w:tcPr>
            <w:tcW w:w="229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#人民币存款余额</w:t>
            </w:r>
          </w:p>
        </w:tc>
        <w:tc>
          <w:tcPr>
            <w:tcW w:w="2791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1403.09 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vAlign w:val="center"/>
          </w:tcPr>
          <w:p>
            <w:pPr>
              <w:snapToGrid w:val="0"/>
              <w:ind w:firstLine="18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住户存款</w:t>
            </w:r>
          </w:p>
        </w:tc>
        <w:tc>
          <w:tcPr>
            <w:tcW w:w="2791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1084.72 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本外币贷款余额</w:t>
            </w:r>
          </w:p>
        </w:tc>
        <w:tc>
          <w:tcPr>
            <w:tcW w:w="2791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833.28 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#人民币贷款余额</w:t>
            </w:r>
          </w:p>
        </w:tc>
        <w:tc>
          <w:tcPr>
            <w:tcW w:w="2791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833.01 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14.2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vAlign w:val="center"/>
          </w:tcPr>
          <w:p>
            <w:pPr>
              <w:snapToGrid w:val="0"/>
              <w:ind w:firstLine="18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#短期贷款</w:t>
            </w:r>
          </w:p>
        </w:tc>
        <w:tc>
          <w:tcPr>
            <w:tcW w:w="2791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185.85 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24.8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15" w:type="dxa"/>
            <w:vAlign w:val="center"/>
          </w:tcPr>
          <w:p>
            <w:pPr>
              <w:snapToGrid w:val="0"/>
              <w:ind w:firstLine="540" w:firstLineChars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中长期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贷款</w:t>
            </w:r>
          </w:p>
        </w:tc>
        <w:tc>
          <w:tcPr>
            <w:tcW w:w="2791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608.81 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12.9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居民收入消费和社会保障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全区常住居民人均可支配收入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34407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%。按常住地分，城镇常住居民人均可支配收入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42662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%；农村常住居民人均可支配收入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17292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%。全区常住居民人均消费性支出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24394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%。按常住地分，城镇常住居民人均消费支出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29097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%；农村常住居民人均消费支出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14697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drawing>
          <wp:inline distT="0" distB="0" distL="114300" distR="114300">
            <wp:extent cx="5273675" cy="3531870"/>
            <wp:effectExtent l="0" t="0" r="3175" b="1143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5265420" cy="3896995"/>
            <wp:effectExtent l="0" t="0" r="11430" b="8255"/>
            <wp:wrapNone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全区城镇职工基本养老保险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47.54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增长4.7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%。参加城乡居民社会养老保险人数5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9.72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%。城镇职工基本医疗保险参保人数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30.37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%。城乡居民合作医疗保险参保人数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126.19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万人，比上年下降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%。工伤保险参保人数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18.79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年末全区享受城镇最低生活保障人数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2.36万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人，享受农村居民最低生活保障人数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万人。全区特困对象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9986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人。享受城乡医疗重大疾病救助人数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5.09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万人，发放城乡医疗重大疾病救助金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2152.45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年末城乡有社会福利院6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个，福利院工作人员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人，床位数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10101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张，年末收养人数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3991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人。年末实有社区服务中心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个，社区服务站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年末全区共有科研机构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个，实施科技项目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个，取得科研成果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项。共有高新技术企业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家。全年获得授权专利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共有学校434所，其中，普通高等学校7所，普通中等职业学校5所，普通中学59所，小学88所，特殊学校1所，幼儿园274所。普通高等学校招生3.12万人，在校生8.57万人，毕业生1.99万人；中等职业学校招生0.65万人，在校生1.42万人，毕业生0.40万人；普通高中招生1.19万人，在校生3.57万人，毕业生1.24万人；普通初中招生1.66万人，在校生4.90万人，毕业生1.44万人；普通小学招生1.34万人，在校生8.76万人，毕业生1.57万人；学前教育招生1.59万人，在校生4.06万人，毕业生1.46万人；特殊教育招生84人，在校生388人，毕业生73人。高中阶段毛入学率106.1%，初中阶段毛入学率109.4%，小学学龄儿童入学率100.0%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  <w:t>图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  <w:t xml:space="preserve"> 201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  <w:t>-20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  <w:t>年普通本专科、中等职业教育及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</w:rPr>
        <w:t>普通中学招生人数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宋体" w:eastAsia="方正仿宋_GBK" w:cs="宋体"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5267325" cy="3275330"/>
            <wp:effectExtent l="0" t="0" r="9525" b="127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十</w:t>
      </w:r>
      <w:r>
        <w:rPr>
          <w:rFonts w:hint="eastAsia" w:ascii="方正黑体_GBK" w:hAnsi="宋体" w:eastAsia="方正黑体_GBK" w:cs="宋体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、文化旅游、卫生健康和体育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全区共有专业艺术表演团体4个，博物馆2个，文化馆1个，公共图书馆1个，剧场影剧院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个。广播人口覆盖率99.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%，电视人口覆盖率99.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%。公共图书馆藏书4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万册。年末全区共有档案馆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个，利用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万人次。省（市）级重点文物保护单位1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4家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全年接待国内游客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1651.41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下降28.1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%；实现国内旅游总收入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95.69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下降36.3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%。接待入境游客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下降96.7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%，国际旅游外汇收入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12.93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万美元，比上年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下降98.6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%。年末全区拥有国家AAA级及以上景区6处。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年末全区共有各级各类医疗卫生机构（含村卫生室）1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个，其中，医院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个。共有医疗卫生机构床位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11227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张。全区共有卫生技术人员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12430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人，其中，执业医师和执业助理医师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4600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人，注册护士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5554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全年全区在全市计奖赛中，获得金牌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枚，银牌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枚，铜牌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枚；向市级以上集训队输送队员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人；开展群众运动会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十二、移民和扶贫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按照现行国家农村贫困标准测算，全区已实现脱贫攻坚目标，3.5万户10.7万人建档立卡贫困户全部实现脱贫，140个贫困村全部出列，绝对贫困历史性消除。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全年新开工移民发展扶持项目3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个，移民工程本年完成投资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万元，移民工程资金到位率100.0%。年末三峡工程农村移民后扶人数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8512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人，大中型水库农村移民后扶人数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6470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人，全年发放三峡库区农村移民后期扶持直补资金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515.01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万元。全年纳入困难补助的城镇移民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5.44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万户，发放城镇移民困难补助及特殊救济资金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3430.27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ˎ̥" w:eastAsia="方正黑体_GBK"/>
          <w:color w:val="333333"/>
          <w:sz w:val="32"/>
          <w:szCs w:val="32"/>
        </w:rPr>
      </w:pPr>
      <w:r>
        <w:rPr>
          <w:rFonts w:hint="eastAsia" w:ascii="方正黑体_GBK" w:hAnsi="ˎ̥" w:eastAsia="方正黑体_GBK"/>
          <w:color w:val="000000"/>
          <w:sz w:val="32"/>
          <w:szCs w:val="32"/>
        </w:rPr>
        <w:t>十三、生态建设、环境和社会治安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全年供水总量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6071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万立方米，比上年增长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%，其中，生活用水量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3429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万立方米，比上年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增长1.4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%。全年全社会用电量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31.96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亿度，比上年增长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%，其中，工业用电量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16.10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亿度，比上年增长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%。天然气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消费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2.04亿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立方米，比上年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下降3.3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%，其中，家庭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消费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1.17亿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立方米，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全区共有市级自然保护区1个。国家级森林公园1个，省市级森林公园1个。实施天然林保护1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万公顷，完成造林面积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1333.30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公顷。全区森林覆盖率5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全区城市生活污水处理率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%，生活垃圾无害化处理率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%。生活垃圾清运量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32.00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万吨，清捞长江漂浮物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2.64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万吨。全区城市区域环境噪声平均等效声级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53.0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分贝，城市交通干线噪声平均等效声级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65.9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分贝。城区空气质量优良天数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天，空气质量优良率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94.8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%。城区、镇乡饮用水源水质达标率分别为100.0%、9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全年刑事案件发案数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4886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件。刑事案件破案数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3271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20.2%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。治安案件查处数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4964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，比上年增长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。交通事故死亡人数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，比上年下降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。火灾发生数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340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，比上年下降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53.9%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1. 本公报中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/>
        </w:rPr>
        <w:t>2020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年数据均为初步统计数，部分数据因四舍五入的原因，存在与分项合计不等的情况。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2. 地区生产总值、各产业增加值绝对量按现价计算，增长速度按可比价计算。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．基础设施投资是指建造或购置为社会生产和生活提供基础性、大众性服务的工程和设施的支出。本文中的基础设施投资包括交通运输、邮政业，电信、广播电视和卫星传输服务业，互联网和相关服务业，水利、环境和公共设施管理业投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．民间固定资产投资是指具有集体、私营、个人性质的内资企事业单位以及由其控股（包括绝对控股和相对控股）的企业单位建造或购置固定资产的投资。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．行业统计标准：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规模以上工业：年主营业务收入2000万元及以上的工业法人单位。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有资质的建筑业：有总承包、专业承包和劳务分包资质的建筑业法人单位。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限额以上批发和零售业：年主营业务收入2000万元及以上的批发业、年主营业务收入500万元及以上的零售业单位。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限额以上住宿和餐饮业：年主营业务收入200万元及以上的住宿和餐饮业单位。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房地产开发经营业：全部房地产开发经营业法人单位。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规模以上服务业：年营业收入2000万元及以上服务业法人单位，包括：交通运输、仓储和邮政业，信息传输、软件和信息技术服务业，水利、环境和公共设施管理业，卫生行业。年营业收入1000万元及以上服务业法人单位，包括：租赁和商务服务业，科学研究和技术服务业，教育，物业管理、房地产中介、租赁服务和其他房地产业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eastAsia="zh-CN"/>
        </w:rPr>
        <w:t>。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年营业收入500万元及以上服务业法人单位，包括：居民服务、修理和其他服务业，文化、体育和娱乐业，社会工作。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黑体_GBK" w:eastAsia="方正黑体_GBK"/>
          <w:sz w:val="32"/>
          <w:szCs w:val="32"/>
        </w:rPr>
        <w:t>资料来源（以文中数据为序）：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 xml:space="preserve">    本公报中户籍人口、人口死亡率、人口出生率、人口自然增长率、各类车辆拥有量、刑事案件、交通事故、火灾数据来自区公安局；就业、失业、养老保险、工伤保险数据来自</w:t>
      </w:r>
      <w:r>
        <w:rPr>
          <w:rFonts w:hint="eastAsia" w:ascii="方正仿宋_GBK" w:eastAsia="方正仿宋_GBK"/>
          <w:sz w:val="24"/>
          <w:szCs w:val="24"/>
          <w:lang w:eastAsia="zh-CN"/>
        </w:rPr>
        <w:t>区</w:t>
      </w:r>
      <w:r>
        <w:rPr>
          <w:rFonts w:hint="eastAsia" w:ascii="方正仿宋_GBK" w:eastAsia="方正仿宋_GBK"/>
          <w:sz w:val="24"/>
          <w:szCs w:val="24"/>
        </w:rPr>
        <w:t>人力社保局</w:t>
      </w:r>
      <w:r>
        <w:rPr>
          <w:rFonts w:hint="eastAsia" w:ascii="方正仿宋_GBK" w:eastAsia="方正仿宋_GBK"/>
          <w:sz w:val="24"/>
          <w:szCs w:val="24"/>
          <w:lang w:eastAsia="zh-CN"/>
        </w:rPr>
        <w:t>；医保数据来源于区医保局</w:t>
      </w:r>
      <w:r>
        <w:rPr>
          <w:rFonts w:hint="eastAsia" w:ascii="方正仿宋_GBK" w:eastAsia="方正仿宋_GBK"/>
          <w:sz w:val="24"/>
          <w:szCs w:val="24"/>
        </w:rPr>
        <w:t>；财政数据来自区财政局；</w:t>
      </w:r>
      <w:r>
        <w:rPr>
          <w:rFonts w:hint="eastAsia" w:ascii="方正仿宋_GBK" w:eastAsia="方正仿宋_GBK"/>
          <w:sz w:val="24"/>
          <w:szCs w:val="24"/>
          <w:lang w:eastAsia="zh-CN"/>
        </w:rPr>
        <w:t>金融数据来自人民银行万州中心支行；</w:t>
      </w:r>
      <w:r>
        <w:rPr>
          <w:rFonts w:hint="eastAsia" w:ascii="方正仿宋_GBK" w:eastAsia="方正仿宋_GBK"/>
          <w:sz w:val="24"/>
          <w:szCs w:val="24"/>
        </w:rPr>
        <w:t>对外经济数据来自区</w:t>
      </w:r>
      <w:r>
        <w:rPr>
          <w:rFonts w:hint="eastAsia" w:ascii="方正仿宋_GBK" w:eastAsia="方正仿宋_GBK"/>
          <w:sz w:val="24"/>
          <w:szCs w:val="24"/>
          <w:lang w:eastAsia="zh-CN"/>
        </w:rPr>
        <w:t>商务</w:t>
      </w:r>
      <w:r>
        <w:rPr>
          <w:rFonts w:hint="eastAsia" w:ascii="方正仿宋_GBK" w:eastAsia="方正仿宋_GBK"/>
          <w:sz w:val="24"/>
          <w:szCs w:val="24"/>
        </w:rPr>
        <w:t>委；公路里程、客货运量、内河港口货物吞吐量数据来自区交通局；邮电业务、电话用户数据来自区邮政局和电信、移动、联通3家公司；旅游、文化、体育数据来自区文化</w:t>
      </w:r>
      <w:r>
        <w:rPr>
          <w:rFonts w:hint="eastAsia" w:ascii="方正仿宋_GBK" w:eastAsia="方正仿宋_GBK"/>
          <w:sz w:val="24"/>
          <w:szCs w:val="24"/>
          <w:lang w:eastAsia="zh-CN"/>
        </w:rPr>
        <w:t>旅游委</w:t>
      </w:r>
      <w:r>
        <w:rPr>
          <w:rFonts w:hint="eastAsia" w:ascii="方正仿宋_GBK" w:eastAsia="方正仿宋_GBK"/>
          <w:sz w:val="24"/>
          <w:szCs w:val="24"/>
        </w:rPr>
        <w:t>；教育事业数据来自区教委和重庆三峡学院、重庆三峡职业学院、重庆信息技术职业学院、重庆三峡医药高等专科</w:t>
      </w:r>
      <w:r>
        <w:rPr>
          <w:rFonts w:hint="eastAsia" w:ascii="方正仿宋_GBK" w:eastAsia="方正仿宋_GBK"/>
          <w:sz w:val="24"/>
          <w:szCs w:val="24"/>
          <w:lang w:eastAsia="zh-CN"/>
        </w:rPr>
        <w:t>学院</w:t>
      </w:r>
      <w:r>
        <w:rPr>
          <w:rFonts w:hint="eastAsia" w:ascii="方正仿宋_GBK" w:eastAsia="方正仿宋_GBK"/>
          <w:sz w:val="24"/>
          <w:szCs w:val="24"/>
        </w:rPr>
        <w:t>、重庆幼儿师范高等专科</w:t>
      </w:r>
      <w:r>
        <w:rPr>
          <w:rFonts w:hint="eastAsia" w:ascii="方正仿宋_GBK" w:eastAsia="方正仿宋_GBK"/>
          <w:sz w:val="24"/>
          <w:szCs w:val="24"/>
          <w:lang w:eastAsia="zh-CN"/>
        </w:rPr>
        <w:t>学院</w:t>
      </w:r>
      <w:r>
        <w:rPr>
          <w:rFonts w:hint="eastAsia" w:ascii="方正仿宋_GBK" w:eastAsia="方正仿宋_GBK"/>
          <w:sz w:val="24"/>
          <w:szCs w:val="24"/>
        </w:rPr>
        <w:t>、重庆安全职业技术学院、重庆科技职业</w:t>
      </w:r>
      <w:r>
        <w:rPr>
          <w:rFonts w:hint="eastAsia" w:ascii="方正仿宋_GBK" w:eastAsia="方正仿宋_GBK"/>
          <w:sz w:val="24"/>
          <w:szCs w:val="24"/>
          <w:lang w:eastAsia="zh-CN"/>
        </w:rPr>
        <w:t>学院</w:t>
      </w:r>
      <w:r>
        <w:rPr>
          <w:rFonts w:hint="eastAsia" w:ascii="方正仿宋_GBK" w:eastAsia="方正仿宋_GBK"/>
          <w:sz w:val="24"/>
          <w:szCs w:val="24"/>
        </w:rPr>
        <w:t>7所高校；科技数据来自区科技局；档案数据来自区档案局；卫生数据来自区卫生健康委员会；最低生活保障、福利院、社区服务数据来自区民政局；扶贫数据来自区扶贫办；移民数据、水资源数据来自区水利局；供水、建成区绿化数据来自区城市管理局；</w:t>
      </w:r>
      <w:r>
        <w:rPr>
          <w:rFonts w:hint="eastAsia" w:ascii="方正仿宋_GBK" w:eastAsia="方正仿宋_GBK"/>
          <w:sz w:val="24"/>
          <w:szCs w:val="24"/>
          <w:lang w:eastAsia="zh-CN"/>
        </w:rPr>
        <w:t>用电量及天然气消费量来自区经信委</w:t>
      </w:r>
      <w:r>
        <w:rPr>
          <w:rFonts w:hint="eastAsia" w:ascii="方正仿宋_GBK" w:eastAsia="方正仿宋_GBK"/>
          <w:sz w:val="24"/>
          <w:szCs w:val="24"/>
        </w:rPr>
        <w:t>；自然保护区、森林公园、森林数据来自区林业局；污水处理率、垃圾处理、噪音、空气监测、水源水质数据来自区生态环境局；其他数据来自区统计局、国家统计局万州调查队。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  <w:snapToGrid w:val="0"/>
        <w:rPr>
          <w:rFonts w:hint="default" w:eastAsiaTheme="minor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上年部分公交公司车辆数含跨区运营车辆，本年未包含。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B9E99"/>
    <w:multiLevelType w:val="singleLevel"/>
    <w:tmpl w:val="EA7B9E9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F67BE2"/>
    <w:multiLevelType w:val="multilevel"/>
    <w:tmpl w:val="08F67BE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28"/>
    <w:rsid w:val="0000195A"/>
    <w:rsid w:val="000057F1"/>
    <w:rsid w:val="0001140B"/>
    <w:rsid w:val="000317DE"/>
    <w:rsid w:val="00057D36"/>
    <w:rsid w:val="00061029"/>
    <w:rsid w:val="00075FCC"/>
    <w:rsid w:val="000917D1"/>
    <w:rsid w:val="00092C3E"/>
    <w:rsid w:val="000B4EC0"/>
    <w:rsid w:val="000C07E9"/>
    <w:rsid w:val="000C3C83"/>
    <w:rsid w:val="000C4424"/>
    <w:rsid w:val="000D41E9"/>
    <w:rsid w:val="000D5FE6"/>
    <w:rsid w:val="000E7F37"/>
    <w:rsid w:val="000F3CB6"/>
    <w:rsid w:val="001108BC"/>
    <w:rsid w:val="00126648"/>
    <w:rsid w:val="00126777"/>
    <w:rsid w:val="00127B99"/>
    <w:rsid w:val="00133223"/>
    <w:rsid w:val="001373C6"/>
    <w:rsid w:val="001405CF"/>
    <w:rsid w:val="0014135D"/>
    <w:rsid w:val="001431E9"/>
    <w:rsid w:val="0014350F"/>
    <w:rsid w:val="001505FA"/>
    <w:rsid w:val="001525CC"/>
    <w:rsid w:val="0015483D"/>
    <w:rsid w:val="001809DD"/>
    <w:rsid w:val="00192BA8"/>
    <w:rsid w:val="001A37F4"/>
    <w:rsid w:val="001D0722"/>
    <w:rsid w:val="001D1156"/>
    <w:rsid w:val="001D4A28"/>
    <w:rsid w:val="001D5531"/>
    <w:rsid w:val="001D5879"/>
    <w:rsid w:val="001D5893"/>
    <w:rsid w:val="001E3807"/>
    <w:rsid w:val="001E7F8F"/>
    <w:rsid w:val="001F121C"/>
    <w:rsid w:val="00200C96"/>
    <w:rsid w:val="00203282"/>
    <w:rsid w:val="00205773"/>
    <w:rsid w:val="002076CB"/>
    <w:rsid w:val="002235E5"/>
    <w:rsid w:val="00223E6E"/>
    <w:rsid w:val="0022419E"/>
    <w:rsid w:val="00225252"/>
    <w:rsid w:val="0023088A"/>
    <w:rsid w:val="00230A6E"/>
    <w:rsid w:val="00231C43"/>
    <w:rsid w:val="00236425"/>
    <w:rsid w:val="00241CDD"/>
    <w:rsid w:val="0026596B"/>
    <w:rsid w:val="00271224"/>
    <w:rsid w:val="00273093"/>
    <w:rsid w:val="00274512"/>
    <w:rsid w:val="00291495"/>
    <w:rsid w:val="00297CD3"/>
    <w:rsid w:val="002A0939"/>
    <w:rsid w:val="002B2F95"/>
    <w:rsid w:val="002E3368"/>
    <w:rsid w:val="002F54B1"/>
    <w:rsid w:val="00307732"/>
    <w:rsid w:val="00332CB6"/>
    <w:rsid w:val="003519BC"/>
    <w:rsid w:val="00360B89"/>
    <w:rsid w:val="00364556"/>
    <w:rsid w:val="00370038"/>
    <w:rsid w:val="0037012E"/>
    <w:rsid w:val="00381A8E"/>
    <w:rsid w:val="0038507C"/>
    <w:rsid w:val="00386E71"/>
    <w:rsid w:val="00396718"/>
    <w:rsid w:val="003A7A68"/>
    <w:rsid w:val="003B2266"/>
    <w:rsid w:val="003B4B67"/>
    <w:rsid w:val="003C6E1C"/>
    <w:rsid w:val="003C7801"/>
    <w:rsid w:val="003D0D4B"/>
    <w:rsid w:val="003D2983"/>
    <w:rsid w:val="003D6287"/>
    <w:rsid w:val="003E5C13"/>
    <w:rsid w:val="003F3B2A"/>
    <w:rsid w:val="00403345"/>
    <w:rsid w:val="00406358"/>
    <w:rsid w:val="00412E32"/>
    <w:rsid w:val="00413F8E"/>
    <w:rsid w:val="00424FC2"/>
    <w:rsid w:val="00426883"/>
    <w:rsid w:val="0043549D"/>
    <w:rsid w:val="004374D5"/>
    <w:rsid w:val="00445644"/>
    <w:rsid w:val="004554CB"/>
    <w:rsid w:val="00457004"/>
    <w:rsid w:val="0046290C"/>
    <w:rsid w:val="00463992"/>
    <w:rsid w:val="00464A28"/>
    <w:rsid w:val="00474C97"/>
    <w:rsid w:val="00484210"/>
    <w:rsid w:val="0048784C"/>
    <w:rsid w:val="004A1A7D"/>
    <w:rsid w:val="004A7639"/>
    <w:rsid w:val="004B30AE"/>
    <w:rsid w:val="004B72A9"/>
    <w:rsid w:val="004B7A6E"/>
    <w:rsid w:val="004C3CEE"/>
    <w:rsid w:val="004C73FF"/>
    <w:rsid w:val="004D68EF"/>
    <w:rsid w:val="004E2151"/>
    <w:rsid w:val="004E4E77"/>
    <w:rsid w:val="004E75E7"/>
    <w:rsid w:val="004F264F"/>
    <w:rsid w:val="00504043"/>
    <w:rsid w:val="00522503"/>
    <w:rsid w:val="0052358B"/>
    <w:rsid w:val="00526799"/>
    <w:rsid w:val="0054225D"/>
    <w:rsid w:val="00542917"/>
    <w:rsid w:val="00551218"/>
    <w:rsid w:val="00552B49"/>
    <w:rsid w:val="00555C59"/>
    <w:rsid w:val="005656FC"/>
    <w:rsid w:val="0056711E"/>
    <w:rsid w:val="00570E97"/>
    <w:rsid w:val="00581CC7"/>
    <w:rsid w:val="005912A3"/>
    <w:rsid w:val="00591611"/>
    <w:rsid w:val="00597EC9"/>
    <w:rsid w:val="005A1E8A"/>
    <w:rsid w:val="005B019D"/>
    <w:rsid w:val="005B1EB1"/>
    <w:rsid w:val="005B3161"/>
    <w:rsid w:val="005B3B27"/>
    <w:rsid w:val="005C6973"/>
    <w:rsid w:val="005D4056"/>
    <w:rsid w:val="005D4927"/>
    <w:rsid w:val="005E5D60"/>
    <w:rsid w:val="005E7D54"/>
    <w:rsid w:val="005F28F0"/>
    <w:rsid w:val="005F4577"/>
    <w:rsid w:val="00602A41"/>
    <w:rsid w:val="00603DCD"/>
    <w:rsid w:val="006225D6"/>
    <w:rsid w:val="006415B3"/>
    <w:rsid w:val="00645C86"/>
    <w:rsid w:val="00646FF5"/>
    <w:rsid w:val="00651245"/>
    <w:rsid w:val="00651FAC"/>
    <w:rsid w:val="006522FD"/>
    <w:rsid w:val="00655D71"/>
    <w:rsid w:val="006676F5"/>
    <w:rsid w:val="0069376E"/>
    <w:rsid w:val="006966FC"/>
    <w:rsid w:val="006A3A0F"/>
    <w:rsid w:val="006A5E33"/>
    <w:rsid w:val="006A5F6A"/>
    <w:rsid w:val="006A7769"/>
    <w:rsid w:val="006B2017"/>
    <w:rsid w:val="006B507C"/>
    <w:rsid w:val="006B6D11"/>
    <w:rsid w:val="006C43BD"/>
    <w:rsid w:val="006C55E9"/>
    <w:rsid w:val="006D6235"/>
    <w:rsid w:val="006D6F56"/>
    <w:rsid w:val="006E6F4C"/>
    <w:rsid w:val="006F2A1E"/>
    <w:rsid w:val="006F6616"/>
    <w:rsid w:val="007035E6"/>
    <w:rsid w:val="00707EF7"/>
    <w:rsid w:val="00710BA0"/>
    <w:rsid w:val="007141C1"/>
    <w:rsid w:val="00716C04"/>
    <w:rsid w:val="007178EA"/>
    <w:rsid w:val="00725BBF"/>
    <w:rsid w:val="00744BDB"/>
    <w:rsid w:val="007467CE"/>
    <w:rsid w:val="00746F84"/>
    <w:rsid w:val="00752D6E"/>
    <w:rsid w:val="00762958"/>
    <w:rsid w:val="0078607E"/>
    <w:rsid w:val="00792A2E"/>
    <w:rsid w:val="007A08F1"/>
    <w:rsid w:val="007B398B"/>
    <w:rsid w:val="007B6033"/>
    <w:rsid w:val="007B7005"/>
    <w:rsid w:val="007B79AE"/>
    <w:rsid w:val="007C1BC2"/>
    <w:rsid w:val="007D6E26"/>
    <w:rsid w:val="007E6132"/>
    <w:rsid w:val="007E617B"/>
    <w:rsid w:val="007F456E"/>
    <w:rsid w:val="00800E86"/>
    <w:rsid w:val="00803573"/>
    <w:rsid w:val="0080493E"/>
    <w:rsid w:val="008118EB"/>
    <w:rsid w:val="00824B2D"/>
    <w:rsid w:val="008319B3"/>
    <w:rsid w:val="00834463"/>
    <w:rsid w:val="00844225"/>
    <w:rsid w:val="0084467D"/>
    <w:rsid w:val="00854971"/>
    <w:rsid w:val="00864D2D"/>
    <w:rsid w:val="00865D27"/>
    <w:rsid w:val="008662F7"/>
    <w:rsid w:val="00870384"/>
    <w:rsid w:val="00880240"/>
    <w:rsid w:val="00896097"/>
    <w:rsid w:val="008A23D6"/>
    <w:rsid w:val="008A6F22"/>
    <w:rsid w:val="008B2BC0"/>
    <w:rsid w:val="008C1926"/>
    <w:rsid w:val="008C445B"/>
    <w:rsid w:val="008D4B64"/>
    <w:rsid w:val="008E0FBC"/>
    <w:rsid w:val="008E3E47"/>
    <w:rsid w:val="008F6C0F"/>
    <w:rsid w:val="009024A2"/>
    <w:rsid w:val="00902928"/>
    <w:rsid w:val="00905936"/>
    <w:rsid w:val="00921929"/>
    <w:rsid w:val="00933EF6"/>
    <w:rsid w:val="00934E4A"/>
    <w:rsid w:val="009731F8"/>
    <w:rsid w:val="00975279"/>
    <w:rsid w:val="00975370"/>
    <w:rsid w:val="0098054E"/>
    <w:rsid w:val="00981FF5"/>
    <w:rsid w:val="00983EE7"/>
    <w:rsid w:val="009908E4"/>
    <w:rsid w:val="00991F60"/>
    <w:rsid w:val="00992EED"/>
    <w:rsid w:val="009B0434"/>
    <w:rsid w:val="009B1001"/>
    <w:rsid w:val="009B2294"/>
    <w:rsid w:val="009B6AD5"/>
    <w:rsid w:val="009C7975"/>
    <w:rsid w:val="009D6BF9"/>
    <w:rsid w:val="009E0334"/>
    <w:rsid w:val="009E72F0"/>
    <w:rsid w:val="009E75C7"/>
    <w:rsid w:val="009F2C9C"/>
    <w:rsid w:val="00A018AE"/>
    <w:rsid w:val="00A059FF"/>
    <w:rsid w:val="00A17761"/>
    <w:rsid w:val="00A22A76"/>
    <w:rsid w:val="00A24790"/>
    <w:rsid w:val="00A26D3B"/>
    <w:rsid w:val="00A43600"/>
    <w:rsid w:val="00A44D85"/>
    <w:rsid w:val="00A51674"/>
    <w:rsid w:val="00A53FDA"/>
    <w:rsid w:val="00A55FFC"/>
    <w:rsid w:val="00A57000"/>
    <w:rsid w:val="00A60A7A"/>
    <w:rsid w:val="00A616A5"/>
    <w:rsid w:val="00A735FC"/>
    <w:rsid w:val="00A74B9C"/>
    <w:rsid w:val="00A76038"/>
    <w:rsid w:val="00A82525"/>
    <w:rsid w:val="00A93F82"/>
    <w:rsid w:val="00A95EEE"/>
    <w:rsid w:val="00AA1C19"/>
    <w:rsid w:val="00AA3619"/>
    <w:rsid w:val="00AA6CE4"/>
    <w:rsid w:val="00AA6DFE"/>
    <w:rsid w:val="00AB41F8"/>
    <w:rsid w:val="00AC3AA9"/>
    <w:rsid w:val="00AC7E70"/>
    <w:rsid w:val="00AD4722"/>
    <w:rsid w:val="00AE1430"/>
    <w:rsid w:val="00AE4159"/>
    <w:rsid w:val="00AF1D4F"/>
    <w:rsid w:val="00B03A93"/>
    <w:rsid w:val="00B1234D"/>
    <w:rsid w:val="00B12F23"/>
    <w:rsid w:val="00B24F58"/>
    <w:rsid w:val="00B330ED"/>
    <w:rsid w:val="00B41E90"/>
    <w:rsid w:val="00B6143F"/>
    <w:rsid w:val="00B677E7"/>
    <w:rsid w:val="00B726A7"/>
    <w:rsid w:val="00B74993"/>
    <w:rsid w:val="00B778D6"/>
    <w:rsid w:val="00B84ED7"/>
    <w:rsid w:val="00B85BE8"/>
    <w:rsid w:val="00BC45BE"/>
    <w:rsid w:val="00BD102B"/>
    <w:rsid w:val="00BD3A93"/>
    <w:rsid w:val="00BE3EFB"/>
    <w:rsid w:val="00BF3228"/>
    <w:rsid w:val="00BF50E6"/>
    <w:rsid w:val="00BF6925"/>
    <w:rsid w:val="00C0285D"/>
    <w:rsid w:val="00C10505"/>
    <w:rsid w:val="00C1070B"/>
    <w:rsid w:val="00C13757"/>
    <w:rsid w:val="00C24CDB"/>
    <w:rsid w:val="00C330C8"/>
    <w:rsid w:val="00C431E4"/>
    <w:rsid w:val="00C44BCF"/>
    <w:rsid w:val="00C70719"/>
    <w:rsid w:val="00C71744"/>
    <w:rsid w:val="00C735EE"/>
    <w:rsid w:val="00C74860"/>
    <w:rsid w:val="00C7599D"/>
    <w:rsid w:val="00C80B7A"/>
    <w:rsid w:val="00C84F1B"/>
    <w:rsid w:val="00C8650A"/>
    <w:rsid w:val="00C876EB"/>
    <w:rsid w:val="00CA5418"/>
    <w:rsid w:val="00CC4A4D"/>
    <w:rsid w:val="00CC749A"/>
    <w:rsid w:val="00CE14DD"/>
    <w:rsid w:val="00D10A17"/>
    <w:rsid w:val="00D2139C"/>
    <w:rsid w:val="00D23FE3"/>
    <w:rsid w:val="00D24CFF"/>
    <w:rsid w:val="00D35B50"/>
    <w:rsid w:val="00D37486"/>
    <w:rsid w:val="00D40C34"/>
    <w:rsid w:val="00D42AF5"/>
    <w:rsid w:val="00D43AA4"/>
    <w:rsid w:val="00D46FF4"/>
    <w:rsid w:val="00D50AFD"/>
    <w:rsid w:val="00D53BA0"/>
    <w:rsid w:val="00D6150D"/>
    <w:rsid w:val="00D618B5"/>
    <w:rsid w:val="00D65978"/>
    <w:rsid w:val="00D71B58"/>
    <w:rsid w:val="00D71E2E"/>
    <w:rsid w:val="00D72C96"/>
    <w:rsid w:val="00D73AFC"/>
    <w:rsid w:val="00D9794A"/>
    <w:rsid w:val="00DA03DF"/>
    <w:rsid w:val="00DA4734"/>
    <w:rsid w:val="00DA7D0D"/>
    <w:rsid w:val="00DB549C"/>
    <w:rsid w:val="00DB7107"/>
    <w:rsid w:val="00DC538F"/>
    <w:rsid w:val="00DC6B70"/>
    <w:rsid w:val="00DC75F0"/>
    <w:rsid w:val="00DC766D"/>
    <w:rsid w:val="00DD3C3A"/>
    <w:rsid w:val="00DE7FD2"/>
    <w:rsid w:val="00E12835"/>
    <w:rsid w:val="00E244EC"/>
    <w:rsid w:val="00E36A50"/>
    <w:rsid w:val="00E46547"/>
    <w:rsid w:val="00E51455"/>
    <w:rsid w:val="00E55210"/>
    <w:rsid w:val="00E63C06"/>
    <w:rsid w:val="00E6428C"/>
    <w:rsid w:val="00E84563"/>
    <w:rsid w:val="00EA3499"/>
    <w:rsid w:val="00EA452B"/>
    <w:rsid w:val="00EA6E5E"/>
    <w:rsid w:val="00EA7AE2"/>
    <w:rsid w:val="00EB29C5"/>
    <w:rsid w:val="00EC4CF1"/>
    <w:rsid w:val="00EC4DFC"/>
    <w:rsid w:val="00ED22C7"/>
    <w:rsid w:val="00ED4E23"/>
    <w:rsid w:val="00ED4F67"/>
    <w:rsid w:val="00EE177C"/>
    <w:rsid w:val="00EE2DF5"/>
    <w:rsid w:val="00F022B1"/>
    <w:rsid w:val="00F05A07"/>
    <w:rsid w:val="00F1727D"/>
    <w:rsid w:val="00F17DAD"/>
    <w:rsid w:val="00F23046"/>
    <w:rsid w:val="00F23E57"/>
    <w:rsid w:val="00F24BB0"/>
    <w:rsid w:val="00F25302"/>
    <w:rsid w:val="00F258DA"/>
    <w:rsid w:val="00F3211B"/>
    <w:rsid w:val="00F37248"/>
    <w:rsid w:val="00F4034F"/>
    <w:rsid w:val="00F45934"/>
    <w:rsid w:val="00F46C44"/>
    <w:rsid w:val="00F47FF5"/>
    <w:rsid w:val="00F555D9"/>
    <w:rsid w:val="00F61920"/>
    <w:rsid w:val="00F733A2"/>
    <w:rsid w:val="00F747A7"/>
    <w:rsid w:val="00F765E8"/>
    <w:rsid w:val="00F92A7C"/>
    <w:rsid w:val="00F93E2E"/>
    <w:rsid w:val="00F94C47"/>
    <w:rsid w:val="00F94FBA"/>
    <w:rsid w:val="00FA1ED9"/>
    <w:rsid w:val="00FA2855"/>
    <w:rsid w:val="00FA3B94"/>
    <w:rsid w:val="00FA64A1"/>
    <w:rsid w:val="00FB24A9"/>
    <w:rsid w:val="00FB3BCC"/>
    <w:rsid w:val="00FB7BB0"/>
    <w:rsid w:val="00FC16FB"/>
    <w:rsid w:val="00FC36DA"/>
    <w:rsid w:val="00FC62A2"/>
    <w:rsid w:val="00FD5EB7"/>
    <w:rsid w:val="00FE421A"/>
    <w:rsid w:val="00FF322A"/>
    <w:rsid w:val="00FF7672"/>
    <w:rsid w:val="00FF774B"/>
    <w:rsid w:val="014E139E"/>
    <w:rsid w:val="019F1125"/>
    <w:rsid w:val="020E7690"/>
    <w:rsid w:val="02D7583C"/>
    <w:rsid w:val="03FC2BB3"/>
    <w:rsid w:val="04136687"/>
    <w:rsid w:val="044425FA"/>
    <w:rsid w:val="04D47B09"/>
    <w:rsid w:val="055B13C6"/>
    <w:rsid w:val="0561353A"/>
    <w:rsid w:val="05A2055E"/>
    <w:rsid w:val="05B97420"/>
    <w:rsid w:val="064E584C"/>
    <w:rsid w:val="06A50582"/>
    <w:rsid w:val="0A487D65"/>
    <w:rsid w:val="0A562CC0"/>
    <w:rsid w:val="0A9E1DBE"/>
    <w:rsid w:val="0AC73701"/>
    <w:rsid w:val="0AF57D6E"/>
    <w:rsid w:val="0B347E95"/>
    <w:rsid w:val="0D7229DF"/>
    <w:rsid w:val="0E9668A3"/>
    <w:rsid w:val="10F22A3F"/>
    <w:rsid w:val="110E45C4"/>
    <w:rsid w:val="11971F54"/>
    <w:rsid w:val="11974322"/>
    <w:rsid w:val="119D6C34"/>
    <w:rsid w:val="12354D7C"/>
    <w:rsid w:val="13325027"/>
    <w:rsid w:val="13D45364"/>
    <w:rsid w:val="14967200"/>
    <w:rsid w:val="167B60C5"/>
    <w:rsid w:val="169A0320"/>
    <w:rsid w:val="16FC3E45"/>
    <w:rsid w:val="17103F37"/>
    <w:rsid w:val="17577C58"/>
    <w:rsid w:val="17E71EE8"/>
    <w:rsid w:val="18150E9B"/>
    <w:rsid w:val="18833D03"/>
    <w:rsid w:val="19722576"/>
    <w:rsid w:val="19D9451F"/>
    <w:rsid w:val="1A8110FB"/>
    <w:rsid w:val="1AB94471"/>
    <w:rsid w:val="1C394C8C"/>
    <w:rsid w:val="1C8017F6"/>
    <w:rsid w:val="1DD73B5E"/>
    <w:rsid w:val="1FBE0B27"/>
    <w:rsid w:val="200D7225"/>
    <w:rsid w:val="203E0319"/>
    <w:rsid w:val="20500384"/>
    <w:rsid w:val="20EA4E9E"/>
    <w:rsid w:val="2172288E"/>
    <w:rsid w:val="21FE5004"/>
    <w:rsid w:val="225D482D"/>
    <w:rsid w:val="226B6E0D"/>
    <w:rsid w:val="22B6614F"/>
    <w:rsid w:val="22C16675"/>
    <w:rsid w:val="22D4018A"/>
    <w:rsid w:val="22FA175C"/>
    <w:rsid w:val="237F632C"/>
    <w:rsid w:val="238743E3"/>
    <w:rsid w:val="23C65B6F"/>
    <w:rsid w:val="24487855"/>
    <w:rsid w:val="25526D3C"/>
    <w:rsid w:val="260C6BFA"/>
    <w:rsid w:val="269F511F"/>
    <w:rsid w:val="275003E7"/>
    <w:rsid w:val="27F520BE"/>
    <w:rsid w:val="280C2893"/>
    <w:rsid w:val="28631CB0"/>
    <w:rsid w:val="28D51B09"/>
    <w:rsid w:val="293F6E6A"/>
    <w:rsid w:val="2A02135C"/>
    <w:rsid w:val="2A0A4B90"/>
    <w:rsid w:val="2AD0163C"/>
    <w:rsid w:val="2ADA43E8"/>
    <w:rsid w:val="2B78701E"/>
    <w:rsid w:val="2B8568E3"/>
    <w:rsid w:val="2C881F8D"/>
    <w:rsid w:val="2CFE2B5E"/>
    <w:rsid w:val="2D39356A"/>
    <w:rsid w:val="2D705F96"/>
    <w:rsid w:val="2DE77124"/>
    <w:rsid w:val="2F0A69D4"/>
    <w:rsid w:val="2FFA1476"/>
    <w:rsid w:val="30843DFF"/>
    <w:rsid w:val="309B5B8B"/>
    <w:rsid w:val="32075619"/>
    <w:rsid w:val="32B86363"/>
    <w:rsid w:val="32EF49A0"/>
    <w:rsid w:val="338E2FA3"/>
    <w:rsid w:val="33CB42D7"/>
    <w:rsid w:val="37364870"/>
    <w:rsid w:val="378A1799"/>
    <w:rsid w:val="37A65163"/>
    <w:rsid w:val="37BE3D6F"/>
    <w:rsid w:val="37F215D4"/>
    <w:rsid w:val="38161C20"/>
    <w:rsid w:val="38702807"/>
    <w:rsid w:val="38FF19AC"/>
    <w:rsid w:val="39235C1E"/>
    <w:rsid w:val="392C45A4"/>
    <w:rsid w:val="395E7B9A"/>
    <w:rsid w:val="39C74BD2"/>
    <w:rsid w:val="3A6D6414"/>
    <w:rsid w:val="3A8F5277"/>
    <w:rsid w:val="3B3F67CA"/>
    <w:rsid w:val="3BB4230B"/>
    <w:rsid w:val="3C1E7BEC"/>
    <w:rsid w:val="3C3E79B0"/>
    <w:rsid w:val="3C544E94"/>
    <w:rsid w:val="3CCF53EF"/>
    <w:rsid w:val="3EEE3C17"/>
    <w:rsid w:val="3F241468"/>
    <w:rsid w:val="41931700"/>
    <w:rsid w:val="41AC4FD9"/>
    <w:rsid w:val="41D73DC9"/>
    <w:rsid w:val="42D11662"/>
    <w:rsid w:val="436F4DDE"/>
    <w:rsid w:val="43E76E71"/>
    <w:rsid w:val="43E84675"/>
    <w:rsid w:val="440A0447"/>
    <w:rsid w:val="445906F7"/>
    <w:rsid w:val="44BE1493"/>
    <w:rsid w:val="45D44DE6"/>
    <w:rsid w:val="46247E07"/>
    <w:rsid w:val="46253621"/>
    <w:rsid w:val="483D22B0"/>
    <w:rsid w:val="48400ECC"/>
    <w:rsid w:val="48626C79"/>
    <w:rsid w:val="48D047E3"/>
    <w:rsid w:val="49D84DFC"/>
    <w:rsid w:val="49ED0675"/>
    <w:rsid w:val="49F467E3"/>
    <w:rsid w:val="4BDC1842"/>
    <w:rsid w:val="4C2943CC"/>
    <w:rsid w:val="4D3560D9"/>
    <w:rsid w:val="4D503978"/>
    <w:rsid w:val="4DA03DC0"/>
    <w:rsid w:val="4DD84745"/>
    <w:rsid w:val="4E1C3E44"/>
    <w:rsid w:val="4E416369"/>
    <w:rsid w:val="4E964335"/>
    <w:rsid w:val="4F6D07D5"/>
    <w:rsid w:val="4FB2199A"/>
    <w:rsid w:val="50F801E7"/>
    <w:rsid w:val="510D7ACD"/>
    <w:rsid w:val="511442DD"/>
    <w:rsid w:val="523F6977"/>
    <w:rsid w:val="52984BBC"/>
    <w:rsid w:val="52BD6ECB"/>
    <w:rsid w:val="53227F3A"/>
    <w:rsid w:val="53232169"/>
    <w:rsid w:val="53481E8F"/>
    <w:rsid w:val="5368260B"/>
    <w:rsid w:val="53C42225"/>
    <w:rsid w:val="54DF6665"/>
    <w:rsid w:val="54ED6E69"/>
    <w:rsid w:val="550575A2"/>
    <w:rsid w:val="56A256C5"/>
    <w:rsid w:val="57334755"/>
    <w:rsid w:val="57CC6CD7"/>
    <w:rsid w:val="58295DFD"/>
    <w:rsid w:val="584B2576"/>
    <w:rsid w:val="58D47FC6"/>
    <w:rsid w:val="59397F7C"/>
    <w:rsid w:val="5A3A562D"/>
    <w:rsid w:val="5AAD204D"/>
    <w:rsid w:val="5AB76F41"/>
    <w:rsid w:val="5AC7672C"/>
    <w:rsid w:val="5CFB533B"/>
    <w:rsid w:val="5E254C8E"/>
    <w:rsid w:val="5EBE6633"/>
    <w:rsid w:val="5EEE1CB2"/>
    <w:rsid w:val="5F4F73EA"/>
    <w:rsid w:val="60376F2B"/>
    <w:rsid w:val="60A26253"/>
    <w:rsid w:val="60D16130"/>
    <w:rsid w:val="61AA0E9B"/>
    <w:rsid w:val="6269152E"/>
    <w:rsid w:val="643C18DB"/>
    <w:rsid w:val="65610BC4"/>
    <w:rsid w:val="66E25BDE"/>
    <w:rsid w:val="66FB4D33"/>
    <w:rsid w:val="687B2118"/>
    <w:rsid w:val="6889265C"/>
    <w:rsid w:val="68DB6F57"/>
    <w:rsid w:val="692F104D"/>
    <w:rsid w:val="69967AEC"/>
    <w:rsid w:val="6A134671"/>
    <w:rsid w:val="6B377EE9"/>
    <w:rsid w:val="6BC7771F"/>
    <w:rsid w:val="6C6A20F6"/>
    <w:rsid w:val="6C846219"/>
    <w:rsid w:val="6D6A0E3A"/>
    <w:rsid w:val="6D7E5BC4"/>
    <w:rsid w:val="6F017D74"/>
    <w:rsid w:val="6F0507BB"/>
    <w:rsid w:val="6F4A0BBC"/>
    <w:rsid w:val="6FEC4B41"/>
    <w:rsid w:val="70251D64"/>
    <w:rsid w:val="71C80D77"/>
    <w:rsid w:val="727A4064"/>
    <w:rsid w:val="72955CF0"/>
    <w:rsid w:val="72BF60C9"/>
    <w:rsid w:val="73074838"/>
    <w:rsid w:val="73E414BE"/>
    <w:rsid w:val="74756408"/>
    <w:rsid w:val="74FD680C"/>
    <w:rsid w:val="75741359"/>
    <w:rsid w:val="75D44EB2"/>
    <w:rsid w:val="75F91221"/>
    <w:rsid w:val="762262A8"/>
    <w:rsid w:val="762D7946"/>
    <w:rsid w:val="775818BC"/>
    <w:rsid w:val="776002DD"/>
    <w:rsid w:val="78D04FE8"/>
    <w:rsid w:val="792D4905"/>
    <w:rsid w:val="79744C6B"/>
    <w:rsid w:val="79C9146B"/>
    <w:rsid w:val="79DC0C95"/>
    <w:rsid w:val="7A082283"/>
    <w:rsid w:val="7AB142A5"/>
    <w:rsid w:val="7B4D59CC"/>
    <w:rsid w:val="7B957718"/>
    <w:rsid w:val="7C4C0D63"/>
    <w:rsid w:val="7D0D4D4E"/>
    <w:rsid w:val="7E2C7F4D"/>
    <w:rsid w:val="7EEA4FEE"/>
    <w:rsid w:val="7F343D15"/>
    <w:rsid w:val="7F83673C"/>
    <w:rsid w:val="7FC87556"/>
    <w:rsid w:val="7FD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24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unhideWhenUsed/>
    <w:qFormat/>
    <w:uiPriority w:val="99"/>
    <w:pPr>
      <w:widowControl/>
      <w:jc w:val="left"/>
    </w:pPr>
    <w:rPr>
      <w:rFonts w:asciiTheme="minorHAnsi" w:hAnsiTheme="minorHAnsi" w:eastAsiaTheme="minorEastAsia"/>
      <w:kern w:val="0"/>
      <w:sz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Light Shading Accent 1"/>
    <w:basedOn w:val="13"/>
    <w:qFormat/>
    <w:uiPriority w:val="60"/>
    <w:rPr>
      <w:color w:val="2F5597" w:themeColor="accent1" w:themeShade="BF"/>
      <w:sz w:val="22"/>
    </w:rPr>
    <w:tblPr>
      <w:tblBorders>
        <w:top w:val="single" w:color="4472C4" w:themeColor="accent1" w:sz="8" w:space="0"/>
        <w:bottom w:val="single" w:color="4472C4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20">
    <w:name w:val="脚注文本 Char"/>
    <w:basedOn w:val="10"/>
    <w:link w:val="8"/>
    <w:qFormat/>
    <w:uiPriority w:val="99"/>
    <w:rPr>
      <w:rFonts w:cs="Times New Roman"/>
      <w:kern w:val="0"/>
      <w:sz w:val="20"/>
      <w:szCs w:val="20"/>
    </w:rPr>
  </w:style>
  <w:style w:type="character" w:customStyle="1" w:styleId="21">
    <w:name w:val="不明显强调1"/>
    <w:basedOn w:val="10"/>
    <w:qFormat/>
    <w:uiPriority w:val="19"/>
    <w:rPr>
      <w:i/>
      <w:iCs/>
    </w:rPr>
  </w:style>
  <w:style w:type="character" w:customStyle="1" w:styleId="22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4">
    <w:name w:val="纯文本 Char"/>
    <w:link w:val="4"/>
    <w:qFormat/>
    <w:uiPriority w:val="0"/>
    <w:rPr>
      <w:rFonts w:ascii="宋体" w:hAnsi="Courier New"/>
    </w:rPr>
  </w:style>
  <w:style w:type="character" w:customStyle="1" w:styleId="25">
    <w:name w:val="纯文本 字符"/>
    <w:basedOn w:val="10"/>
    <w:semiHidden/>
    <w:qFormat/>
    <w:uiPriority w:val="99"/>
    <w:rPr>
      <w:rFonts w:hAnsi="Courier New" w:cs="Courier New" w:asciiTheme="minorEastAsia"/>
      <w:szCs w:val="20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WLM\Desktop\&#22270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2  2020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年居民消费价格月度涨跌幅度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58955223880597"/>
          <c:y val="0.184734745229608"/>
          <c:w val="0.874875621890547"/>
          <c:h val="0.765359614174879"/>
        </c:manualLayout>
      </c:layout>
      <c:lineChart>
        <c:grouping val="standard"/>
        <c:varyColors val="0"/>
        <c:ser>
          <c:idx val="0"/>
          <c:order val="0"/>
          <c:spPr>
            <a:ln w="2222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.04575"/>
                  <c:y val="0.04014837442723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'[图1.xls]3'!$B$1:$M$1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'[图1.xls]3'!$B$2:$M$2</c:f>
              <c:numCache>
                <c:formatCode>General</c:formatCode>
                <c:ptCount val="12"/>
                <c:pt idx="0">
                  <c:v>4.7</c:v>
                </c:pt>
                <c:pt idx="1">
                  <c:v>5.5</c:v>
                </c:pt>
                <c:pt idx="2">
                  <c:v>4.5</c:v>
                </c:pt>
                <c:pt idx="3">
                  <c:v>2.9</c:v>
                </c:pt>
                <c:pt idx="4" c:formatCode="0.0_ ">
                  <c:v>2</c:v>
                </c:pt>
                <c:pt idx="5">
                  <c:v>2.2</c:v>
                </c:pt>
                <c:pt idx="6">
                  <c:v>2.8</c:v>
                </c:pt>
                <c:pt idx="7">
                  <c:v>2.3</c:v>
                </c:pt>
                <c:pt idx="8">
                  <c:v>1.5</c:v>
                </c:pt>
                <c:pt idx="9">
                  <c:v>0.4</c:v>
                </c:pt>
                <c:pt idx="10">
                  <c:v>-0.7</c:v>
                </c:pt>
                <c:pt idx="11">
                  <c:v>-0.7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9245476"/>
        <c:axId val="327160661"/>
      </c:lineChart>
      <c:catAx>
        <c:axId val="60924547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 sz="1200" b="0">
                    <a:latin typeface="宋体" panose="02010600030101010101" charset="-122"/>
                    <a:ea typeface="宋体" panose="02010600030101010101" charset="-122"/>
                  </a:rPr>
                  <a:t>单位：</a:t>
                </a:r>
                <a:r>
                  <a:rPr lang="en-US" altLang="zh-CN" sz="1200" b="0">
                    <a:latin typeface="宋体" panose="02010600030101010101" charset="-122"/>
                    <a:ea typeface="宋体" panose="02010600030101010101" charset="-122"/>
                  </a:rPr>
                  <a:t>%</a:t>
                </a:r>
                <a:endParaRPr lang="en-US" altLang="zh-CN" sz="1200" b="0">
                  <a:latin typeface="宋体" panose="02010600030101010101" charset="-122"/>
                  <a:ea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85547263681592"/>
              <c:y val="0.0798108191364497"/>
            </c:manualLayout>
          </c:layout>
          <c:overlay val="0"/>
        </c:title>
        <c:numFmt formatCode="General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327160661"/>
        <c:crosses val="autoZero"/>
        <c:auto val="1"/>
        <c:lblAlgn val="ctr"/>
        <c:lblOffset val="100"/>
        <c:noMultiLvlLbl val="0"/>
      </c:catAx>
      <c:valAx>
        <c:axId val="32716066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6092454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FA690-48BD-43C8-B868-4ABF668F4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1328</Words>
  <Characters>7570</Characters>
  <Lines>63</Lines>
  <Paragraphs>17</Paragraphs>
  <TotalTime>4</TotalTime>
  <ScaleCrop>false</ScaleCrop>
  <LinksUpToDate>false</LinksUpToDate>
  <CharactersWithSpaces>8881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2018-02-26T03:06:00Z</dcterms:created>
  <dc:creator>Lenovo</dc:creator>
  <cp:lastModifiedBy>张弢</cp:lastModifiedBy>
  <cp:lastPrinted>2021-04-12T07:36:32Z</cp:lastPrinted>
  <dcterms:modified xsi:type="dcterms:W3CDTF">2021-04-12T08:20:18Z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SaveFontToCloudKey">
    <vt:lpwstr>295252764_btnclosed</vt:lpwstr>
  </property>
  <property fmtid="{D5CDD505-2E9C-101B-9397-08002B2CF9AE}" pid="4" name="ICV">
    <vt:lpwstr>6DA40634CCE44E05B82594A9459F75C8</vt:lpwstr>
  </property>
</Properties>
</file>