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  <w:lang w:eastAsia="zh-CN"/>
        </w:rPr>
        <w:t>商务委</w:t>
      </w:r>
      <w:r>
        <w:rPr>
          <w:rFonts w:hint="eastAsia" w:ascii="方正黑体_GBK" w:eastAsia="方正黑体_GBK"/>
          <w:sz w:val="44"/>
          <w:szCs w:val="44"/>
          <w:lang w:val="en-US" w:eastAsia="zh-CN"/>
        </w:rPr>
        <w:t>2020年</w:t>
      </w:r>
      <w:r>
        <w:rPr>
          <w:rFonts w:hint="eastAsia" w:ascii="方正黑体_GBK" w:eastAsia="方正黑体_GBK"/>
          <w:sz w:val="44"/>
          <w:szCs w:val="44"/>
        </w:rPr>
        <w:t>部门整体绩效自评报告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  <w:lang w:eastAsia="zh-CN"/>
        </w:rPr>
        <w:t>一、</w:t>
      </w:r>
      <w:r>
        <w:rPr>
          <w:rFonts w:hint="eastAsia" w:ascii="方正黑体_GBK" w:eastAsia="方正黑体_GBK"/>
          <w:sz w:val="32"/>
          <w:szCs w:val="32"/>
        </w:rPr>
        <w:t>部门单位概况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（一）基本情况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</w:rPr>
        <w:t>职能职责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方正仿宋_GBK" w:cs="方正仿宋_GBK"/>
          <w:strike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（1）</w:t>
      </w:r>
      <w:r>
        <w:rPr>
          <w:rFonts w:hint="eastAsia" w:eastAsia="方正仿宋_GBK" w:cs="方正仿宋_GBK"/>
          <w:sz w:val="32"/>
          <w:szCs w:val="32"/>
        </w:rPr>
        <w:t>贯彻执行国家内外贸易等商务工作的法律、法规、规章和方针政策，落实重庆市相关政策和工作要求；根据国家“一带一路”、长江经济带发展战略和重庆市内外贸易发展战略和规划，拟订本区内外贸易发展规划、计划并组织实施。</w:t>
      </w:r>
    </w:p>
    <w:p>
      <w:pPr>
        <w:topLinePunct/>
        <w:adjustRightInd w:val="0"/>
        <w:snapToGrid w:val="0"/>
        <w:spacing w:line="580" w:lineRule="exact"/>
        <w:ind w:left="0" w:leftChars="0" w:firstLine="838" w:firstLineChars="262"/>
        <w:rPr>
          <w:rFonts w:hint="eastAsia" w:eastAsia="方正仿宋_GBK" w:cs="方正仿宋_GBK"/>
          <w:strike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（2）</w:t>
      </w:r>
      <w:r>
        <w:rPr>
          <w:rFonts w:hint="eastAsia" w:eastAsia="方正仿宋_GBK" w:cs="方正仿宋_GBK"/>
          <w:sz w:val="32"/>
          <w:szCs w:val="32"/>
        </w:rPr>
        <w:t xml:space="preserve">促进贸易发展方式转变，指导和协调本区贸易促进体系的建立；推动企业开拓多元化国际国内市场；推动总部贸易、转口贸易发展；会同有关部门协调大宗进出口商品，组织指导对外贸易促进活动，推进出口基地建设。   </w:t>
      </w:r>
    </w:p>
    <w:p>
      <w:pPr>
        <w:topLinePunct/>
        <w:adjustRightInd w:val="0"/>
        <w:snapToGrid w:val="0"/>
        <w:spacing w:line="580" w:lineRule="exact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    </w:t>
      </w:r>
      <w:r>
        <w:rPr>
          <w:rFonts w:hint="eastAsia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 w:cs="方正仿宋_GBK"/>
          <w:sz w:val="32"/>
          <w:szCs w:val="32"/>
          <w:lang w:eastAsia="zh-CN"/>
        </w:rPr>
        <w:t>）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方正仿宋_GBK"/>
          <w:sz w:val="32"/>
          <w:szCs w:val="32"/>
        </w:rPr>
        <w:t>推动全区服务贸易工作；会同有关部门制定服务贸易的政策措施并组织实施，推动服务外包公共服务平台建设，促进服务外包发展。</w:t>
      </w:r>
    </w:p>
    <w:p>
      <w:pPr>
        <w:topLinePunct/>
        <w:adjustRightInd w:val="0"/>
        <w:snapToGrid w:val="0"/>
        <w:spacing w:line="580" w:lineRule="exact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  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（4）</w:t>
      </w:r>
      <w:r>
        <w:rPr>
          <w:rFonts w:hint="eastAsia" w:eastAsia="方正仿宋_GBK" w:cs="方正仿宋_GBK"/>
          <w:sz w:val="32"/>
          <w:szCs w:val="32"/>
        </w:rPr>
        <w:t>贯彻落实开放型经济发展政策措施，牵头推进开放型平台经济发展；负责商贸领域国际交流与合作，组织本区企业参与“一带一路”沿线国家经济工作，推进本区企业国际产能合作；推动本区与香港、澳门特别行政区及台湾地区的经贸合作工作。</w:t>
      </w:r>
    </w:p>
    <w:p>
      <w:pPr>
        <w:topLinePunct/>
        <w:adjustRightInd w:val="0"/>
        <w:snapToGrid w:val="0"/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  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（5）</w:t>
      </w:r>
      <w:r>
        <w:rPr>
          <w:rFonts w:hint="eastAsia" w:eastAsia="方正仿宋_GBK" w:cs="方正仿宋_GBK"/>
          <w:sz w:val="32"/>
          <w:szCs w:val="32"/>
        </w:rPr>
        <w:t>负责组织实施本区现代市场体系建设；统筹协调城乡商品交易市场、大型商业中心、特色商业街区规划布局；推进流通产业结构调整，促进传统商业转型升级和新兴业态发展；推动连锁经营、特许经营、物流配送等现代商贸流通方式发展。</w:t>
      </w:r>
    </w:p>
    <w:p>
      <w:pPr>
        <w:topLinePunct/>
        <w:adjustRightInd w:val="0"/>
        <w:snapToGrid w:val="0"/>
        <w:spacing w:line="580" w:lineRule="exact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   </w:t>
      </w:r>
      <w:r>
        <w:rPr>
          <w:rFonts w:hint="eastAsia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 w:cs="方正仿宋_GBK"/>
          <w:sz w:val="32"/>
          <w:szCs w:val="32"/>
          <w:lang w:eastAsia="zh-CN"/>
        </w:rPr>
        <w:t>）</w:t>
      </w:r>
      <w:r>
        <w:rPr>
          <w:rFonts w:hint="eastAsia" w:eastAsia="方正仿宋_GBK" w:cs="方正仿宋_GBK"/>
          <w:sz w:val="32"/>
          <w:szCs w:val="32"/>
        </w:rPr>
        <w:t>拟订和实施规范市场运行、流通秩序的政策措施；开展统计监测和综合评价工作；推动商贸领域信用建设；负责商贸领域的行政执法和商务举报投诉受理，参与打击商业欺诈等工作；承担组织协调与进出口公平贸易相关工作的职责，依法实施对外贸易调查和产业损害调查，指导协调产业安全应对工作。</w:t>
      </w:r>
    </w:p>
    <w:p>
      <w:pPr>
        <w:topLinePunct/>
        <w:adjustRightInd w:val="0"/>
        <w:snapToGrid w:val="0"/>
        <w:spacing w:line="580" w:lineRule="exact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 （7）</w:t>
      </w:r>
      <w:r>
        <w:rPr>
          <w:rFonts w:hint="eastAsia" w:eastAsia="方正仿宋_GBK" w:cs="方正仿宋_GBK"/>
          <w:sz w:val="32"/>
          <w:szCs w:val="32"/>
        </w:rPr>
        <w:t xml:space="preserve">负责本区重要消费品市场调控和重要生产资料流通管理；负责建立健全生活必需品市场供应应急机制，按权限负责重要商品储备管理和市场调控工作。    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 w:cs="方正仿宋_GBK"/>
          <w:sz w:val="32"/>
          <w:szCs w:val="32"/>
          <w:lang w:eastAsia="zh-CN"/>
        </w:rPr>
        <w:t>）</w:t>
      </w:r>
      <w:r>
        <w:rPr>
          <w:rFonts w:hint="eastAsia" w:eastAsia="方正仿宋_GBK" w:cs="方正仿宋_GBK"/>
          <w:sz w:val="32"/>
          <w:szCs w:val="32"/>
        </w:rPr>
        <w:t>负责推进本区商贸服务业发展，拟订本区商贸服务业发展规划和政策，贯彻落实商贸服务业法规、标准和规范性文件；按照商贸服务行业发展导向，组织、指导和推进商贸服务行业经营创新；负责推进本区商贸领域品牌建设。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 w:cs="方正仿宋_GBK"/>
          <w:sz w:val="32"/>
          <w:szCs w:val="32"/>
          <w:lang w:eastAsia="zh-CN"/>
        </w:rPr>
        <w:t>）</w:t>
      </w:r>
      <w:r>
        <w:rPr>
          <w:rFonts w:hint="eastAsia" w:eastAsia="方正仿宋_GBK" w:cs="方正仿宋_GBK"/>
          <w:sz w:val="32"/>
          <w:szCs w:val="32"/>
        </w:rPr>
        <w:t xml:space="preserve">负责推进商贸领域供给侧结构性改革，指导流通企业改革和创新发展；负责商贸行业管理，促进商贸企业发展。  </w:t>
      </w:r>
    </w:p>
    <w:p>
      <w:pPr>
        <w:topLinePunct/>
        <w:adjustRightInd w:val="0"/>
        <w:snapToGrid w:val="0"/>
        <w:spacing w:line="580" w:lineRule="exact"/>
        <w:rPr>
          <w:rFonts w:hint="eastAsia" w:eastAsia="方正仿宋_GBK" w:cs="方正仿宋_GBK"/>
          <w:color w:val="00B0F0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    </w:t>
      </w:r>
      <w:r>
        <w:rPr>
          <w:rFonts w:hint="eastAsia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 w:cs="方正仿宋_GBK"/>
          <w:sz w:val="32"/>
          <w:szCs w:val="32"/>
          <w:lang w:eastAsia="zh-CN"/>
        </w:rPr>
        <w:t>）</w:t>
      </w:r>
      <w:r>
        <w:rPr>
          <w:rFonts w:hint="eastAsia" w:eastAsia="方正仿宋_GBK" w:cs="方正仿宋_GBK"/>
          <w:sz w:val="32"/>
          <w:szCs w:val="32"/>
        </w:rPr>
        <w:t>负责拟订电子商务发展政策措施并组织实施；统筹完善电子商务支撑体系建设；推进电子商务领域合作与交流；推进农村电子商务发展；负责实施“互联网</w:t>
      </w:r>
      <w:r>
        <w:rPr>
          <w:rFonts w:eastAsia="方正仿宋_GBK"/>
          <w:sz w:val="32"/>
          <w:szCs w:val="32"/>
        </w:rPr>
        <w:t>+</w:t>
      </w:r>
      <w:r>
        <w:rPr>
          <w:rFonts w:hint="eastAsia" w:eastAsia="方正仿宋_GBK" w:cs="方正仿宋_GBK"/>
          <w:sz w:val="32"/>
          <w:szCs w:val="32"/>
        </w:rPr>
        <w:t>流通”行动计划，推进互联网信息技术在商贸领域的推广应用。</w:t>
      </w:r>
      <w:r>
        <w:rPr>
          <w:rFonts w:eastAsia="方正仿宋_GBK"/>
          <w:sz w:val="32"/>
          <w:szCs w:val="32"/>
        </w:rPr>
        <w:t xml:space="preserve"> </w:t>
      </w:r>
    </w:p>
    <w:p>
      <w:pPr>
        <w:topLinePunct/>
        <w:adjustRightInd w:val="0"/>
        <w:snapToGrid w:val="0"/>
        <w:spacing w:line="580" w:lineRule="exact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   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 w:cs="方正仿宋_GBK"/>
          <w:sz w:val="32"/>
          <w:szCs w:val="32"/>
          <w:lang w:eastAsia="zh-CN"/>
        </w:rPr>
        <w:t>）</w:t>
      </w:r>
      <w:r>
        <w:rPr>
          <w:rFonts w:hint="eastAsia" w:eastAsia="方正仿宋_GBK" w:cs="方正仿宋_GBK"/>
          <w:sz w:val="32"/>
          <w:szCs w:val="32"/>
        </w:rPr>
        <w:t>拟订会展经济发展政策措施并组织实施；建立会展经济指标统计体系和信用评价体系，优化会展行业环境；组织实施境内外大型经贸展览活动，指导和支持品牌展会发展。</w:t>
      </w:r>
    </w:p>
    <w:p>
      <w:pPr>
        <w:topLinePunct/>
        <w:adjustRightInd w:val="0"/>
        <w:snapToGrid w:val="0"/>
        <w:spacing w:line="580" w:lineRule="exact"/>
        <w:ind w:firstLine="640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（12）</w:t>
      </w:r>
      <w:r>
        <w:rPr>
          <w:rFonts w:hint="eastAsia" w:eastAsia="方正仿宋_GBK" w:cs="方正仿宋_GBK"/>
          <w:sz w:val="32"/>
          <w:szCs w:val="32"/>
        </w:rPr>
        <w:t>完成区委、区政府交办的其他任务。</w:t>
      </w:r>
    </w:p>
    <w:p>
      <w:pPr>
        <w:pStyle w:val="2"/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2.</w:t>
      </w:r>
      <w:r>
        <w:rPr>
          <w:rFonts w:hint="eastAsia" w:cs="方正仿宋_GBK"/>
          <w:sz w:val="32"/>
          <w:szCs w:val="32"/>
          <w:lang w:eastAsia="zh-CN"/>
        </w:rPr>
        <w:t>组织架构及人员</w:t>
      </w:r>
    </w:p>
    <w:p>
      <w:pPr>
        <w:pStyle w:val="13"/>
        <w:tabs>
          <w:tab w:val="center" w:pos="4153"/>
          <w:tab w:val="left" w:pos="7275"/>
        </w:tabs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eastAsia="方正仿宋_GBK" w:cs="方正仿宋_GBK"/>
          <w:sz w:val="32"/>
          <w:szCs w:val="32"/>
        </w:rPr>
        <w:t>重庆市万州区商务委员会设下列内设机构：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办公室、党委办公室、规划发展科、运行调节科、消费促进科、市场科、流通科、服务业科、外经贸科、安全信访科。人员编制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40人，实有人数44人。</w:t>
      </w:r>
    </w:p>
    <w:p>
      <w:pPr>
        <w:pStyle w:val="13"/>
        <w:tabs>
          <w:tab w:val="center" w:pos="4153"/>
          <w:tab w:val="left" w:pos="7275"/>
        </w:tabs>
        <w:spacing w:line="600" w:lineRule="exact"/>
        <w:jc w:val="left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3.资产情况：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截至2020年12月31日，单位资产总额（账面净值）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782.57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 xml:space="preserve"> 万元，净资产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434.40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公务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车辆账面数量1辆，账面原值1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8.59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万元，账面净值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15.49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>万元。</w:t>
      </w:r>
    </w:p>
    <w:p>
      <w:pPr>
        <w:numPr>
          <w:ilvl w:val="0"/>
          <w:numId w:val="0"/>
        </w:numPr>
        <w:spacing w:line="540" w:lineRule="exact"/>
        <w:ind w:leftChars="200"/>
        <w:jc w:val="left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（二）</w:t>
      </w:r>
      <w:r>
        <w:rPr>
          <w:rFonts w:hint="eastAsia" w:ascii="方正楷体_GBK" w:eastAsia="方正楷体_GBK"/>
          <w:sz w:val="32"/>
          <w:szCs w:val="32"/>
        </w:rPr>
        <w:t>当年部门(单位)履职总体目标、工作任务</w:t>
      </w:r>
    </w:p>
    <w:p>
      <w:pPr>
        <w:pStyle w:val="15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年批发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零售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业商品销售额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1223.0亿元，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同比增长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8.0%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；住宿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餐饮业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营业额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56.0亿元，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同比增长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%；社会消费品零售总额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342.2亿元，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同比下降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.0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。预计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完成进出口总额3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164.3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%；服务外包离岸执行额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美元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实际利用外资1.3亿美元，同比增长38.0%。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保质保量完成各项任务。一是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防疫情促发展，坚决打赢商务防疫阻击战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按照区委、区政府决策部署，认真落实全区疫情防控应急保障组组长单位责任，积极谋划、主动作为，全力保障了全区疫情防控所需的医用口、防护服、消毒液等防疫物资。加强商贸行业疫情防控工作，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全面落实企业惠企政策，有序推进企业复工复产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事件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二是加大招商引资力度，夯实商务经济基础。不断创新招商方式，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全年实现招商引资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到位资金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亿元。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持续加大重点项目建设，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大力实施“小巨人”工程，积极支持企业做强做大，全区商贸企业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年销售额100亿元以上的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家、10亿元以上的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家，1亿元以上的56家。新增对外贸易备案登记企业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家，总数达29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家。全年新增限上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商贸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企业（个体）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家。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扩内需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促升级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，商贸流通水平全面提升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通过举办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全区“GO购够”主题促销活动，组织开展“春暖花开十个一”“爱尚重庆·约惠夏天”商旅文联动惠民动，有效推动了消费市场回暖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推进核心商圈提质转型，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深入实施“互联网+”行动计划，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电子商务蓬勃发展。四是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稳外资稳外贸，开放型经济稳步增长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全面落实《万州区全面融入共建“一带一路”加快建设内陆开放高地行动计划实施方案》，大力推进内陆开放高地建设，加快建设三峡库区对外开放东向门户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全年完成进出口总额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同比增长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164.3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有序推进平台建设，综保区于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2021年1月获批。五是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强供应保民生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，商务惠民实效持续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深化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健全完善市场监测机制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，确保市场供应全面保障。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深入推进精准扶贫，切实做好龙沙镇帮扶集团牵头工作，巩固提升脱贫成果，扎实开展“百日大会战”工作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举办“消费扶贫产品金秋展销会”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“党员直播带货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‘渝’你抗疫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互农活动，脱贫攻坚成效显著。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tabs>
          <w:tab w:val="left" w:pos="828"/>
        </w:tabs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left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当年部门(单位)年度整体支出绩效目标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根据《2020年部门整体支出绩效评价情况表》设定绩效目标，设置“投入、过程、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专项指标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个一级指标，指标分值权重分别为：5%、25%、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%；并将其分解为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个二级指标，分别为预算配置、预算执行、预算管理、资产管理、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专项指标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，同时将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个二级指标细化分解为2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个三级指标。</w:t>
      </w:r>
    </w:p>
    <w:p>
      <w:pPr>
        <w:numPr>
          <w:ilvl w:val="0"/>
          <w:numId w:val="0"/>
        </w:numPr>
        <w:spacing w:line="540" w:lineRule="exact"/>
        <w:ind w:leftChars="200"/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部门(单位)预算绩效管理开展情况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牢固树立过紧日子的思想，严格按照国家、市、区关于预算绩效管理相关规定开展工作，认真贯彻落实《中共中央 国务院关于全面实施预算绩效管理的意见》重大部署，结合实际制定《区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关管理制度》（含财务管理制度）、《内部控制制度》等相关制度文件，使预算绩效管理工作做到有章可循、有制度可依、按制度办事；按照区财政局相关要求设定绩效目标，认真组织开展绩效自评工作，年度预算绩效管理更加规范。</w:t>
      </w:r>
    </w:p>
    <w:p>
      <w:pPr>
        <w:spacing w:line="54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当年部门(单位)预算及执行情况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</w:rPr>
        <w:t>2020年一般公共预算财政拨款收入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1866.69</w:t>
      </w:r>
      <w:r>
        <w:rPr>
          <w:rFonts w:hint="eastAsia" w:ascii="方正仿宋_GBK" w:hAnsi="方正仿宋_GBK" w:eastAsia="方正仿宋_GBK" w:cs="方正仿宋_GBK"/>
          <w:sz w:val="32"/>
        </w:rPr>
        <w:t>万元，一般公共预算财政拨款支出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1866.69</w:t>
      </w:r>
      <w:r>
        <w:rPr>
          <w:rFonts w:hint="eastAsia" w:ascii="方正仿宋_GBK" w:hAnsi="方正仿宋_GBK" w:eastAsia="方正仿宋_GBK" w:cs="方正仿宋_GBK"/>
          <w:sz w:val="32"/>
        </w:rPr>
        <w:t xml:space="preserve"> 万元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</w:rPr>
        <w:t>其中：基本支出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1026.69</w:t>
      </w:r>
      <w:r>
        <w:rPr>
          <w:rFonts w:hint="eastAsia" w:ascii="方正仿宋_GBK" w:hAnsi="方正仿宋_GBK" w:eastAsia="方正仿宋_GBK" w:cs="方正仿宋_GBK"/>
          <w:sz w:val="32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基本支出</w:t>
      </w:r>
      <w:r>
        <w:rPr>
          <w:rFonts w:hint="eastAsia" w:ascii="方正仿宋_GBK" w:hAnsi="方正仿宋_GBK" w:eastAsia="方正仿宋_GBK" w:cs="方正仿宋_GBK"/>
          <w:sz w:val="32"/>
        </w:rPr>
        <w:t>主要用于保障在职人员工资福利及社会保险缴费，离休人员离休费，退休人员补助等，保障部门正常运转的各项商品服务支出；项目支出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840</w:t>
      </w:r>
      <w:r>
        <w:rPr>
          <w:rFonts w:hint="eastAsia" w:ascii="方正仿宋_GBK" w:hAnsi="方正仿宋_GBK" w:eastAsia="方正仿宋_GBK" w:cs="方正仿宋_GBK"/>
          <w:sz w:val="32"/>
        </w:rPr>
        <w:t>万元，主要用于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商贸流通事务</w:t>
      </w:r>
      <w:r>
        <w:rPr>
          <w:rFonts w:hint="eastAsia" w:ascii="方正仿宋_GBK" w:hAnsi="方正仿宋_GBK" w:eastAsia="方正仿宋_GBK" w:cs="方正仿宋_GBK"/>
          <w:sz w:val="32"/>
        </w:rPr>
        <w:t>等重点工作。</w:t>
      </w:r>
    </w:p>
    <w:p>
      <w:pPr>
        <w:pStyle w:val="2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2020年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预算执行情况：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0</w:t>
      </w:r>
      <w:r>
        <w:rPr>
          <w:rFonts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</w:rPr>
        <w:t>年年初预算数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1866.69</w:t>
      </w:r>
      <w:r>
        <w:rPr>
          <w:rFonts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万元，其中：一般公共服务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709.31</w:t>
      </w:r>
      <w:r>
        <w:rPr>
          <w:rFonts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万元，社会保障和就业</w:t>
      </w:r>
      <w:r>
        <w:rPr>
          <w:rFonts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163.40</w:t>
      </w:r>
      <w:r>
        <w:rPr>
          <w:rFonts w:hint="eastAsia" w:ascii="仿宋_GB2312" w:hAnsi="仿宋_GB2312" w:eastAsia="仿宋_GB2312" w:cs="仿宋_GB2312"/>
          <w:sz w:val="32"/>
        </w:rPr>
        <w:t>万元，卫生健康支出</w:t>
      </w:r>
      <w:r>
        <w:rPr>
          <w:rFonts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107.30</w:t>
      </w:r>
      <w:r>
        <w:rPr>
          <w:rFonts w:hint="eastAsia" w:ascii="仿宋_GB2312" w:hAnsi="仿宋_GB2312" w:eastAsia="仿宋_GB2312" w:cs="仿宋_GB2312"/>
          <w:sz w:val="32"/>
        </w:rPr>
        <w:t>万元，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商业服务业等支出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840万元，</w:t>
      </w:r>
      <w:r>
        <w:rPr>
          <w:rFonts w:hint="eastAsia" w:ascii="仿宋_GB2312" w:hAnsi="仿宋_GB2312" w:eastAsia="仿宋_GB2312" w:cs="仿宋_GB2312"/>
          <w:sz w:val="32"/>
        </w:rPr>
        <w:t>住房保障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46.68</w:t>
      </w:r>
      <w:r>
        <w:rPr>
          <w:rFonts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>
      <w:pPr>
        <w:spacing w:line="54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</w:t>
      </w:r>
      <w:r>
        <w:rPr>
          <w:rFonts w:hint="eastAsia" w:ascii="方正黑体_GBK" w:eastAsia="方正黑体_GBK"/>
          <w:sz w:val="32"/>
          <w:szCs w:val="32"/>
        </w:rPr>
        <w:t>绩效实现情况</w:t>
      </w:r>
    </w:p>
    <w:p>
      <w:pPr>
        <w:spacing w:line="54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（一）履职完成情况</w:t>
      </w:r>
    </w:p>
    <w:p>
      <w:pPr>
        <w:pStyle w:val="14"/>
        <w:widowControl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1.招商互动持续加大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我委</w:t>
      </w:r>
      <w:r>
        <w:rPr>
          <w:rFonts w:ascii="Times New Roman" w:hAnsi="Times New Roman" w:eastAsia="方正仿宋_GBK"/>
          <w:kern w:val="2"/>
          <w:sz w:val="32"/>
          <w:szCs w:val="32"/>
        </w:rPr>
        <w:t>始终把招商引资作为繁荣商贸的重要抓手，</w:t>
      </w:r>
      <w:r>
        <w:rPr>
          <w:rFonts w:ascii="Times New Roman" w:hAnsi="Times New Roman" w:eastAsia="方正仿宋_GBK"/>
          <w:sz w:val="32"/>
          <w:szCs w:val="32"/>
        </w:rPr>
        <w:t>坚持招商力度不减，努力克服疫情影响，创新招商方式方法，与新城控股、红星美凯龙、砂之船奥特莱斯等企业长期保持良好沟通，积极寻求适合我区发展的项目落地。组织专人组团多次赴上海、南宁、成都等地对环球港、澳加粮油等多个项目进行实地考察。全年接待月星集团、红星美凯龙、新城控股、蚂蚁金服等20余家企业100余人次。全年实现招商引资到位资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2.1</w:t>
      </w:r>
      <w:r>
        <w:rPr>
          <w:rFonts w:ascii="Times New Roman" w:hAnsi="Times New Roman" w:eastAsia="方正仿宋_GBK"/>
          <w:sz w:val="32"/>
          <w:szCs w:val="32"/>
        </w:rPr>
        <w:t>亿元。</w:t>
      </w:r>
    </w:p>
    <w:p>
      <w:pPr>
        <w:pStyle w:val="14"/>
        <w:widowControl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2.重点项目稳步推进。</w:t>
      </w:r>
      <w:r>
        <w:rPr>
          <w:rFonts w:ascii="Times New Roman" w:hAnsi="Times New Roman" w:eastAsia="方正仿宋_GBK"/>
          <w:sz w:val="32"/>
          <w:szCs w:val="32"/>
        </w:rPr>
        <w:t>持续为重点项目服务，加大与各部门对接沟通，协调解决项目建设中遇到的各种困难和问题，稳步推动项目顺利实施。三峡国际农产品集散基地项目已完成一期建设，并于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去年</w:t>
      </w:r>
      <w:r>
        <w:rPr>
          <w:rFonts w:ascii="Times New Roman" w:hAnsi="Times New Roman" w:eastAsia="方正仿宋_GBK"/>
          <w:sz w:val="32"/>
          <w:szCs w:val="32"/>
        </w:rPr>
        <w:t>12月15日正式开街，项目二期已于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去年</w:t>
      </w:r>
      <w:r>
        <w:rPr>
          <w:rFonts w:ascii="Times New Roman" w:hAnsi="Times New Roman" w:eastAsia="方正仿宋_GBK"/>
          <w:sz w:val="32"/>
          <w:szCs w:val="32"/>
        </w:rPr>
        <w:t>4月开工，目前正有序推进建设工作。友豪万商城项目二期已完成场坪工程。万州环球港正开展土地招拍挂前期工作。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市场主体不断壮大。</w:t>
      </w:r>
      <w:r>
        <w:rPr>
          <w:rFonts w:ascii="Times New Roman" w:hAnsi="Times New Roman" w:eastAsia="方正仿宋_GBK"/>
          <w:kern w:val="0"/>
          <w:sz w:val="32"/>
          <w:szCs w:val="32"/>
        </w:rPr>
        <w:t>大力实施“小巨人”工程，积极支持企业做强做大，全区商贸企业</w:t>
      </w:r>
      <w:r>
        <w:rPr>
          <w:rFonts w:ascii="Times New Roman" w:hAnsi="Times New Roman" w:eastAsia="方正仿宋_GBK"/>
          <w:sz w:val="32"/>
          <w:szCs w:val="32"/>
        </w:rPr>
        <w:t>年销售额100亿元以上的3家、10亿元以上的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</w:rPr>
        <w:t>家，1亿元以上的56家。新增对外贸易备案登记企业1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家，总数达29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家。加大限上商贸企业培育力度，全年新增限上商贸企业（个体）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132</w:t>
      </w:r>
      <w:r>
        <w:rPr>
          <w:rFonts w:ascii="Times New Roman" w:hAnsi="Times New Roman" w:eastAsia="方正仿宋_GBK"/>
          <w:sz w:val="32"/>
          <w:szCs w:val="32"/>
        </w:rPr>
        <w:t>家。商务市场主体支撑作用增强，限上商贸企业商品销售总额占全区商品销售总额</w:t>
      </w:r>
      <w:r>
        <w:rPr>
          <w:rFonts w:hint="eastAsia" w:ascii="Times New Roman" w:hAnsi="Times New Roman" w:eastAsia="方正仿宋_GBK"/>
          <w:sz w:val="32"/>
          <w:szCs w:val="32"/>
        </w:rPr>
        <w:t>的7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3.5</w:t>
      </w:r>
      <w:r>
        <w:rPr>
          <w:rFonts w:hint="eastAsia" w:ascii="Times New Roman" w:hAnsi="Times New Roman" w:eastAsia="方正仿宋_GBK"/>
          <w:sz w:val="32"/>
          <w:szCs w:val="32"/>
        </w:rPr>
        <w:t>%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pStyle w:val="14"/>
        <w:widowControl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4.会展经济如火如荼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成功举办三峡柑橘国际交易会、三峡库区春秋季汽车消费展、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三峡美食文化节暨万州烤鱼节、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消费扶贫农特产品展示展销会等1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9</w:t>
      </w:r>
      <w:r>
        <w:rPr>
          <w:rFonts w:ascii="Times New Roman" w:hAnsi="Times New Roman" w:eastAsia="方正仿宋_GBK"/>
          <w:color w:val="000000"/>
          <w:sz w:val="32"/>
          <w:szCs w:val="32"/>
        </w:rPr>
        <w:t>场展会活动，累计实现现场交易额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25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亿元，拉动社会消费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200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亿元。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电商发展态势良好。</w:t>
      </w:r>
      <w:r>
        <w:rPr>
          <w:rFonts w:ascii="Times New Roman" w:hAnsi="Times New Roman" w:eastAsia="方正仿宋_GBK"/>
          <w:sz w:val="32"/>
          <w:szCs w:val="32"/>
        </w:rPr>
        <w:t>深入实施“互联网+”行动计划，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引导</w:t>
      </w:r>
      <w:r>
        <w:rPr>
          <w:rFonts w:ascii="Times New Roman" w:hAnsi="Times New Roman" w:eastAsia="方正仿宋_GBK"/>
          <w:sz w:val="32"/>
          <w:szCs w:val="32"/>
        </w:rPr>
        <w:t>本地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18家</w:t>
      </w:r>
      <w:r>
        <w:rPr>
          <w:rFonts w:ascii="Times New Roman" w:hAnsi="Times New Roman" w:eastAsia="方正仿宋_GBK"/>
          <w:sz w:val="32"/>
          <w:szCs w:val="32"/>
        </w:rPr>
        <w:t>电商企业建立农产品网上销售平台。与阿里巴巴、京东达成合作协议，挂网销售玫瑰香橙、万州柠檬、蜂蜜、麻花等扶贫产品108种。全年实现农产品网络零售额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25亿元</w:t>
      </w:r>
      <w:r>
        <w:rPr>
          <w:rFonts w:ascii="Times New Roman" w:hAnsi="Times New Roman" w:eastAsia="方正仿宋_GBK"/>
          <w:sz w:val="32"/>
          <w:szCs w:val="32"/>
        </w:rPr>
        <w:t>。成功举办2020三峡柑橘国际网上交易节，实现销售额达1.5亿元。创新电商模式，开展直播带货，全年累计开展直播带货1500余场次，直播品种2500余个，实现网上直播销售额</w:t>
      </w:r>
      <w:r>
        <w:rPr>
          <w:rFonts w:hint="eastAsia" w:ascii="Times New Roman" w:hAnsi="Times New Roman" w:eastAsia="方正仿宋_GBK"/>
          <w:sz w:val="32"/>
          <w:szCs w:val="32"/>
        </w:rPr>
        <w:t>超</w:t>
      </w:r>
      <w:r>
        <w:rPr>
          <w:rFonts w:ascii="Times New Roman" w:hAnsi="Times New Roman" w:eastAsia="方正仿宋_GBK"/>
          <w:sz w:val="32"/>
          <w:szCs w:val="32"/>
        </w:rPr>
        <w:t>1.2亿元。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消费供给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结构优化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有序推进高笋塘商圈4个重点项目和6个重点事项建设，积极申报高笋塘核心区为市级新服务业集聚区。支持实体零售企业开展网络直播、移动支付、线上线下融合等新业态新模式为特征的新型消费</w:t>
      </w:r>
      <w:r>
        <w:rPr>
          <w:rFonts w:ascii="Times New Roman" w:hAnsi="Times New Roman" w:eastAsia="方正仿宋_GBK"/>
          <w:kern w:val="0"/>
          <w:sz w:val="32"/>
          <w:szCs w:val="32"/>
        </w:rPr>
        <w:t>模式。</w:t>
      </w:r>
      <w:r>
        <w:rPr>
          <w:rFonts w:ascii="Times New Roman" w:hAnsi="Times New Roman" w:eastAsia="方正仿宋_GBK"/>
          <w:sz w:val="32"/>
          <w:szCs w:val="32"/>
        </w:rPr>
        <w:t>推动连锁化社区超市建设，今年新建家益超市社区店7家。</w:t>
      </w:r>
      <w:r>
        <w:rPr>
          <w:rFonts w:ascii="Times New Roman" w:hAnsi="Times New Roman" w:eastAsia="方正仿宋_GBK"/>
          <w:kern w:val="0"/>
          <w:sz w:val="32"/>
          <w:szCs w:val="32"/>
        </w:rPr>
        <w:t>推动菜市场改造升级，改建甘家院菜市场等3个城区菜市场。</w:t>
      </w:r>
      <w:r>
        <w:rPr>
          <w:rFonts w:ascii="Times New Roman" w:hAnsi="Times New Roman" w:eastAsia="方正仿宋_GBK"/>
          <w:sz w:val="32"/>
          <w:szCs w:val="32"/>
        </w:rPr>
        <w:t>大力实施“品牌带动战略”，今年</w:t>
      </w:r>
      <w:r>
        <w:rPr>
          <w:rFonts w:ascii="Times New Roman" w:hAnsi="Times New Roman" w:eastAsia="方正仿宋_GBK"/>
          <w:kern w:val="0"/>
          <w:sz w:val="32"/>
          <w:szCs w:val="32"/>
        </w:rPr>
        <w:t>新</w:t>
      </w:r>
      <w:r>
        <w:rPr>
          <w:rFonts w:ascii="Times New Roman" w:hAnsi="Times New Roman" w:eastAsia="方正仿宋_GBK"/>
          <w:sz w:val="32"/>
          <w:szCs w:val="32"/>
        </w:rPr>
        <w:t>培育重庆市三星级农家乐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家、“万州餐饮名店(名火锅)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家、“万州名菜(名小吃)”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ascii="Times New Roman" w:hAnsi="Times New Roman" w:eastAsia="方正仿宋_GBK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对外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经贸稳步增长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认真落实全市稳外贸稳外资有关政策措施，积极培育外贸新增长点，新增对外贸易备案登记企业1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家，总数达29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家。积极拓展总部贸易、跨境电商等外贸新方式，全年完成进出口总额3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9.8</w:t>
      </w:r>
      <w:r>
        <w:rPr>
          <w:rFonts w:ascii="Times New Roman" w:hAnsi="Times New Roman" w:eastAsia="方正仿宋_GBK"/>
          <w:sz w:val="32"/>
          <w:szCs w:val="32"/>
        </w:rPr>
        <w:t>亿元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同比增长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183.4</w:t>
      </w:r>
      <w:r>
        <w:rPr>
          <w:rFonts w:ascii="Times New Roman" w:hAnsi="Times New Roman" w:eastAsia="方正仿宋_GBK"/>
          <w:sz w:val="32"/>
          <w:szCs w:val="32"/>
        </w:rPr>
        <w:t>%。</w:t>
      </w:r>
      <w:r>
        <w:rPr>
          <w:rFonts w:ascii="Times New Roman" w:hAnsi="Times New Roman" w:eastAsia="方正仿宋_GBK"/>
          <w:kern w:val="2"/>
          <w:sz w:val="32"/>
          <w:szCs w:val="32"/>
        </w:rPr>
        <w:t>持续推进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平台经济建设，</w:t>
      </w:r>
      <w:r>
        <w:rPr>
          <w:rFonts w:ascii="Times New Roman" w:hAnsi="Times New Roman" w:eastAsia="方正仿宋_GBK"/>
          <w:kern w:val="2"/>
          <w:sz w:val="32"/>
          <w:szCs w:val="32"/>
        </w:rPr>
        <w:t>万州综合保税区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2021年1月15日</w:t>
      </w:r>
      <w:r>
        <w:rPr>
          <w:rFonts w:hint="eastAsia" w:ascii="Times New Roman" w:hAnsi="Times New Roman" w:eastAsia="方正仿宋_GBK"/>
          <w:sz w:val="32"/>
          <w:szCs w:val="32"/>
        </w:rPr>
        <w:t>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国务院审批。</w:t>
      </w:r>
      <w:r>
        <w:rPr>
          <w:rFonts w:ascii="Times New Roman" w:hAnsi="Times New Roman" w:eastAsia="方正仿宋_GBK"/>
          <w:kern w:val="2"/>
          <w:sz w:val="32"/>
          <w:szCs w:val="32"/>
        </w:rPr>
        <w:t>充分发挥万州保税物流中心（A型）作用，支持万州保税进口展示展销中心在周边区县设立延展网点，扩大保税进口规模。成功举办“外贸优品汇，扮靓步行街活动（万州）”，累计销售金额230余万元。</w:t>
      </w:r>
    </w:p>
    <w:p>
      <w:pPr>
        <w:tabs>
          <w:tab w:val="left" w:pos="828"/>
        </w:tabs>
        <w:spacing w:line="600" w:lineRule="exact"/>
        <w:ind w:firstLine="640" w:firstLineChars="200"/>
        <w:rPr>
          <w:rFonts w:ascii="Times New Roman" w:hAnsi="Times New Roman" w:eastAsia="方正仿宋_GBK"/>
          <w:color w:val="0000FF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8.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市场供应全面保障。</w:t>
      </w:r>
      <w:r>
        <w:rPr>
          <w:rFonts w:ascii="Times New Roman" w:hAnsi="Times New Roman" w:eastAsia="方正仿宋_GBK"/>
          <w:sz w:val="32"/>
          <w:szCs w:val="32"/>
        </w:rPr>
        <w:t>健全完善市场监测机制，加强粮、油、肉、蔬菜等生活必需品和成品油等重要商品的购销存价格动态监测。建立健全生活必需品和重要生活物资储备机制，完成医用口罩、应急灯、方便食品等44类应急物资储备。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切实保障疫情期间生活必需品市场供应，</w:t>
      </w:r>
      <w:r>
        <w:rPr>
          <w:rFonts w:ascii="Times New Roman" w:hAnsi="Times New Roman" w:eastAsia="方正仿宋_GBK"/>
          <w:sz w:val="32"/>
          <w:szCs w:val="32"/>
        </w:rPr>
        <w:t>启动生活必需品市场日监测制度，引导商贸企业扩大商品库存，同时引导全区50余家大型商超、餐饮企业提供“无接触配送”服务，全区生活必需品市场供应充足，没有发生断档、脱销情况。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脱贫攻坚卓有成效。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切实做好龙沙镇帮扶集团牵头工作，聚焦“两不愁三保障”，多渠道确保稳岗就业，稳定增收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深入推进东西部协作消费扶贫工作，在济宁成功举办“鲁渝一家亲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万州农特产品推介会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”等系列展会活动，开设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7个万州扶贫产品专柜，设立万州扶贫产品直采中心。成功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举办“消费扶贫产品金秋展销会”等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28场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消费扶贫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活动，开展专场直播带货活动95场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全区消费扶贫实现扶贫产品销售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额超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亿元，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其中东西部协作消费扶贫销售万州扶贫产品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2047万元。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eastAsia="方正楷体_GBK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市场环境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安稳有序。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</w:rPr>
        <w:t>按照“党政同责、一岗双责”的要求</w:t>
      </w:r>
      <w:r>
        <w:rPr>
          <w:rFonts w:hint="eastAsia" w:ascii="Times New Roman" w:hAnsi="Times New Roman" w:cs="方正仿宋_GBK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</w:rPr>
        <w:t>全面落实商贸企业安全生产目标责任制</w:t>
      </w:r>
      <w:r>
        <w:rPr>
          <w:rFonts w:hint="eastAsia" w:ascii="Times New Roman" w:cs="方正仿宋_GBK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</w:rPr>
        <w:t>强化监督管理，持续深入开展安全隐患排查整</w:t>
      </w:r>
      <w:r>
        <w:rPr>
          <w:rFonts w:hint="eastAsia" w:cs="方正仿宋_GBK"/>
          <w:color w:val="000000"/>
          <w:sz w:val="32"/>
          <w:szCs w:val="32"/>
          <w:highlight w:val="none"/>
          <w:lang w:eastAsia="zh-CN"/>
        </w:rPr>
        <w:t>治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牵头有关部门和有关单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位集中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对小天鹅市场、商贸城、银河市场、中天广场、机电城等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家专业市场开展了消防安全专项整治，取得明显成效。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</w:rPr>
        <w:t>全年开展安全检查199次完成隐患整改252个，整改率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</w:rPr>
        <w:t>%。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全年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共受理群众来信来访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166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批次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280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人次，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受理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回复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重庆市网上信访信息系统信访事项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件、重庆市群工系统网上信访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件、网络舆情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101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件、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市长公开信箱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件，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排查重点矛盾纠纷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起（其中重大不稳定因素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起），</w:t>
      </w:r>
      <w:r>
        <w:rPr>
          <w:rFonts w:hint="default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全年系统未发生上市进京上访、集访等信访事件，确保了全系统的安全稳定。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履职效果情况</w:t>
      </w:r>
    </w:p>
    <w:p>
      <w:pPr>
        <w:tabs>
          <w:tab w:val="left" w:pos="852"/>
        </w:tabs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一是获得较好的经济效益。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2020年，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批发零售业商品销售额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1169.3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%；住宿餐饮业营业额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53.5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亿元，同比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%；社会消费品零售总额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345.8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亿元，同比下降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.0%。2020年完成进出口总额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183.4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%；服务外包离岸执行额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10554万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美元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6.3%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；实际利用外资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12775万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美元，同比增长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二是获得较好的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社会效益。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抓实招商引资、脱贫攻坚等工作，进一步优化营商环境，有力支持对接帮扶的龙沙镇发展脱贫产业；落实40条、45条惠企政策，抓牢“六稳”“六保”，保障民生改善；尽快复市复消，提振市民消费信心，帮助企业渡过了难关。</w:t>
      </w:r>
    </w:p>
    <w:p>
      <w:pPr>
        <w:pStyle w:val="8"/>
        <w:numPr>
          <w:ilvl w:val="0"/>
          <w:numId w:val="0"/>
        </w:numPr>
        <w:ind w:left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社会满意度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社会公众及服务对象对本单位的各项工作的认可度、满意度较高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800" w:firstLineChars="25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三、绩效中存在问题及改进措施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本单位在部门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整体绩效管理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工作上，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主要存在预算编制工作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的科学化精细化程度有待提高、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监督管理工作效率有待进一步提升、资金绩效管理制度执行力有待加强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改进的方向和具体措施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本单位将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在今后工作中进一步加强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整体绩效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管理，严格控制各项经费开支，提高经费使用效率。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细化预算编制工作，严格按照预算编制的相关制度和要求做好预算编制，进一步加强各科室的预算管理意识，进一步提高预算编制的科学性、严谨性和可控性。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加强预算执行的监督管理，增强预算约束力。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进一步完善部门整体绩效评价体系，加强对绩效管理工作的跟踪督查，做到绩效管理有制度、有依据、按程序，实现绩效管理的规范化、常态化。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综合以上各项指标，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部门整体绩效自我评价得分为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高度重视绩效评价结果的应用工作，积极探索和建立有效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的绩效评价结果应用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机制，着力提高绩效意识和财政资金使用效益。同时，将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本年度的部门整体绩效自评报告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门户网站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区物流办子网页相关栏目中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进行公开，广泛接受社会监督。</w:t>
      </w: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ind w:firstLine="4960" w:firstLineChars="16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万州区商务委</w:t>
      </w:r>
    </w:p>
    <w:p>
      <w:pPr>
        <w:pStyle w:val="3"/>
        <w:ind w:firstLine="4960" w:firstLineChars="16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2021.3.24</w:t>
      </w: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</w:pP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FFA66"/>
    <w:multiLevelType w:val="singleLevel"/>
    <w:tmpl w:val="D72FFA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3E39"/>
    <w:rsid w:val="00B1368A"/>
    <w:rsid w:val="01456793"/>
    <w:rsid w:val="01516120"/>
    <w:rsid w:val="015F33F7"/>
    <w:rsid w:val="019368C6"/>
    <w:rsid w:val="01AF3ABE"/>
    <w:rsid w:val="01F304E5"/>
    <w:rsid w:val="02055DC3"/>
    <w:rsid w:val="02722964"/>
    <w:rsid w:val="02AF63B5"/>
    <w:rsid w:val="02B43C73"/>
    <w:rsid w:val="03BE383C"/>
    <w:rsid w:val="03E71292"/>
    <w:rsid w:val="041E608B"/>
    <w:rsid w:val="04552ADA"/>
    <w:rsid w:val="058C5E3F"/>
    <w:rsid w:val="06AF0CEE"/>
    <w:rsid w:val="07E93701"/>
    <w:rsid w:val="086D3626"/>
    <w:rsid w:val="086F186E"/>
    <w:rsid w:val="08CB75F3"/>
    <w:rsid w:val="09326491"/>
    <w:rsid w:val="0966174C"/>
    <w:rsid w:val="0A1830F8"/>
    <w:rsid w:val="0A7B437D"/>
    <w:rsid w:val="0A7B54ED"/>
    <w:rsid w:val="0A820AC8"/>
    <w:rsid w:val="0ADB738B"/>
    <w:rsid w:val="0B24602A"/>
    <w:rsid w:val="0B7B5C11"/>
    <w:rsid w:val="0B93099B"/>
    <w:rsid w:val="0BBF12D5"/>
    <w:rsid w:val="0BDB3B7B"/>
    <w:rsid w:val="0BDB64B4"/>
    <w:rsid w:val="0BF412B0"/>
    <w:rsid w:val="0C0575F4"/>
    <w:rsid w:val="0D0F2C64"/>
    <w:rsid w:val="0E1C6261"/>
    <w:rsid w:val="0E7A73D8"/>
    <w:rsid w:val="0F1677D6"/>
    <w:rsid w:val="0F4B0306"/>
    <w:rsid w:val="0F86526F"/>
    <w:rsid w:val="0F870D27"/>
    <w:rsid w:val="0FB5652E"/>
    <w:rsid w:val="10496D84"/>
    <w:rsid w:val="10EB7BC7"/>
    <w:rsid w:val="1101075F"/>
    <w:rsid w:val="113F23BF"/>
    <w:rsid w:val="115445EB"/>
    <w:rsid w:val="116A6AC9"/>
    <w:rsid w:val="11F124C5"/>
    <w:rsid w:val="13444D94"/>
    <w:rsid w:val="135C065E"/>
    <w:rsid w:val="13904FA8"/>
    <w:rsid w:val="13C209E6"/>
    <w:rsid w:val="142803C2"/>
    <w:rsid w:val="149E63E1"/>
    <w:rsid w:val="14B046F2"/>
    <w:rsid w:val="151634DC"/>
    <w:rsid w:val="151F5C82"/>
    <w:rsid w:val="1571021E"/>
    <w:rsid w:val="15781372"/>
    <w:rsid w:val="15D30207"/>
    <w:rsid w:val="163D6137"/>
    <w:rsid w:val="165716DF"/>
    <w:rsid w:val="16DF72ED"/>
    <w:rsid w:val="173F2B3F"/>
    <w:rsid w:val="17D063CB"/>
    <w:rsid w:val="17FE0A6D"/>
    <w:rsid w:val="194555EA"/>
    <w:rsid w:val="1A134130"/>
    <w:rsid w:val="1A5651EA"/>
    <w:rsid w:val="1A711FE5"/>
    <w:rsid w:val="1A766C03"/>
    <w:rsid w:val="1AE7770F"/>
    <w:rsid w:val="1AEA3331"/>
    <w:rsid w:val="1AEE6B0C"/>
    <w:rsid w:val="1B4C181B"/>
    <w:rsid w:val="1B5F0D02"/>
    <w:rsid w:val="1B8F1C20"/>
    <w:rsid w:val="1C3F4FC1"/>
    <w:rsid w:val="1C4521BE"/>
    <w:rsid w:val="1CDA6FCC"/>
    <w:rsid w:val="1CE62EC2"/>
    <w:rsid w:val="1E0C725B"/>
    <w:rsid w:val="1E104FAC"/>
    <w:rsid w:val="1E2424AE"/>
    <w:rsid w:val="1E3A75BF"/>
    <w:rsid w:val="1F3D64D8"/>
    <w:rsid w:val="1F70687B"/>
    <w:rsid w:val="1FBF36B8"/>
    <w:rsid w:val="1FEE318F"/>
    <w:rsid w:val="20070D5C"/>
    <w:rsid w:val="201613E9"/>
    <w:rsid w:val="20732FFC"/>
    <w:rsid w:val="20971D2D"/>
    <w:rsid w:val="2123635F"/>
    <w:rsid w:val="21434A2E"/>
    <w:rsid w:val="21E87526"/>
    <w:rsid w:val="224E70A7"/>
    <w:rsid w:val="236F51C7"/>
    <w:rsid w:val="238C2744"/>
    <w:rsid w:val="2421101C"/>
    <w:rsid w:val="24786CB1"/>
    <w:rsid w:val="24936BB1"/>
    <w:rsid w:val="24ED39B2"/>
    <w:rsid w:val="25096238"/>
    <w:rsid w:val="25156805"/>
    <w:rsid w:val="256E5459"/>
    <w:rsid w:val="269F1AB1"/>
    <w:rsid w:val="275531DC"/>
    <w:rsid w:val="2826720B"/>
    <w:rsid w:val="283D2961"/>
    <w:rsid w:val="285A2F68"/>
    <w:rsid w:val="28732408"/>
    <w:rsid w:val="28CC0572"/>
    <w:rsid w:val="28CD3BE4"/>
    <w:rsid w:val="295A3844"/>
    <w:rsid w:val="299E796F"/>
    <w:rsid w:val="29D56ACB"/>
    <w:rsid w:val="29E827F4"/>
    <w:rsid w:val="2A2A514A"/>
    <w:rsid w:val="2A454706"/>
    <w:rsid w:val="2A4A6E3A"/>
    <w:rsid w:val="2A5F5507"/>
    <w:rsid w:val="2AD63415"/>
    <w:rsid w:val="2AF756FF"/>
    <w:rsid w:val="2B330243"/>
    <w:rsid w:val="2BCA7577"/>
    <w:rsid w:val="2C215974"/>
    <w:rsid w:val="2CC84B0B"/>
    <w:rsid w:val="2D054D4C"/>
    <w:rsid w:val="2D05622C"/>
    <w:rsid w:val="2D3B7501"/>
    <w:rsid w:val="2D604F5E"/>
    <w:rsid w:val="2E080CC5"/>
    <w:rsid w:val="2E407FDC"/>
    <w:rsid w:val="2E5D7FA6"/>
    <w:rsid w:val="2E9361C2"/>
    <w:rsid w:val="2ED159E1"/>
    <w:rsid w:val="2F161CBD"/>
    <w:rsid w:val="2F3144ED"/>
    <w:rsid w:val="2FA10756"/>
    <w:rsid w:val="30071308"/>
    <w:rsid w:val="302A5B47"/>
    <w:rsid w:val="30795B46"/>
    <w:rsid w:val="31074AAA"/>
    <w:rsid w:val="31096A2E"/>
    <w:rsid w:val="310D49A5"/>
    <w:rsid w:val="317D345B"/>
    <w:rsid w:val="31867DFC"/>
    <w:rsid w:val="31EA434F"/>
    <w:rsid w:val="32E8234D"/>
    <w:rsid w:val="33213348"/>
    <w:rsid w:val="336517A3"/>
    <w:rsid w:val="338D48F9"/>
    <w:rsid w:val="342112A3"/>
    <w:rsid w:val="342208BB"/>
    <w:rsid w:val="346360EA"/>
    <w:rsid w:val="346555B3"/>
    <w:rsid w:val="35842FA1"/>
    <w:rsid w:val="35CD7C09"/>
    <w:rsid w:val="36295751"/>
    <w:rsid w:val="376C0B3B"/>
    <w:rsid w:val="37EA586E"/>
    <w:rsid w:val="38183124"/>
    <w:rsid w:val="384D1F5A"/>
    <w:rsid w:val="385E275D"/>
    <w:rsid w:val="386638EE"/>
    <w:rsid w:val="38FC375F"/>
    <w:rsid w:val="391B17B7"/>
    <w:rsid w:val="3A0F20F4"/>
    <w:rsid w:val="3AF154B3"/>
    <w:rsid w:val="3B5B22D9"/>
    <w:rsid w:val="3B945CDB"/>
    <w:rsid w:val="3BB474CD"/>
    <w:rsid w:val="3C043E96"/>
    <w:rsid w:val="3C4B008D"/>
    <w:rsid w:val="3C8E190F"/>
    <w:rsid w:val="3D200562"/>
    <w:rsid w:val="3D5270ED"/>
    <w:rsid w:val="3D565147"/>
    <w:rsid w:val="3D951F3B"/>
    <w:rsid w:val="3D985F65"/>
    <w:rsid w:val="3DA67519"/>
    <w:rsid w:val="3DC15663"/>
    <w:rsid w:val="3DC829A1"/>
    <w:rsid w:val="3E473DFC"/>
    <w:rsid w:val="3E6112AD"/>
    <w:rsid w:val="3E617C3A"/>
    <w:rsid w:val="3F153E4B"/>
    <w:rsid w:val="3FCE5376"/>
    <w:rsid w:val="3FE72DE5"/>
    <w:rsid w:val="400F7017"/>
    <w:rsid w:val="406870A5"/>
    <w:rsid w:val="408978EC"/>
    <w:rsid w:val="408D270D"/>
    <w:rsid w:val="40992E10"/>
    <w:rsid w:val="41874E94"/>
    <w:rsid w:val="41AD6B05"/>
    <w:rsid w:val="42670025"/>
    <w:rsid w:val="42865D39"/>
    <w:rsid w:val="42965EA1"/>
    <w:rsid w:val="43951913"/>
    <w:rsid w:val="43C33F8E"/>
    <w:rsid w:val="43CC548C"/>
    <w:rsid w:val="444D0E97"/>
    <w:rsid w:val="44905460"/>
    <w:rsid w:val="44A86296"/>
    <w:rsid w:val="45173AF4"/>
    <w:rsid w:val="45BA7B28"/>
    <w:rsid w:val="466514AD"/>
    <w:rsid w:val="46D5781C"/>
    <w:rsid w:val="46F40220"/>
    <w:rsid w:val="46FC5314"/>
    <w:rsid w:val="478D6CF2"/>
    <w:rsid w:val="47E752DA"/>
    <w:rsid w:val="48433123"/>
    <w:rsid w:val="486A45BA"/>
    <w:rsid w:val="492C009F"/>
    <w:rsid w:val="49496BAC"/>
    <w:rsid w:val="4A5C031B"/>
    <w:rsid w:val="4A5E6408"/>
    <w:rsid w:val="4A6D56A6"/>
    <w:rsid w:val="4ACE18F1"/>
    <w:rsid w:val="4B8B290E"/>
    <w:rsid w:val="4B9D2550"/>
    <w:rsid w:val="4BEC2981"/>
    <w:rsid w:val="4BEE5CA6"/>
    <w:rsid w:val="4C9063E8"/>
    <w:rsid w:val="4CE260E2"/>
    <w:rsid w:val="4D2C12AA"/>
    <w:rsid w:val="4D741434"/>
    <w:rsid w:val="4DAD0DB7"/>
    <w:rsid w:val="4E094241"/>
    <w:rsid w:val="4E92726A"/>
    <w:rsid w:val="4EBA72DB"/>
    <w:rsid w:val="4ED86A24"/>
    <w:rsid w:val="4EEC3480"/>
    <w:rsid w:val="4F175C76"/>
    <w:rsid w:val="4FF33737"/>
    <w:rsid w:val="50106408"/>
    <w:rsid w:val="501D0169"/>
    <w:rsid w:val="50265C7B"/>
    <w:rsid w:val="51046865"/>
    <w:rsid w:val="511B10EB"/>
    <w:rsid w:val="51610B3F"/>
    <w:rsid w:val="516B2059"/>
    <w:rsid w:val="51EA612A"/>
    <w:rsid w:val="526D7015"/>
    <w:rsid w:val="533730E6"/>
    <w:rsid w:val="53E54224"/>
    <w:rsid w:val="544E27F6"/>
    <w:rsid w:val="54A81C90"/>
    <w:rsid w:val="554B749D"/>
    <w:rsid w:val="55FA2FBC"/>
    <w:rsid w:val="56580BD0"/>
    <w:rsid w:val="568B5729"/>
    <w:rsid w:val="568C74B4"/>
    <w:rsid w:val="57783A34"/>
    <w:rsid w:val="577C7BEB"/>
    <w:rsid w:val="57CA7A4C"/>
    <w:rsid w:val="58165F71"/>
    <w:rsid w:val="58814711"/>
    <w:rsid w:val="58922AC5"/>
    <w:rsid w:val="58EB547E"/>
    <w:rsid w:val="59123693"/>
    <w:rsid w:val="591A56B2"/>
    <w:rsid w:val="59A50644"/>
    <w:rsid w:val="59EF5AC1"/>
    <w:rsid w:val="59F06725"/>
    <w:rsid w:val="5A396A26"/>
    <w:rsid w:val="5A5522A2"/>
    <w:rsid w:val="5A6F4667"/>
    <w:rsid w:val="5A7E0B4F"/>
    <w:rsid w:val="5ABE13A8"/>
    <w:rsid w:val="5B0833E3"/>
    <w:rsid w:val="5B094ECB"/>
    <w:rsid w:val="5B7154B3"/>
    <w:rsid w:val="5BBB7CA8"/>
    <w:rsid w:val="5C573614"/>
    <w:rsid w:val="5CA570B8"/>
    <w:rsid w:val="5CC85959"/>
    <w:rsid w:val="5D10441A"/>
    <w:rsid w:val="5D642E16"/>
    <w:rsid w:val="5DA00E0C"/>
    <w:rsid w:val="5DEB7039"/>
    <w:rsid w:val="5E2D040D"/>
    <w:rsid w:val="5E8C3EE9"/>
    <w:rsid w:val="5F436230"/>
    <w:rsid w:val="5FFD6863"/>
    <w:rsid w:val="60642081"/>
    <w:rsid w:val="60BC04C9"/>
    <w:rsid w:val="60BD2220"/>
    <w:rsid w:val="61D0431B"/>
    <w:rsid w:val="61D14411"/>
    <w:rsid w:val="621D637B"/>
    <w:rsid w:val="62AD75C2"/>
    <w:rsid w:val="62D37CDB"/>
    <w:rsid w:val="63290BD6"/>
    <w:rsid w:val="63394E5D"/>
    <w:rsid w:val="64D35171"/>
    <w:rsid w:val="64E51089"/>
    <w:rsid w:val="64F14BEB"/>
    <w:rsid w:val="64FD645D"/>
    <w:rsid w:val="65845C89"/>
    <w:rsid w:val="65EA5591"/>
    <w:rsid w:val="660012AD"/>
    <w:rsid w:val="66AC7216"/>
    <w:rsid w:val="67412475"/>
    <w:rsid w:val="675728FB"/>
    <w:rsid w:val="68394737"/>
    <w:rsid w:val="68DA5FD5"/>
    <w:rsid w:val="698B3B1D"/>
    <w:rsid w:val="69AA30E2"/>
    <w:rsid w:val="6AA773C9"/>
    <w:rsid w:val="6ACB2A7E"/>
    <w:rsid w:val="6ACF5999"/>
    <w:rsid w:val="6AD55E43"/>
    <w:rsid w:val="6B34015E"/>
    <w:rsid w:val="6B8400D9"/>
    <w:rsid w:val="6BAB2BC1"/>
    <w:rsid w:val="6BEF7805"/>
    <w:rsid w:val="6C490010"/>
    <w:rsid w:val="6CA80593"/>
    <w:rsid w:val="6CD812BF"/>
    <w:rsid w:val="6D1076BB"/>
    <w:rsid w:val="6D551ED6"/>
    <w:rsid w:val="6D67143F"/>
    <w:rsid w:val="6E0E1E63"/>
    <w:rsid w:val="6F66712C"/>
    <w:rsid w:val="6F6F1BD5"/>
    <w:rsid w:val="6F977547"/>
    <w:rsid w:val="70081B26"/>
    <w:rsid w:val="705E13EE"/>
    <w:rsid w:val="70A00D1D"/>
    <w:rsid w:val="71654123"/>
    <w:rsid w:val="71704FC9"/>
    <w:rsid w:val="71DE23D0"/>
    <w:rsid w:val="71EC6428"/>
    <w:rsid w:val="731F5547"/>
    <w:rsid w:val="73AB606F"/>
    <w:rsid w:val="73CA5E8B"/>
    <w:rsid w:val="73F63BBA"/>
    <w:rsid w:val="741E5F1A"/>
    <w:rsid w:val="74281F07"/>
    <w:rsid w:val="7468077F"/>
    <w:rsid w:val="769013F9"/>
    <w:rsid w:val="76DB49F8"/>
    <w:rsid w:val="76DF7FB7"/>
    <w:rsid w:val="77447C8B"/>
    <w:rsid w:val="77A0329E"/>
    <w:rsid w:val="77A31966"/>
    <w:rsid w:val="78F83B64"/>
    <w:rsid w:val="79710F2B"/>
    <w:rsid w:val="7A96082E"/>
    <w:rsid w:val="7A9C3815"/>
    <w:rsid w:val="7AE97230"/>
    <w:rsid w:val="7B39168B"/>
    <w:rsid w:val="7B7666CD"/>
    <w:rsid w:val="7B8B425D"/>
    <w:rsid w:val="7C1B3788"/>
    <w:rsid w:val="7C204B68"/>
    <w:rsid w:val="7C9D367A"/>
    <w:rsid w:val="7CC6447D"/>
    <w:rsid w:val="7D7557F1"/>
    <w:rsid w:val="7DA73A80"/>
    <w:rsid w:val="7DB8389F"/>
    <w:rsid w:val="7E905439"/>
    <w:rsid w:val="7EED066F"/>
    <w:rsid w:val="7EF37FDB"/>
    <w:rsid w:val="7F5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90" w:lineRule="exact"/>
    </w:pPr>
    <w:rPr>
      <w:rFonts w:ascii="方正仿宋_GBK" w:eastAsia="方正仿宋_GBK"/>
      <w:sz w:val="32"/>
    </w:rPr>
  </w:style>
  <w:style w:type="paragraph" w:styleId="3">
    <w:name w:val="Body Text 2"/>
    <w:basedOn w:val="1"/>
    <w:qFormat/>
    <w:uiPriority w:val="99"/>
    <w:pPr>
      <w:spacing w:before="60" w:after="60"/>
    </w:pPr>
    <w:rPr>
      <w:rFonts w:ascii="Arial" w:hAnsi="Arial" w:eastAsia="仿宋_GB2312"/>
      <w:spacing w:val="-5"/>
      <w:szCs w:val="20"/>
      <w:lang w:val="zh-CN" w:eastAsia="en-US"/>
    </w:rPr>
  </w:style>
  <w:style w:type="paragraph" w:styleId="4">
    <w:name w:val="Body Text Indent"/>
    <w:basedOn w:val="1"/>
    <w:qFormat/>
    <w:uiPriority w:val="0"/>
    <w:pPr>
      <w:ind w:firstLine="20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next w:val="2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8">
    <w:name w:val="Body Text First Indent"/>
    <w:basedOn w:val="2"/>
    <w:qFormat/>
    <w:uiPriority w:val="0"/>
    <w:pPr>
      <w:spacing w:line="360" w:lineRule="auto"/>
      <w:ind w:firstLine="420" w:firstLineChars="100"/>
    </w:pPr>
    <w:rPr>
      <w:rFonts w:ascii="Calibri" w:hAnsi="Calibri" w:eastAsia="方正仿宋_GBK" w:cs="Calibri"/>
      <w:sz w:val="32"/>
      <w:szCs w:val="32"/>
    </w:rPr>
  </w:style>
  <w:style w:type="paragraph" w:customStyle="1" w:styleId="11">
    <w:name w:val="Char Char Char Char Char Char Char Char Char"/>
    <w:basedOn w:val="1"/>
    <w:link w:val="10"/>
    <w:qFormat/>
    <w:uiPriority w:val="0"/>
  </w:style>
  <w:style w:type="character" w:styleId="12">
    <w:name w:val="page number"/>
    <w:basedOn w:val="10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kern w:val="0"/>
    </w:rPr>
  </w:style>
  <w:style w:type="paragraph" w:customStyle="1" w:styleId="15">
    <w:name w:val="图表目录1"/>
    <w:basedOn w:val="16"/>
    <w:next w:val="1"/>
    <w:qFormat/>
    <w:uiPriority w:val="0"/>
    <w:pPr>
      <w:ind w:left="200" w:leftChars="200" w:hanging="200" w:hangingChars="200"/>
    </w:pPr>
  </w:style>
  <w:style w:type="paragraph" w:customStyle="1" w:styleId="16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2020-12-01T15:48:00Z</dcterms:created>
  <dc:creator>123</dc:creator>
  <cp:lastModifiedBy>user</cp:lastModifiedBy>
  <cp:lastPrinted>2021-10-19T10:13:22Z</cp:lastPrinted>
  <dcterms:modified xsi:type="dcterms:W3CDTF">2021-10-19T10:13:25Z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