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napToGrid w:val="0"/>
        <w:jc w:val="center"/>
        <w:rPr>
          <w:rFonts w:ascii="方正仿宋_GBK" w:hAnsi="宋体" w:eastAsia="方正仿宋_GBK"/>
          <w:bCs/>
          <w:szCs w:val="32"/>
        </w:rPr>
      </w:pPr>
    </w:p>
    <w:p>
      <w:pPr>
        <w:pStyle w:val="6"/>
        <w:snapToGrid w:val="0"/>
        <w:jc w:val="center"/>
        <w:rPr>
          <w:rFonts w:ascii="方正仿宋_GBK" w:hAnsi="宋体" w:eastAsia="方正仿宋_GBK"/>
          <w:bCs/>
          <w:szCs w:val="32"/>
        </w:rPr>
      </w:pPr>
    </w:p>
    <w:p>
      <w:pPr>
        <w:pStyle w:val="6"/>
        <w:snapToGrid w:val="0"/>
        <w:rPr>
          <w:rFonts w:ascii="方正仿宋_GBK" w:hAnsi="宋体" w:eastAsia="方正仿宋_GBK"/>
          <w:bCs/>
          <w:szCs w:val="32"/>
        </w:rPr>
      </w:pPr>
    </w:p>
    <w:p>
      <w:pPr>
        <w:pStyle w:val="6"/>
        <w:snapToGrid w:val="0"/>
        <w:spacing w:line="560" w:lineRule="atLeast"/>
        <w:ind w:right="-336" w:rightChars="-160"/>
        <w:jc w:val="center"/>
        <w:rPr>
          <w:rFonts w:ascii="方正仿宋_GBK" w:eastAsia="方正仿宋_GBK"/>
          <w:color w:val="000000"/>
          <w:kern w:val="2"/>
          <w:szCs w:val="32"/>
        </w:rPr>
      </w:pPr>
      <w:r>
        <w:rPr>
          <w:rFonts w:hint="eastAsia" w:ascii="方正仿宋_GBK" w:eastAsia="方正仿宋_GBK"/>
          <w:kern w:val="2"/>
          <w:szCs w:val="32"/>
        </w:rPr>
        <w:t>渝（万）环准〔202</w:t>
      </w:r>
      <w:r>
        <w:rPr>
          <w:rFonts w:hint="eastAsia" w:ascii="方正仿宋_GBK" w:eastAsia="方正仿宋_GBK"/>
          <w:kern w:val="2"/>
          <w:szCs w:val="32"/>
          <w:lang w:val="en-US" w:eastAsia="zh-CN"/>
        </w:rPr>
        <w:t>2</w:t>
      </w:r>
      <w:r>
        <w:rPr>
          <w:rFonts w:hint="eastAsia" w:ascii="方正仿宋_GBK" w:eastAsia="方正仿宋_GBK"/>
          <w:color w:val="000000"/>
          <w:kern w:val="2"/>
          <w:szCs w:val="32"/>
        </w:rPr>
        <w:t>〕</w:t>
      </w:r>
      <w:r>
        <w:rPr>
          <w:rFonts w:hint="default" w:ascii="方正仿宋_GBK" w:eastAsia="方正仿宋_GBK"/>
          <w:color w:val="000000"/>
          <w:kern w:val="2"/>
          <w:szCs w:val="32"/>
          <w:lang w:val="en-US" w:eastAsia="zh-CN"/>
        </w:rPr>
        <w:t>18</w:t>
      </w:r>
      <w:bookmarkStart w:id="0" w:name="_GoBack"/>
      <w:bookmarkEnd w:id="0"/>
      <w:r>
        <w:rPr>
          <w:rFonts w:hint="eastAsia" w:ascii="方正仿宋_GBK" w:eastAsia="方正仿宋_GBK"/>
          <w:color w:val="000000"/>
          <w:kern w:val="2"/>
          <w:szCs w:val="32"/>
        </w:rPr>
        <w:t>号</w:t>
      </w:r>
    </w:p>
    <w:p>
      <w:pPr>
        <w:pStyle w:val="6"/>
        <w:snapToGrid w:val="0"/>
        <w:spacing w:line="520" w:lineRule="exact"/>
        <w:jc w:val="both"/>
        <w:rPr>
          <w:rFonts w:hint="eastAsia" w:ascii="方正仿宋_GBK" w:hAnsi="方正仿宋_GBK" w:eastAsia="方正仿宋_GBK" w:cs="方正仿宋_GBK"/>
          <w:color w:val="2C2C2C"/>
        </w:rPr>
      </w:pPr>
    </w:p>
    <w:p>
      <w:pPr>
        <w:pStyle w:val="6"/>
        <w:snapToGrid w:val="0"/>
        <w:spacing w:line="520" w:lineRule="exact"/>
        <w:jc w:val="both"/>
        <w:rPr>
          <w:rFonts w:hint="eastAsia" w:ascii="方正仿宋_GBK" w:hAnsi="仿宋" w:eastAsia="方正仿宋_GBK" w:cs="Times New Roman"/>
          <w:kern w:val="2"/>
          <w:sz w:val="32"/>
          <w:szCs w:val="32"/>
          <w:lang w:val="en-US" w:eastAsia="zh-CN" w:bidi="ar-SA"/>
        </w:rPr>
      </w:pPr>
      <w:r>
        <w:rPr>
          <w:rFonts w:hint="eastAsia" w:ascii="方正仿宋_GBK" w:hAnsi="仿宋" w:eastAsia="方正仿宋_GBK" w:cs="Times New Roman"/>
          <w:kern w:val="2"/>
          <w:sz w:val="32"/>
          <w:szCs w:val="32"/>
          <w:lang w:val="en-US" w:eastAsia="zh-CN" w:bidi="ar-SA"/>
        </w:rPr>
        <w:t>重庆三峡水利电力（集团）股份有限公司：</w:t>
      </w:r>
    </w:p>
    <w:p>
      <w:pPr>
        <w:pStyle w:val="6"/>
        <w:keepNext w:val="0"/>
        <w:keepLines w:val="0"/>
        <w:pageBreakBefore w:val="0"/>
        <w:kinsoku/>
        <w:wordWrap/>
        <w:overflowPunct/>
        <w:topLinePunct w:val="0"/>
        <w:bidi w:val="0"/>
        <w:snapToGrid w:val="0"/>
        <w:spacing w:line="520" w:lineRule="exact"/>
        <w:ind w:firstLine="640" w:firstLineChars="200"/>
        <w:jc w:val="both"/>
        <w:textAlignment w:val="auto"/>
        <w:rPr>
          <w:rFonts w:hint="eastAsia" w:ascii="方正仿宋_GBK" w:hAnsi="仿宋" w:eastAsia="方正仿宋_GBK" w:cs="Times New Roman"/>
          <w:kern w:val="2"/>
          <w:sz w:val="32"/>
          <w:szCs w:val="32"/>
          <w:lang w:val="en-US" w:eastAsia="zh-CN" w:bidi="ar-SA"/>
        </w:rPr>
      </w:pPr>
      <w:r>
        <w:rPr>
          <w:rFonts w:hint="eastAsia" w:ascii="方正仿宋_GBK" w:hAnsi="仿宋" w:eastAsia="方正仿宋_GBK" w:cs="Times New Roman"/>
          <w:kern w:val="2"/>
          <w:sz w:val="32"/>
          <w:szCs w:val="32"/>
          <w:lang w:val="en-US" w:eastAsia="zh-CN" w:bidi="ar-SA"/>
        </w:rPr>
        <w:t>你公司报送的万州区110kV龙古变电站增容改造工程项目（项目代码：2020-500101-44-01-144247）环境影响评价文件审批申请表及相关材料收悉。经研究，现审批如下。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firstLine="640" w:firstLineChars="200"/>
        <w:textAlignment w:val="auto"/>
        <w:rPr>
          <w:rFonts w:hint="eastAsia" w:ascii="方正仿宋_GBK" w:hAnsi="仿宋" w:eastAsia="方正仿宋_GBK" w:cs="Times New Roman"/>
          <w:kern w:val="2"/>
          <w:sz w:val="32"/>
          <w:szCs w:val="32"/>
          <w:lang w:val="en-US" w:eastAsia="zh-CN" w:bidi="ar-SA"/>
        </w:rPr>
      </w:pPr>
      <w:r>
        <w:rPr>
          <w:rFonts w:hint="eastAsia" w:ascii="方正仿宋_GBK" w:hAnsi="仿宋" w:eastAsia="方正仿宋_GBK" w:cs="Times New Roman"/>
          <w:kern w:val="2"/>
          <w:sz w:val="32"/>
          <w:szCs w:val="32"/>
          <w:lang w:val="en-US" w:eastAsia="zh-CN" w:bidi="ar-SA"/>
        </w:rPr>
        <w:t>根据《中华人民共和国环境影响评价法》等法律法规规定，我局原则同意重庆宏伟环保工程有限公司编制的《万州区110kV龙古变电站增容改造工程项目环境影响报告表》结论和提出的环境保护措施。</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方正仿宋_GBK" w:eastAsia="方正仿宋_GBK"/>
          <w:sz w:val="32"/>
          <w:szCs w:val="32"/>
          <w:lang w:val="zh-CN"/>
        </w:rPr>
      </w:pPr>
      <w:r>
        <w:rPr>
          <w:rFonts w:hint="eastAsia" w:ascii="方正仿宋_GBK" w:eastAsia="方正仿宋_GBK"/>
          <w:sz w:val="32"/>
          <w:szCs w:val="32"/>
        </w:rPr>
        <w:t>二、项目主要建设内容为：拟建项目位于万州区龙沙镇的110kV龙古变电站内，主要包括</w:t>
      </w:r>
      <w:r>
        <w:rPr>
          <w:rFonts w:hint="eastAsia" w:ascii="方正仿宋_GBK" w:eastAsia="方正仿宋_GBK"/>
          <w:sz w:val="32"/>
          <w:szCs w:val="32"/>
          <w:lang w:val="en-US" w:eastAsia="zh-CN"/>
        </w:rPr>
        <w:t>建设</w:t>
      </w:r>
      <w:r>
        <w:rPr>
          <w:rFonts w:hint="eastAsia" w:ascii="方正仿宋_GBK" w:eastAsia="方正仿宋_GBK"/>
          <w:sz w:val="32"/>
          <w:szCs w:val="32"/>
        </w:rPr>
        <w:t>新增容量为50MVA的2</w:t>
      </w:r>
      <w:r>
        <w:rPr>
          <w:rFonts w:hint="eastAsia" w:ascii="方正仿宋_GBK" w:eastAsia="方正仿宋_GBK"/>
          <w:sz w:val="32"/>
          <w:szCs w:val="32"/>
          <w:lang w:val="en-US" w:eastAsia="zh-CN"/>
        </w:rPr>
        <w:t>#</w:t>
      </w:r>
      <w:r>
        <w:rPr>
          <w:rFonts w:hint="eastAsia" w:ascii="方正仿宋_GBK" w:eastAsia="方正仿宋_GBK"/>
          <w:sz w:val="32"/>
          <w:szCs w:val="32"/>
        </w:rPr>
        <w:t>主变压器1台，新增后变电站主变为1×31.5MVA+1×50MVA，电压等级为110/35/10kV，新增1回110kV进线间隔</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配电装置</w:t>
      </w:r>
      <w:r>
        <w:rPr>
          <w:rFonts w:hint="eastAsia" w:ascii="方正仿宋_GBK" w:eastAsia="方正仿宋_GBK"/>
          <w:sz w:val="32"/>
          <w:szCs w:val="32"/>
          <w:lang w:eastAsia="zh-CN"/>
        </w:rPr>
        <w:t>）</w:t>
      </w:r>
      <w:r>
        <w:rPr>
          <w:rFonts w:hint="eastAsia" w:ascii="方正仿宋_GBK" w:eastAsia="方正仿宋_GBK"/>
          <w:sz w:val="32"/>
          <w:szCs w:val="32"/>
        </w:rPr>
        <w:t>，完善35kV主变进线，新增1回10kV进线间隔；将原备用出线柜2和出线柜7改造为2套电容器柜。新增无功补偿电容器容量2×3600kVar。原址</w:t>
      </w:r>
      <w:r>
        <w:rPr>
          <w:rFonts w:hint="eastAsia" w:ascii="方正仿宋_GBK" w:eastAsia="方正仿宋_GBK"/>
          <w:sz w:val="32"/>
          <w:szCs w:val="32"/>
          <w:lang w:val="en-US" w:eastAsia="zh-CN"/>
        </w:rPr>
        <w:t>扩建</w:t>
      </w:r>
      <w:r>
        <w:rPr>
          <w:rFonts w:hint="eastAsia" w:ascii="方正仿宋_GBK" w:eastAsia="方正仿宋_GBK"/>
          <w:sz w:val="32"/>
          <w:szCs w:val="32"/>
        </w:rPr>
        <w:t>事故油池，将其容积扩大至25m3。</w:t>
      </w:r>
      <w:r>
        <w:rPr>
          <w:rFonts w:hint="eastAsia" w:ascii="方正仿宋_GBK" w:eastAsia="方正仿宋_GBK"/>
          <w:sz w:val="32"/>
          <w:szCs w:val="32"/>
          <w:lang w:val="zh-CN" w:eastAsia="zh-CN"/>
        </w:rPr>
        <w:t>项目总投资</w:t>
      </w:r>
      <w:r>
        <w:rPr>
          <w:rFonts w:hint="eastAsia" w:ascii="方正仿宋_GBK" w:eastAsia="方正仿宋_GBK"/>
          <w:sz w:val="32"/>
          <w:szCs w:val="32"/>
        </w:rPr>
        <w:t>736.08</w:t>
      </w:r>
      <w:r>
        <w:rPr>
          <w:rFonts w:hint="eastAsia" w:ascii="方正仿宋_GBK" w:eastAsia="方正仿宋_GBK"/>
          <w:sz w:val="32"/>
          <w:szCs w:val="32"/>
          <w:lang w:val="zh-CN" w:eastAsia="zh-CN"/>
        </w:rPr>
        <w:t>万</w:t>
      </w:r>
      <w:r>
        <w:rPr>
          <w:rFonts w:hint="eastAsia" w:ascii="方正仿宋_GBK" w:eastAsia="方正仿宋_GBK"/>
          <w:sz w:val="32"/>
          <w:szCs w:val="32"/>
          <w:lang w:val="zh-CN"/>
        </w:rPr>
        <w:t>元，其中环保投资</w:t>
      </w:r>
      <w:r>
        <w:rPr>
          <w:rFonts w:hint="eastAsia" w:ascii="方正仿宋_GBK" w:eastAsia="方正仿宋_GBK"/>
          <w:sz w:val="32"/>
          <w:szCs w:val="32"/>
          <w:lang w:val="en-US" w:eastAsia="zh-CN"/>
        </w:rPr>
        <w:t>16</w:t>
      </w:r>
      <w:r>
        <w:rPr>
          <w:rFonts w:hint="eastAsia" w:ascii="方正仿宋_GBK" w:eastAsia="方正仿宋_GBK"/>
          <w:sz w:val="32"/>
          <w:szCs w:val="32"/>
          <w:lang w:val="zh-CN"/>
        </w:rPr>
        <w:t>万元。</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方正仿宋_GBK" w:eastAsia="方正仿宋_GBK"/>
          <w:sz w:val="32"/>
          <w:szCs w:val="32"/>
        </w:rPr>
      </w:pPr>
      <w:r>
        <w:rPr>
          <w:rFonts w:hint="eastAsia" w:ascii="方正仿宋_GBK" w:hAnsi="仿宋" w:eastAsia="方正仿宋_GBK"/>
          <w:sz w:val="32"/>
          <w:szCs w:val="32"/>
        </w:rPr>
        <w:t>三</w:t>
      </w:r>
      <w:r>
        <w:rPr>
          <w:rFonts w:hint="eastAsia" w:ascii="方正仿宋_GBK" w:eastAsia="方正仿宋_GBK"/>
          <w:sz w:val="32"/>
          <w:szCs w:val="32"/>
        </w:rPr>
        <w:t>、项目建设与运营管理中，必须认真落实《环境影响报告</w:t>
      </w:r>
      <w:r>
        <w:rPr>
          <w:rFonts w:hint="eastAsia" w:ascii="方正仿宋_GBK" w:hAnsi="仿宋" w:eastAsia="方正仿宋_GBK" w:cs="Times New Roman"/>
          <w:sz w:val="32"/>
          <w:szCs w:val="32"/>
          <w:lang w:eastAsia="zh-CN"/>
        </w:rPr>
        <w:t>表</w:t>
      </w:r>
      <w:r>
        <w:rPr>
          <w:rFonts w:hint="eastAsia" w:ascii="方正仿宋_GBK" w:eastAsia="方正仿宋_GBK"/>
          <w:sz w:val="32"/>
          <w:szCs w:val="32"/>
        </w:rPr>
        <w:t>》提出的各项污染防治及生态保护措施，减少污染物产生和排放，重点应做好以下工作：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（一）加强生态环境保护。严格控制施工作业范围，减少临时占地，减轻对植被的破坏</w:t>
      </w:r>
      <w:r>
        <w:rPr>
          <w:rFonts w:hint="eastAsia" w:ascii="方正仿宋_GBK" w:eastAsia="方正仿宋_GBK"/>
          <w:sz w:val="32"/>
          <w:szCs w:val="32"/>
          <w:lang w:eastAsia="zh-CN"/>
        </w:rPr>
        <w:t>，</w:t>
      </w:r>
      <w:r>
        <w:rPr>
          <w:rFonts w:hint="eastAsia" w:ascii="方正仿宋_GBK" w:eastAsia="方正仿宋_GBK"/>
          <w:sz w:val="32"/>
          <w:szCs w:val="32"/>
        </w:rPr>
        <w:t>施工结束后，加强绿化，及时对施工迹地进行生态恢复。</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_GBK" w:hAnsi="Times New Roman" w:eastAsia="方正仿宋_GBK" w:cs="Times New Roman"/>
          <w:sz w:val="32"/>
          <w:szCs w:val="32"/>
        </w:rPr>
      </w:pPr>
      <w:r>
        <w:rPr>
          <w:rFonts w:hint="eastAsia" w:ascii="方正仿宋_GBK" w:eastAsia="方正仿宋_GBK"/>
          <w:sz w:val="32"/>
          <w:szCs w:val="32"/>
        </w:rPr>
        <w:t>（二）落实废水处理措施。施工废水经沉砂池</w:t>
      </w:r>
      <w:r>
        <w:rPr>
          <w:rFonts w:hint="eastAsia" w:ascii="方正仿宋_GBK" w:eastAsia="方正仿宋_GBK"/>
          <w:sz w:val="32"/>
          <w:szCs w:val="32"/>
          <w:lang w:eastAsia="zh-CN"/>
        </w:rPr>
        <w:t>沉淀</w:t>
      </w:r>
      <w:r>
        <w:rPr>
          <w:rFonts w:hint="eastAsia" w:ascii="方正仿宋_GBK" w:eastAsia="方正仿宋_GBK"/>
          <w:sz w:val="32"/>
          <w:szCs w:val="32"/>
        </w:rPr>
        <w:t>处理后用于</w:t>
      </w:r>
      <w:r>
        <w:rPr>
          <w:rFonts w:hint="eastAsia" w:ascii="方正仿宋_GBK" w:eastAsia="方正仿宋_GBK"/>
          <w:sz w:val="32"/>
          <w:szCs w:val="32"/>
          <w:lang w:eastAsia="zh-CN"/>
        </w:rPr>
        <w:t>场地</w:t>
      </w:r>
      <w:r>
        <w:rPr>
          <w:rFonts w:hint="eastAsia" w:ascii="方正仿宋_GBK" w:eastAsia="方正仿宋_GBK"/>
          <w:sz w:val="32"/>
          <w:szCs w:val="32"/>
        </w:rPr>
        <w:t>洒水降尘，不外排。运营期，</w:t>
      </w:r>
      <w:r>
        <w:rPr>
          <w:rFonts w:hint="default" w:ascii="方正仿宋_GBK" w:eastAsia="方正仿宋_GBK"/>
          <w:sz w:val="32"/>
          <w:szCs w:val="32"/>
        </w:rPr>
        <w:t>生活污水经化</w:t>
      </w:r>
      <w:r>
        <w:rPr>
          <w:rFonts w:hint="default" w:ascii="方正仿宋_GBK" w:hAnsi="Times New Roman" w:eastAsia="方正仿宋_GBK" w:cs="Times New Roman"/>
          <w:sz w:val="32"/>
          <w:szCs w:val="32"/>
        </w:rPr>
        <w:t>粪池处理后</w:t>
      </w:r>
      <w:r>
        <w:rPr>
          <w:rFonts w:hint="eastAsia" w:ascii="方正仿宋_GBK" w:hAnsi="Times New Roman" w:eastAsia="方正仿宋_GBK" w:cs="Times New Roman"/>
          <w:sz w:val="32"/>
          <w:szCs w:val="32"/>
          <w:lang w:val="en-US" w:eastAsia="zh-CN"/>
        </w:rPr>
        <w:t>用作农肥使用，不排放。</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（三）强化大气污染防治。通过及时洒水喷淋</w:t>
      </w:r>
      <w:r>
        <w:rPr>
          <w:rFonts w:hint="eastAsia" w:ascii="方正仿宋_GBK" w:eastAsia="方正仿宋_GBK"/>
          <w:sz w:val="32"/>
          <w:szCs w:val="32"/>
          <w:lang w:eastAsia="zh-CN"/>
        </w:rPr>
        <w:t>、</w:t>
      </w:r>
      <w:r>
        <w:rPr>
          <w:rFonts w:hint="eastAsia" w:ascii="方正仿宋_GBK" w:eastAsia="方正仿宋_GBK"/>
          <w:sz w:val="32"/>
          <w:szCs w:val="32"/>
        </w:rPr>
        <w:t>易扬撒物料运输和堆存时进行密闭遮盖等措施，</w:t>
      </w:r>
      <w:r>
        <w:rPr>
          <w:rFonts w:hint="eastAsia" w:ascii="方正仿宋_GBK" w:eastAsia="方正仿宋_GBK"/>
          <w:sz w:val="32"/>
          <w:szCs w:val="32"/>
          <w:lang w:eastAsia="zh-CN"/>
        </w:rPr>
        <w:t>严格</w:t>
      </w:r>
      <w:r>
        <w:rPr>
          <w:rFonts w:hint="eastAsia" w:ascii="方正仿宋_GBK" w:eastAsia="方正仿宋_GBK"/>
          <w:sz w:val="32"/>
          <w:szCs w:val="32"/>
        </w:rPr>
        <w:t>控制施工扬尘。</w:t>
      </w:r>
    </w:p>
    <w:p>
      <w:pPr>
        <w:adjustRightInd w:val="0"/>
        <w:snapToGrid w:val="0"/>
        <w:jc w:val="left"/>
        <w:rPr>
          <w:rFonts w:hint="eastAsia" w:ascii="方正仿宋_GBK" w:eastAsia="方正仿宋_GBK"/>
          <w:sz w:val="32"/>
          <w:szCs w:val="32"/>
        </w:rPr>
      </w:pPr>
      <w:r>
        <w:rPr>
          <w:rFonts w:hint="eastAsia" w:ascii="方正仿宋_GBK" w:eastAsia="方正仿宋_GBK"/>
          <w:sz w:val="32"/>
          <w:szCs w:val="32"/>
        </w:rPr>
        <w:t>（四）做好噪声防治工作。选用低噪声设备，合理布局施工场地，合理安排施工时间，禁止夜间施工。</w:t>
      </w:r>
      <w:r>
        <w:rPr>
          <w:rFonts w:hint="eastAsia" w:ascii="方正仿宋_GBK" w:hAnsi="Times New Roman" w:eastAsia="方正仿宋_GBK" w:cs="Times New Roman"/>
          <w:sz w:val="32"/>
          <w:szCs w:val="32"/>
          <w:lang w:val="en-US" w:eastAsia="zh-CN"/>
        </w:rPr>
        <w:t>本变电站选用低噪声设备，分别在变电站东、西两侧修建了3处隔声墙，第1处设置在1#主变与东侧居民楼之间；第2处设置在2#主变与西侧居民楼之间；第3处设置在1、2#站用接地变与东侧居民楼之间，高度在5.5~6.5m。</w:t>
      </w:r>
      <w:r>
        <w:rPr>
          <w:rFonts w:hint="eastAsia" w:ascii="方正仿宋_GBK" w:hAnsi="Times New Roman" w:eastAsia="方正仿宋_GBK" w:cs="Times New Roman"/>
          <w:sz w:val="32"/>
          <w:szCs w:val="32"/>
          <w:lang w:eastAsia="zh-CN"/>
        </w:rPr>
        <w:t>确保</w:t>
      </w:r>
      <w:r>
        <w:rPr>
          <w:rFonts w:hint="eastAsia" w:ascii="方正仿宋_GBK" w:hAnsi="Times New Roman" w:eastAsia="方正仿宋_GBK" w:cs="Times New Roman"/>
          <w:sz w:val="32"/>
          <w:szCs w:val="32"/>
          <w:lang w:val="en-US" w:eastAsia="zh-CN"/>
        </w:rPr>
        <w:t>变电</w:t>
      </w:r>
      <w:r>
        <w:rPr>
          <w:rFonts w:hint="eastAsia" w:ascii="方正仿宋_GBK" w:hAnsi="Times New Roman" w:eastAsia="方正仿宋_GBK" w:cs="Times New Roman"/>
          <w:sz w:val="32"/>
          <w:szCs w:val="32"/>
        </w:rPr>
        <w:t>站</w:t>
      </w:r>
      <w:r>
        <w:rPr>
          <w:rFonts w:hint="eastAsia" w:ascii="方正仿宋_GBK" w:hAnsi="Times New Roman" w:eastAsia="方正仿宋_GBK" w:cs="Times New Roman"/>
          <w:sz w:val="32"/>
          <w:szCs w:val="32"/>
          <w:lang w:val="en-US" w:eastAsia="zh-CN"/>
        </w:rPr>
        <w:t>东侧厂界噪声满足《工业企业厂界环境噪声排放标准》（GB12348-2008）中4类标准，变电站西、南、北侧厂界满足2类标准要求；环境保护目标处的声环境满足《声环境质量标准》（GB3096-2008）中2类、4a类（S103省道30m范围内）标准标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w:t>
      </w:r>
      <w:r>
        <w:rPr>
          <w:rFonts w:hint="eastAsia" w:ascii="方正仿宋_GBK" w:eastAsia="方正仿宋_GBK"/>
          <w:sz w:val="32"/>
          <w:szCs w:val="32"/>
        </w:rPr>
        <w:t>五</w:t>
      </w:r>
      <w:r>
        <w:rPr>
          <w:rFonts w:ascii="方正仿宋_GBK" w:eastAsia="方正仿宋_GBK"/>
          <w:sz w:val="32"/>
          <w:szCs w:val="32"/>
        </w:rPr>
        <w:t>）</w:t>
      </w:r>
      <w:r>
        <w:rPr>
          <w:rFonts w:hint="eastAsia" w:ascii="方正仿宋_GBK" w:eastAsia="方正仿宋_GBK"/>
          <w:sz w:val="32"/>
          <w:szCs w:val="32"/>
        </w:rPr>
        <w:t>妥善处理固体废物。实施分类收集和处置，做到“减量化、资源化、无害化”。生活垃圾</w:t>
      </w:r>
      <w:r>
        <w:rPr>
          <w:rFonts w:hint="eastAsia" w:ascii="方正仿宋_GBK" w:eastAsia="方正仿宋_GBK"/>
          <w:sz w:val="32"/>
          <w:szCs w:val="32"/>
          <w:lang w:eastAsia="zh-CN"/>
        </w:rPr>
        <w:t>分类收集后</w:t>
      </w:r>
      <w:r>
        <w:rPr>
          <w:rFonts w:hint="eastAsia" w:ascii="方正仿宋_GBK" w:eastAsia="方正仿宋_GBK"/>
          <w:sz w:val="32"/>
          <w:szCs w:val="32"/>
        </w:rPr>
        <w:t>交由环卫部门清运</w:t>
      </w:r>
      <w:r>
        <w:rPr>
          <w:rFonts w:hint="eastAsia" w:ascii="方正仿宋_GBK" w:eastAsia="方正仿宋_GBK"/>
          <w:sz w:val="32"/>
          <w:szCs w:val="32"/>
          <w:lang w:eastAsia="zh-CN"/>
        </w:rPr>
        <w:t>；</w:t>
      </w:r>
      <w:r>
        <w:rPr>
          <w:rFonts w:hint="eastAsia" w:ascii="方正仿宋_GBK" w:eastAsia="方正仿宋_GBK"/>
          <w:sz w:val="32"/>
          <w:szCs w:val="32"/>
        </w:rPr>
        <w:t>废变压器油</w:t>
      </w:r>
      <w:r>
        <w:rPr>
          <w:rFonts w:hint="eastAsia" w:ascii="方正仿宋_GBK" w:eastAsia="方正仿宋_GBK"/>
          <w:sz w:val="32"/>
          <w:szCs w:val="32"/>
          <w:lang w:eastAsia="zh-CN"/>
        </w:rPr>
        <w:t>、</w:t>
      </w:r>
      <w:r>
        <w:rPr>
          <w:rFonts w:hint="eastAsia" w:ascii="方正仿宋_GBK" w:eastAsia="方正仿宋_GBK"/>
          <w:sz w:val="32"/>
          <w:szCs w:val="32"/>
        </w:rPr>
        <w:t>废蓄电池</w:t>
      </w:r>
      <w:r>
        <w:rPr>
          <w:rFonts w:hint="eastAsia" w:ascii="方正仿宋_GBK" w:eastAsia="方正仿宋_GBK"/>
          <w:sz w:val="32"/>
          <w:szCs w:val="32"/>
          <w:lang w:eastAsia="zh-CN"/>
        </w:rPr>
        <w:t>等</w:t>
      </w:r>
      <w:r>
        <w:rPr>
          <w:rFonts w:hint="eastAsia" w:ascii="方正仿宋_GBK" w:eastAsia="方正仿宋_GBK"/>
          <w:sz w:val="32"/>
          <w:szCs w:val="32"/>
        </w:rPr>
        <w:t>危险废物，按规定交有危废处理资质的单位处置</w:t>
      </w:r>
      <w:r>
        <w:rPr>
          <w:rFonts w:hint="eastAsia" w:ascii="方正仿宋_GBK" w:eastAsia="方正仿宋_GBK"/>
          <w:sz w:val="32"/>
          <w:szCs w:val="32"/>
          <w:lang w:eastAsia="zh-CN"/>
        </w:rPr>
        <w:t>，</w:t>
      </w:r>
      <w:r>
        <w:rPr>
          <w:rFonts w:hint="eastAsia" w:ascii="方正仿宋_GBK" w:eastAsia="方正仿宋_GBK"/>
          <w:sz w:val="32"/>
          <w:szCs w:val="32"/>
          <w:lang w:val="zh-CN"/>
        </w:rPr>
        <w:t>完善管理台账</w:t>
      </w:r>
      <w:r>
        <w:rPr>
          <w:rFonts w:hint="eastAsia" w:ascii="方正仿宋_GBK" w:eastAsia="方正仿宋_GBK"/>
          <w:sz w:val="32"/>
          <w:szCs w:val="32"/>
        </w:rPr>
        <w:t>，确保不造成二次污染。</w:t>
      </w:r>
    </w:p>
    <w:p>
      <w:pPr>
        <w:tabs>
          <w:tab w:val="left" w:pos="0"/>
          <w:tab w:val="left" w:pos="142"/>
          <w:tab w:val="left" w:pos="8280"/>
          <w:tab w:val="left" w:pos="8460"/>
        </w:tabs>
        <w:spacing w:line="520" w:lineRule="exact"/>
        <w:ind w:right="-178" w:rightChars="-85" w:firstLine="640" w:firstLineChars="200"/>
        <w:rPr>
          <w:rFonts w:hint="eastAsia" w:ascii="方正仿宋_GBK" w:hAnsi="方正仿宋_GBK" w:eastAsia="方正仿宋_GBK" w:cs="方正仿宋_GBK"/>
          <w:bCs/>
          <w:sz w:val="32"/>
          <w:szCs w:val="32"/>
        </w:rPr>
      </w:pPr>
      <w:r>
        <w:rPr>
          <w:rFonts w:ascii="方正仿宋_GBK" w:eastAsia="方正仿宋_GBK"/>
          <w:sz w:val="32"/>
          <w:szCs w:val="32"/>
        </w:rPr>
        <w:t>（</w:t>
      </w:r>
      <w:r>
        <w:rPr>
          <w:rFonts w:hint="eastAsia" w:ascii="方正仿宋_GBK" w:hAnsi="仿宋" w:eastAsia="方正仿宋_GBK"/>
          <w:bCs/>
          <w:sz w:val="32"/>
          <w:szCs w:val="32"/>
        </w:rPr>
        <w:t>六</w:t>
      </w:r>
      <w:r>
        <w:rPr>
          <w:rFonts w:hint="eastAsia" w:ascii="方正仿宋_GBK" w:eastAsia="方正仿宋_GBK"/>
          <w:sz w:val="32"/>
          <w:szCs w:val="32"/>
        </w:rPr>
        <w:t>）</w:t>
      </w:r>
      <w:r>
        <w:rPr>
          <w:rFonts w:hint="eastAsia" w:ascii="方正仿宋_GBK" w:hAnsi="仿宋" w:eastAsia="方正仿宋_GBK"/>
          <w:sz w:val="32"/>
          <w:szCs w:val="32"/>
          <w:lang w:val="en-US" w:eastAsia="zh-CN"/>
        </w:rPr>
        <w:t>110kV变电</w:t>
      </w:r>
      <w:r>
        <w:rPr>
          <w:rFonts w:hint="eastAsia" w:ascii="方正仿宋_GBK" w:hAnsi="仿宋" w:eastAsia="方正仿宋_GBK"/>
          <w:sz w:val="32"/>
          <w:szCs w:val="32"/>
        </w:rPr>
        <w:t>站</w:t>
      </w:r>
      <w:r>
        <w:rPr>
          <w:rFonts w:hint="default" w:ascii="方正仿宋_GBK" w:hAnsi="方正仿宋_GBK" w:eastAsia="方正仿宋_GBK" w:cs="方正仿宋_GBK"/>
          <w:bCs/>
          <w:sz w:val="32"/>
          <w:szCs w:val="32"/>
        </w:rPr>
        <w:t>对周围的电磁环境影响</w:t>
      </w:r>
      <w:r>
        <w:rPr>
          <w:rFonts w:hint="eastAsia" w:ascii="方正仿宋_GBK" w:hAnsi="方正仿宋_GBK" w:eastAsia="方正仿宋_GBK" w:cs="方正仿宋_GBK"/>
          <w:bCs/>
          <w:sz w:val="32"/>
          <w:szCs w:val="32"/>
          <w:lang w:val="en-US" w:eastAsia="zh-CN"/>
        </w:rPr>
        <w:t>应</w:t>
      </w:r>
      <w:r>
        <w:rPr>
          <w:rFonts w:hint="default" w:ascii="方正仿宋_GBK" w:hAnsi="方正仿宋_GBK" w:eastAsia="方正仿宋_GBK" w:cs="方正仿宋_GBK"/>
          <w:bCs/>
          <w:sz w:val="32"/>
          <w:szCs w:val="32"/>
        </w:rPr>
        <w:t>满足《电磁环境控制限值》（GB8702-2014）</w:t>
      </w:r>
      <w:r>
        <w:rPr>
          <w:rFonts w:hint="eastAsia" w:ascii="方正仿宋_GBK" w:hAnsi="方正仿宋_GBK" w:eastAsia="方正仿宋_GBK" w:cs="方正仿宋_GBK"/>
          <w:bCs/>
          <w:sz w:val="32"/>
          <w:szCs w:val="32"/>
        </w:rPr>
        <w:t>中所规定的相应控制限值</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电场强度≤4.0kV/m</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磁感应强度≤0.1mT。</w:t>
      </w:r>
    </w:p>
    <w:p>
      <w:pPr>
        <w:pStyle w:val="26"/>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方正仿宋_GBK" w:eastAsia="方正仿宋_GBK"/>
          <w:sz w:val="32"/>
          <w:szCs w:val="32"/>
        </w:rPr>
      </w:pPr>
      <w:r>
        <w:rPr>
          <w:rFonts w:ascii="方正仿宋_GBK" w:hAnsi="仿宋" w:eastAsia="方正仿宋_GBK"/>
          <w:sz w:val="32"/>
          <w:szCs w:val="32"/>
        </w:rPr>
        <w:t>（</w:t>
      </w:r>
      <w:r>
        <w:rPr>
          <w:rFonts w:hint="eastAsia" w:ascii="方正仿宋_GBK" w:hAnsi="仿宋" w:eastAsia="方正仿宋_GBK"/>
          <w:bCs/>
          <w:sz w:val="32"/>
          <w:szCs w:val="32"/>
          <w:lang w:eastAsia="zh-CN"/>
        </w:rPr>
        <w:t>七</w:t>
      </w:r>
      <w:r>
        <w:rPr>
          <w:rFonts w:ascii="方正仿宋_GBK" w:hAnsi="仿宋" w:eastAsia="方正仿宋_GBK"/>
          <w:sz w:val="32"/>
          <w:szCs w:val="32"/>
        </w:rPr>
        <w:t>）</w:t>
      </w:r>
      <w:r>
        <w:rPr>
          <w:rFonts w:hint="eastAsia" w:ascii="方正仿宋_GBK" w:hAnsi="仿宋" w:eastAsia="方正仿宋_GBK"/>
          <w:sz w:val="32"/>
          <w:szCs w:val="32"/>
        </w:rPr>
        <w:t>落实报告表提出的</w:t>
      </w:r>
      <w:r>
        <w:rPr>
          <w:rFonts w:hint="eastAsia" w:ascii="方正仿宋_GBK" w:hAnsi="仿宋" w:eastAsia="方正仿宋_GBK"/>
          <w:sz w:val="32"/>
          <w:szCs w:val="32"/>
          <w:lang w:eastAsia="zh-CN"/>
        </w:rPr>
        <w:t>环境</w:t>
      </w:r>
      <w:r>
        <w:rPr>
          <w:rFonts w:hint="eastAsia" w:ascii="方正仿宋_GBK" w:hAnsi="仿宋" w:eastAsia="方正仿宋_GBK"/>
          <w:sz w:val="32"/>
          <w:szCs w:val="32"/>
        </w:rPr>
        <w:t>风险防范</w:t>
      </w:r>
      <w:r>
        <w:rPr>
          <w:rFonts w:hint="eastAsia" w:ascii="方正仿宋_GBK" w:hAnsi="仿宋" w:eastAsia="方正仿宋_GBK"/>
          <w:sz w:val="32"/>
          <w:szCs w:val="32"/>
          <w:lang w:eastAsia="zh-CN"/>
        </w:rPr>
        <w:t>以及</w:t>
      </w:r>
      <w:r>
        <w:rPr>
          <w:rFonts w:hint="eastAsia" w:ascii="方正仿宋_GBK" w:hAnsi="仿宋" w:eastAsia="方正仿宋_GBK"/>
          <w:sz w:val="32"/>
          <w:szCs w:val="32"/>
          <w:lang w:val="en-US" w:eastAsia="zh-CN"/>
        </w:rPr>
        <w:t>项目服务期满后生态保护</w:t>
      </w:r>
      <w:r>
        <w:rPr>
          <w:rFonts w:hint="eastAsia" w:ascii="方正仿宋_GBK" w:hAnsi="仿宋" w:eastAsia="方正仿宋_GBK"/>
          <w:sz w:val="32"/>
          <w:szCs w:val="32"/>
        </w:rPr>
        <w:t>措施。升压站</w:t>
      </w:r>
      <w:r>
        <w:rPr>
          <w:rFonts w:hint="eastAsia" w:ascii="方正仿宋_GBK" w:hAnsi="仿宋" w:eastAsia="方正仿宋_GBK"/>
          <w:sz w:val="32"/>
          <w:szCs w:val="32"/>
          <w:lang w:eastAsia="zh-CN"/>
        </w:rPr>
        <w:t>设置</w:t>
      </w:r>
      <w:r>
        <w:rPr>
          <w:rFonts w:hint="eastAsia" w:ascii="方正仿宋_GBK" w:hAnsi="仿宋" w:eastAsia="方正仿宋_GBK"/>
          <w:sz w:val="32"/>
          <w:szCs w:val="32"/>
        </w:rPr>
        <w:t>事故油池及</w:t>
      </w:r>
      <w:r>
        <w:rPr>
          <w:rFonts w:hint="eastAsia" w:ascii="方正仿宋_GBK" w:hAnsi="仿宋" w:eastAsia="方正仿宋_GBK"/>
          <w:sz w:val="32"/>
          <w:szCs w:val="32"/>
          <w:lang w:val="en-US" w:eastAsia="zh-CN"/>
        </w:rPr>
        <w:t>储</w:t>
      </w:r>
      <w:r>
        <w:rPr>
          <w:rFonts w:hint="eastAsia" w:ascii="方正仿宋_GBK" w:hAnsi="仿宋" w:eastAsia="方正仿宋_GBK"/>
          <w:sz w:val="32"/>
          <w:szCs w:val="32"/>
        </w:rPr>
        <w:t>油坑</w:t>
      </w:r>
      <w:r>
        <w:rPr>
          <w:rFonts w:hint="eastAsia" w:ascii="方正仿宋_GBK" w:hAnsi="仿宋" w:eastAsia="方正仿宋_GBK"/>
          <w:sz w:val="32"/>
          <w:szCs w:val="32"/>
          <w:lang w:eastAsia="zh-CN"/>
        </w:rPr>
        <w:t>，并采取</w:t>
      </w:r>
      <w:r>
        <w:rPr>
          <w:rFonts w:hint="eastAsia" w:ascii="方正仿宋_GBK" w:hAnsi="仿宋" w:eastAsia="方正仿宋_GBK"/>
          <w:sz w:val="32"/>
          <w:szCs w:val="32"/>
        </w:rPr>
        <w:t>防</w:t>
      </w:r>
      <w:r>
        <w:rPr>
          <w:rFonts w:hint="eastAsia" w:ascii="方正仿宋_GBK" w:hAnsi="仿宋" w:eastAsia="方正仿宋_GBK"/>
          <w:sz w:val="32"/>
          <w:szCs w:val="32"/>
          <w:lang w:eastAsia="zh-CN"/>
        </w:rPr>
        <w:t>渗漏措施。</w:t>
      </w:r>
      <w:r>
        <w:rPr>
          <w:rFonts w:hint="eastAsia" w:ascii="方正仿宋_GBK" w:hAnsi="Times New Roman" w:eastAsia="方正仿宋_GBK"/>
          <w:sz w:val="32"/>
          <w:szCs w:val="32"/>
        </w:rPr>
        <w:t>加强环境风险管理，防止因事故引发环境污染。</w:t>
      </w:r>
    </w:p>
    <w:p>
      <w:pPr>
        <w:pStyle w:val="26"/>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方正仿宋_GBK" w:eastAsia="方正仿宋_GBK" w:cs="Times New Roman"/>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八</w:t>
      </w:r>
      <w:r>
        <w:rPr>
          <w:rFonts w:hint="eastAsia" w:ascii="方正仿宋_GBK" w:eastAsia="方正仿宋_GBK"/>
          <w:sz w:val="32"/>
          <w:szCs w:val="32"/>
        </w:rPr>
        <w:t>）</w:t>
      </w:r>
      <w:r>
        <w:rPr>
          <w:rFonts w:hint="eastAsia" w:ascii="方正仿宋_GBK" w:eastAsia="方正仿宋_GBK" w:cs="Times New Roman"/>
          <w:sz w:val="32"/>
          <w:szCs w:val="32"/>
        </w:rPr>
        <w:t>建立企业内部生态环境管理机构和管理制度，明确人员和职责。项目主动公开环境信息，接受社会监督，项目的环保日常监督管理由万州区生态环境保护综合行政执法支队按照有关职责实施。</w:t>
      </w:r>
    </w:p>
    <w:p>
      <w:pPr>
        <w:pStyle w:val="26"/>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方正仿宋_GBK" w:hAnsi="仿宋" w:eastAsia="方正仿宋_GBK"/>
          <w:color w:val="000000"/>
          <w:sz w:val="32"/>
          <w:szCs w:val="32"/>
        </w:rPr>
      </w:pPr>
      <w:r>
        <w:rPr>
          <w:rFonts w:hint="eastAsia" w:ascii="方正仿宋_GBK" w:eastAsia="方正仿宋_GBK"/>
          <w:sz w:val="32"/>
          <w:szCs w:val="32"/>
        </w:rPr>
        <w:t>四、</w:t>
      </w:r>
      <w:r>
        <w:rPr>
          <w:rFonts w:ascii="方正仿宋_GBK" w:eastAsia="方正仿宋_GBK"/>
          <w:sz w:val="32"/>
          <w:szCs w:val="32"/>
        </w:rPr>
        <w:t>项目建设必须严格执行环境保护设施与主体工程</w:t>
      </w:r>
      <w:r>
        <w:rPr>
          <w:rFonts w:ascii="方正仿宋_GBK" w:hAnsi="仿宋" w:eastAsia="方正仿宋_GBK"/>
          <w:color w:val="000000"/>
          <w:sz w:val="32"/>
          <w:szCs w:val="32"/>
        </w:rPr>
        <w:t>同时设计、同时施工、同时投</w:t>
      </w:r>
      <w:r>
        <w:rPr>
          <w:rFonts w:hint="eastAsia" w:ascii="方正仿宋_GBK" w:hAnsi="仿宋" w:eastAsia="方正仿宋_GBK"/>
          <w:color w:val="000000"/>
          <w:sz w:val="32"/>
          <w:szCs w:val="32"/>
        </w:rPr>
        <w:t>入</w:t>
      </w:r>
      <w:r>
        <w:rPr>
          <w:rFonts w:ascii="方正仿宋_GBK" w:hAnsi="仿宋" w:eastAsia="方正仿宋_GBK"/>
          <w:color w:val="000000"/>
          <w:sz w:val="32"/>
          <w:szCs w:val="32"/>
        </w:rPr>
        <w:t>使用的环境保护“三同时”制度</w:t>
      </w:r>
      <w:r>
        <w:rPr>
          <w:rFonts w:hint="eastAsia" w:ascii="方正仿宋_GBK" w:hAnsi="仿宋" w:eastAsia="方正仿宋_GBK"/>
          <w:color w:val="000000"/>
          <w:sz w:val="32"/>
          <w:szCs w:val="32"/>
        </w:rPr>
        <w:t>。项目环保投资纳入工程投资概算并予以落实。项目竣工后，应按照有关规定</w:t>
      </w:r>
      <w:r>
        <w:rPr>
          <w:rFonts w:hint="eastAsia" w:ascii="方正仿宋_GBK" w:hAnsi="仿宋" w:eastAsia="方正仿宋_GBK" w:cs="Times New Roman"/>
          <w:bCs/>
          <w:sz w:val="32"/>
          <w:szCs w:val="32"/>
        </w:rPr>
        <w:t>对环境保护设施进行验收</w:t>
      </w:r>
      <w:r>
        <w:rPr>
          <w:rFonts w:hint="eastAsia" w:ascii="方正仿宋_GBK" w:hAnsi="仿宋" w:eastAsia="方正仿宋_GBK"/>
          <w:color w:val="000000"/>
          <w:sz w:val="32"/>
          <w:szCs w:val="32"/>
        </w:rPr>
        <w:t>，编制验收报告并依法向社会公开验收报告，公示期满5个工作日内，登录全国建设项目竣工环境保护验收信息平台，填报验收等相关信息。</w:t>
      </w:r>
    </w:p>
    <w:p>
      <w:pPr>
        <w:pStyle w:val="10"/>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ascii="方正仿宋_GBK" w:hAnsi="仿宋" w:eastAsia="方正仿宋_GBK"/>
          <w:color w:val="000000"/>
          <w:sz w:val="32"/>
          <w:szCs w:val="32"/>
        </w:rPr>
      </w:pPr>
      <w:r>
        <w:rPr>
          <w:rFonts w:hint="eastAsia" w:ascii="方正仿宋_GBK" w:hAnsi="仿宋" w:eastAsia="方正仿宋_GBK"/>
          <w:color w:val="000000"/>
          <w:sz w:val="32"/>
          <w:szCs w:val="32"/>
        </w:rPr>
        <w:t>五、</w:t>
      </w:r>
      <w:r>
        <w:rPr>
          <w:rFonts w:ascii="方正仿宋_GBK" w:hAnsi="仿宋" w:eastAsia="方正仿宋_GBK"/>
          <w:color w:val="000000"/>
          <w:sz w:val="32"/>
          <w:szCs w:val="32"/>
        </w:rPr>
        <w:t>项目的性质、规模、地点、采用的生产工艺或者防治污染、防止生态破坏的措施发生重大变动</w:t>
      </w:r>
      <w:r>
        <w:rPr>
          <w:rFonts w:hint="eastAsia" w:ascii="方正仿宋_GBK" w:hAnsi="仿宋" w:eastAsia="方正仿宋_GBK"/>
          <w:color w:val="000000"/>
          <w:sz w:val="32"/>
          <w:szCs w:val="32"/>
        </w:rPr>
        <w:t>的</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你公司</w:t>
      </w:r>
      <w:r>
        <w:rPr>
          <w:rFonts w:ascii="方正仿宋_GBK" w:hAnsi="仿宋" w:eastAsia="方正仿宋_GBK"/>
          <w:color w:val="000000"/>
          <w:sz w:val="32"/>
          <w:szCs w:val="32"/>
        </w:rPr>
        <w:t>应当重新报批</w:t>
      </w:r>
      <w:r>
        <w:rPr>
          <w:rFonts w:hint="eastAsia" w:ascii="方正仿宋_GBK" w:hAnsi="仿宋" w:eastAsia="方正仿宋_GBK"/>
          <w:color w:val="000000"/>
          <w:sz w:val="32"/>
          <w:szCs w:val="32"/>
        </w:rPr>
        <w:t>该</w:t>
      </w:r>
      <w:r>
        <w:rPr>
          <w:rFonts w:ascii="方正仿宋_GBK" w:hAnsi="仿宋" w:eastAsia="方正仿宋_GBK"/>
          <w:color w:val="000000"/>
          <w:sz w:val="32"/>
          <w:szCs w:val="32"/>
        </w:rPr>
        <w:t>项目的环境影响评价文件。</w:t>
      </w:r>
    </w:p>
    <w:p>
      <w:pPr>
        <w:pStyle w:val="10"/>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ascii="方正仿宋_GBK" w:eastAsia="方正仿宋_GBK"/>
          <w:b w:val="0"/>
          <w:sz w:val="32"/>
          <w:szCs w:val="32"/>
        </w:rPr>
      </w:pPr>
      <w:r>
        <w:rPr>
          <w:rFonts w:hint="eastAsia" w:ascii="方正仿宋_GBK" w:hAnsi="仿宋" w:eastAsia="方正仿宋_GBK"/>
          <w:color w:val="000000"/>
          <w:sz w:val="32"/>
          <w:szCs w:val="32"/>
        </w:rPr>
        <w:t>六、若项目实施或运行后，国家和重庆市提出新的环境管控要求，或发布更加严格的污染物排放标准，你公司有义务采取有效的改进措施确保项目满足新的环境保护管理规定。</w:t>
      </w:r>
    </w:p>
    <w:p>
      <w:pPr>
        <w:pStyle w:val="7"/>
        <w:snapToGrid w:val="0"/>
        <w:spacing w:line="520" w:lineRule="exact"/>
        <w:ind w:left="0" w:right="105" w:rightChars="50" w:firstLine="4640" w:firstLineChars="1450"/>
        <w:rPr>
          <w:rFonts w:hint="eastAsia" w:ascii="方正仿宋_GBK" w:eastAsia="方正仿宋_GBK"/>
          <w:b w:val="0"/>
          <w:sz w:val="32"/>
          <w:szCs w:val="32"/>
        </w:rPr>
      </w:pPr>
    </w:p>
    <w:p>
      <w:pPr>
        <w:pStyle w:val="7"/>
        <w:snapToGrid w:val="0"/>
        <w:spacing w:line="520" w:lineRule="exact"/>
        <w:ind w:left="0" w:leftChars="0" w:right="105" w:rightChars="50" w:firstLine="0" w:firstLineChars="0"/>
        <w:rPr>
          <w:rFonts w:hint="eastAsia" w:ascii="方正仿宋_GBK" w:eastAsia="方正仿宋_GBK"/>
          <w:b w:val="0"/>
          <w:sz w:val="32"/>
          <w:szCs w:val="32"/>
        </w:rPr>
      </w:pPr>
    </w:p>
    <w:p>
      <w:pPr>
        <w:pStyle w:val="7"/>
        <w:snapToGrid w:val="0"/>
        <w:spacing w:line="520" w:lineRule="exact"/>
        <w:ind w:left="0" w:right="105" w:rightChars="50" w:firstLine="4640" w:firstLineChars="1450"/>
        <w:rPr>
          <w:rFonts w:hint="eastAsia" w:ascii="方正仿宋_GBK" w:eastAsia="方正仿宋_GBK"/>
          <w:b w:val="0"/>
          <w:sz w:val="32"/>
          <w:szCs w:val="32"/>
        </w:rPr>
      </w:pPr>
    </w:p>
    <w:p>
      <w:pPr>
        <w:pStyle w:val="7"/>
        <w:snapToGrid w:val="0"/>
        <w:spacing w:line="520" w:lineRule="exact"/>
        <w:ind w:left="0" w:leftChars="0" w:right="105" w:rightChars="50" w:firstLine="4480" w:firstLineChars="1400"/>
        <w:rPr>
          <w:rFonts w:ascii="方正仿宋_GBK" w:eastAsia="方正仿宋_GBK"/>
          <w:b w:val="0"/>
          <w:sz w:val="32"/>
          <w:szCs w:val="32"/>
        </w:rPr>
      </w:pPr>
      <w:r>
        <w:rPr>
          <w:rFonts w:hint="eastAsia" w:ascii="方正仿宋_GBK" w:eastAsia="方正仿宋_GBK"/>
          <w:b w:val="0"/>
          <w:sz w:val="32"/>
          <w:szCs w:val="32"/>
        </w:rPr>
        <w:t>重庆市万州区生态环境局</w:t>
      </w:r>
    </w:p>
    <w:p>
      <w:pPr>
        <w:pStyle w:val="7"/>
        <w:snapToGrid w:val="0"/>
        <w:spacing w:line="520" w:lineRule="exact"/>
        <w:ind w:right="105" w:rightChars="50" w:firstLine="4870" w:firstLineChars="1522"/>
        <w:rPr>
          <w:rFonts w:hint="eastAsia" w:ascii="方正仿宋_GBK" w:eastAsia="方正仿宋_GBK"/>
          <w:b w:val="0"/>
          <w:sz w:val="32"/>
          <w:szCs w:val="32"/>
        </w:rPr>
      </w:pPr>
      <w:r>
        <w:rPr>
          <w:rFonts w:hint="eastAsia" w:ascii="方正仿宋_GBK" w:eastAsia="方正仿宋_GBK"/>
          <w:b w:val="0"/>
          <w:sz w:val="32"/>
          <w:szCs w:val="32"/>
        </w:rPr>
        <w:t>202</w:t>
      </w:r>
      <w:r>
        <w:rPr>
          <w:rFonts w:hint="eastAsia" w:ascii="方正仿宋_GBK" w:eastAsia="方正仿宋_GBK"/>
          <w:b w:val="0"/>
          <w:sz w:val="32"/>
          <w:szCs w:val="32"/>
          <w:lang w:val="en-US" w:eastAsia="zh-CN"/>
        </w:rPr>
        <w:t>2</w:t>
      </w:r>
      <w:r>
        <w:rPr>
          <w:rFonts w:hint="eastAsia" w:ascii="方正仿宋_GBK" w:eastAsia="方正仿宋_GBK"/>
          <w:b w:val="0"/>
          <w:sz w:val="32"/>
          <w:szCs w:val="32"/>
        </w:rPr>
        <w:t>年</w:t>
      </w:r>
      <w:r>
        <w:rPr>
          <w:rFonts w:hint="eastAsia" w:ascii="方正仿宋_GBK" w:eastAsia="方正仿宋_GBK"/>
          <w:b w:val="0"/>
          <w:sz w:val="32"/>
          <w:szCs w:val="32"/>
          <w:lang w:val="en-US" w:eastAsia="zh-CN"/>
        </w:rPr>
        <w:t>3</w:t>
      </w:r>
      <w:r>
        <w:rPr>
          <w:rFonts w:hint="eastAsia" w:ascii="方正仿宋_GBK" w:eastAsia="方正仿宋_GBK"/>
          <w:b w:val="0"/>
          <w:sz w:val="32"/>
          <w:szCs w:val="32"/>
        </w:rPr>
        <w:t>月</w:t>
      </w:r>
      <w:r>
        <w:rPr>
          <w:rFonts w:hint="eastAsia" w:ascii="方正仿宋_GBK" w:eastAsia="方正仿宋_GBK"/>
          <w:b w:val="0"/>
          <w:sz w:val="32"/>
          <w:szCs w:val="32"/>
          <w:lang w:val="en-US" w:eastAsia="zh-CN"/>
        </w:rPr>
        <w:t>22</w:t>
      </w:r>
      <w:r>
        <w:rPr>
          <w:rFonts w:hint="eastAsia" w:ascii="方正仿宋_GBK" w:eastAsia="方正仿宋_GBK"/>
          <w:b w:val="0"/>
          <w:sz w:val="32"/>
          <w:szCs w:val="32"/>
        </w:rPr>
        <w:t>日</w:t>
      </w:r>
    </w:p>
    <w:p>
      <w:pPr>
        <w:ind w:firstLine="1265" w:firstLineChars="350"/>
        <w:rPr>
          <w:rFonts w:hint="eastAsia"/>
          <w:b/>
          <w:sz w:val="36"/>
          <w:szCs w:val="36"/>
        </w:rPr>
      </w:pPr>
    </w:p>
    <w:p>
      <w:pPr>
        <w:ind w:firstLine="1265" w:firstLineChars="350"/>
        <w:rPr>
          <w:rFonts w:hint="eastAsia"/>
          <w:b/>
          <w:sz w:val="36"/>
          <w:szCs w:val="36"/>
        </w:rPr>
      </w:pPr>
    </w:p>
    <w:p>
      <w:pPr>
        <w:ind w:firstLine="1265" w:firstLineChars="350"/>
        <w:rPr>
          <w:rFonts w:hint="eastAsia"/>
          <w:b/>
          <w:sz w:val="36"/>
          <w:szCs w:val="36"/>
        </w:rPr>
      </w:pPr>
    </w:p>
    <w:p>
      <w:pPr>
        <w:rPr>
          <w:rFonts w:hint="eastAsia"/>
          <w:b/>
          <w:sz w:val="36"/>
          <w:szCs w:val="36"/>
        </w:rPr>
      </w:pPr>
    </w:p>
    <w:p>
      <w:pPr>
        <w:ind w:firstLine="1265" w:firstLineChars="350"/>
        <w:rPr>
          <w:rFonts w:hint="eastAsia"/>
          <w:b/>
          <w:sz w:val="36"/>
          <w:szCs w:val="36"/>
        </w:rPr>
      </w:pPr>
    </w:p>
    <w:p>
      <w:pPr>
        <w:ind w:firstLine="723" w:firstLineChars="200"/>
        <w:rPr>
          <w:b/>
          <w:sz w:val="36"/>
          <w:szCs w:val="36"/>
        </w:rPr>
      </w:pPr>
      <w:r>
        <w:rPr>
          <w:rFonts w:hint="eastAsia"/>
          <w:b/>
          <w:sz w:val="36"/>
          <w:szCs w:val="36"/>
        </w:rPr>
        <w:t>重庆市建设项目环境影响评价文件审批表</w:t>
      </w:r>
    </w:p>
    <w:p>
      <w:pPr>
        <w:wordWrap w:val="0"/>
        <w:ind w:right="1718" w:rightChars="818"/>
        <w:jc w:val="right"/>
        <w:rPr>
          <w:rFonts w:hint="eastAsia" w:ascii="宋体" w:eastAsia="宋体"/>
          <w:bCs/>
          <w:sz w:val="24"/>
          <w:lang w:val="en-US" w:eastAsia="zh-CN"/>
        </w:rPr>
      </w:pPr>
      <w:r>
        <w:rPr>
          <w:rFonts w:hint="eastAsia" w:ascii="宋体"/>
          <w:bCs/>
          <w:sz w:val="24"/>
        </w:rPr>
        <w:t>编号：202</w:t>
      </w:r>
      <w:r>
        <w:rPr>
          <w:rFonts w:hint="eastAsia" w:ascii="宋体"/>
          <w:bCs/>
          <w:sz w:val="24"/>
          <w:lang w:val="en-US" w:eastAsia="zh-CN"/>
        </w:rPr>
        <w:t>2</w:t>
      </w:r>
      <w:r>
        <w:rPr>
          <w:rFonts w:hint="eastAsia" w:ascii="宋体"/>
          <w:bCs/>
          <w:color w:val="000000"/>
          <w:sz w:val="24"/>
        </w:rPr>
        <w:t>-</w:t>
      </w:r>
      <w:r>
        <w:rPr>
          <w:rFonts w:hint="eastAsia" w:ascii="宋体"/>
          <w:bCs/>
          <w:color w:val="000000"/>
          <w:sz w:val="24"/>
          <w:lang w:val="en-US" w:eastAsia="zh-CN"/>
        </w:rPr>
        <w:t xml:space="preserve"> </w:t>
      </w:r>
    </w:p>
    <w:tbl>
      <w:tblPr>
        <w:tblStyle w:val="19"/>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186" w:type="dxa"/>
            <w:vAlign w:val="center"/>
          </w:tcPr>
          <w:p>
            <w:pPr>
              <w:rPr>
                <w:rFonts w:ascii="楷体_GB2312" w:hAnsi="宋体" w:eastAsia="楷体_GB2312"/>
                <w:sz w:val="24"/>
              </w:rPr>
            </w:pPr>
            <w:r>
              <w:rPr>
                <w:rFonts w:hint="eastAsia" w:ascii="楷体_GB2312" w:hAnsi="宋体" w:eastAsia="楷体_GB2312"/>
                <w:sz w:val="24"/>
              </w:rPr>
              <w:t>建设单位</w:t>
            </w:r>
          </w:p>
        </w:tc>
        <w:tc>
          <w:tcPr>
            <w:tcW w:w="8462" w:type="dxa"/>
            <w:vAlign w:val="center"/>
          </w:tcPr>
          <w:p>
            <w:pPr>
              <w:rPr>
                <w:rFonts w:hint="eastAsia" w:ascii="楷体_GB2312" w:hAnsi="宋体" w:eastAsia="楷体_GB2312" w:cs="Times New Roman"/>
                <w:sz w:val="24"/>
                <w:szCs w:val="22"/>
              </w:rPr>
            </w:pPr>
            <w:r>
              <w:rPr>
                <w:rFonts w:hint="eastAsia" w:ascii="楷体_GB2312" w:hAnsi="宋体" w:eastAsia="楷体_GB2312" w:cs="Times New Roman"/>
                <w:sz w:val="24"/>
                <w:szCs w:val="22"/>
              </w:rPr>
              <w:t>重庆三峡水利电力（集团）股份有限公司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6" w:type="dxa"/>
            <w:vAlign w:val="center"/>
          </w:tcPr>
          <w:p>
            <w:pPr>
              <w:rPr>
                <w:rFonts w:ascii="楷体_GB2312" w:hAnsi="宋体" w:eastAsia="楷体_GB2312"/>
                <w:sz w:val="24"/>
              </w:rPr>
            </w:pPr>
            <w:r>
              <w:rPr>
                <w:rFonts w:hint="eastAsia" w:ascii="楷体_GB2312" w:hAnsi="宋体" w:eastAsia="楷体_GB2312"/>
                <w:sz w:val="24"/>
              </w:rPr>
              <w:t>项目名称</w:t>
            </w:r>
          </w:p>
        </w:tc>
        <w:tc>
          <w:tcPr>
            <w:tcW w:w="8462" w:type="dxa"/>
            <w:vAlign w:val="center"/>
          </w:tcPr>
          <w:p>
            <w:pPr>
              <w:rPr>
                <w:rFonts w:hint="eastAsia" w:ascii="楷体_GB2312" w:hAnsi="宋体" w:eastAsia="楷体_GB2312" w:cs="Times New Roman"/>
                <w:sz w:val="24"/>
                <w:szCs w:val="22"/>
              </w:rPr>
            </w:pPr>
            <w:r>
              <w:rPr>
                <w:rFonts w:hint="eastAsia" w:ascii="楷体_GB2312" w:hAnsi="宋体" w:eastAsia="楷体_GB2312" w:cs="Times New Roman"/>
                <w:sz w:val="24"/>
                <w:szCs w:val="22"/>
                <w:lang w:val="en-US" w:eastAsia="zh-CN"/>
              </w:rPr>
              <w:t>万州区110kV龙古变电站增容改造工程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6" w:hRule="atLeast"/>
        </w:trPr>
        <w:tc>
          <w:tcPr>
            <w:tcW w:w="1186" w:type="dxa"/>
            <w:tcBorders>
              <w:bottom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对</w:t>
            </w:r>
          </w:p>
          <w:p>
            <w:pPr>
              <w:jc w:val="center"/>
              <w:rPr>
                <w:rFonts w:ascii="楷体_GB2312" w:hAnsi="宋体" w:eastAsia="楷体_GB2312"/>
                <w:sz w:val="24"/>
              </w:rPr>
            </w:pPr>
            <w:r>
              <w:rPr>
                <w:rFonts w:hint="eastAsia" w:ascii="楷体_GB2312" w:hAnsi="宋体" w:eastAsia="楷体_GB2312"/>
                <w:sz w:val="24"/>
              </w:rPr>
              <w:t>申</w:t>
            </w:r>
          </w:p>
          <w:p>
            <w:pPr>
              <w:jc w:val="center"/>
              <w:rPr>
                <w:rFonts w:ascii="楷体_GB2312" w:hAnsi="宋体" w:eastAsia="楷体_GB2312"/>
                <w:sz w:val="24"/>
              </w:rPr>
            </w:pPr>
            <w:r>
              <w:rPr>
                <w:rFonts w:hint="eastAsia" w:ascii="楷体_GB2312" w:hAnsi="宋体" w:eastAsia="楷体_GB2312"/>
                <w:sz w:val="24"/>
              </w:rPr>
              <w:t>请</w:t>
            </w:r>
          </w:p>
          <w:p>
            <w:pPr>
              <w:jc w:val="center"/>
              <w:rPr>
                <w:rFonts w:ascii="楷体_GB2312" w:hAnsi="宋体" w:eastAsia="楷体_GB2312"/>
                <w:sz w:val="24"/>
              </w:rPr>
            </w:pPr>
            <w:r>
              <w:rPr>
                <w:rFonts w:hint="eastAsia" w:ascii="楷体_GB2312" w:hAnsi="宋体" w:eastAsia="楷体_GB2312"/>
                <w:sz w:val="24"/>
              </w:rPr>
              <w:t>实</w:t>
            </w:r>
          </w:p>
          <w:p>
            <w:pPr>
              <w:jc w:val="center"/>
              <w:rPr>
                <w:rFonts w:ascii="楷体_GB2312" w:hAnsi="宋体" w:eastAsia="楷体_GB2312"/>
                <w:sz w:val="24"/>
              </w:rPr>
            </w:pPr>
            <w:r>
              <w:rPr>
                <w:rFonts w:hint="eastAsia" w:ascii="楷体_GB2312" w:hAnsi="宋体" w:eastAsia="楷体_GB2312"/>
                <w:sz w:val="24"/>
              </w:rPr>
              <w:t>质</w:t>
            </w:r>
          </w:p>
          <w:p>
            <w:pPr>
              <w:jc w:val="center"/>
              <w:rPr>
                <w:rFonts w:ascii="楷体_GB2312" w:hAnsi="宋体" w:eastAsia="楷体_GB2312"/>
                <w:sz w:val="24"/>
              </w:rPr>
            </w:pPr>
            <w:r>
              <w:rPr>
                <w:rFonts w:hint="eastAsia" w:ascii="楷体_GB2312" w:hAnsi="宋体" w:eastAsia="楷体_GB2312"/>
                <w:sz w:val="24"/>
              </w:rPr>
              <w:t>审</w:t>
            </w:r>
          </w:p>
          <w:p>
            <w:pPr>
              <w:jc w:val="center"/>
              <w:rPr>
                <w:rFonts w:ascii="楷体_GB2312" w:hAnsi="宋体" w:eastAsia="楷体_GB2312"/>
                <w:sz w:val="24"/>
              </w:rPr>
            </w:pPr>
            <w:r>
              <w:rPr>
                <w:rFonts w:hint="eastAsia" w:ascii="楷体_GB2312" w:hAnsi="宋体" w:eastAsia="楷体_GB2312"/>
                <w:sz w:val="24"/>
              </w:rPr>
              <w:t>查</w:t>
            </w:r>
          </w:p>
          <w:p>
            <w:pPr>
              <w:jc w:val="center"/>
              <w:rPr>
                <w:rFonts w:ascii="楷体_GB2312" w:hAnsi="宋体" w:eastAsia="楷体_GB2312"/>
                <w:sz w:val="24"/>
              </w:rPr>
            </w:pPr>
            <w:r>
              <w:rPr>
                <w:rFonts w:hint="eastAsia" w:ascii="楷体_GB2312" w:hAnsi="宋体" w:eastAsia="楷体_GB2312"/>
                <w:sz w:val="24"/>
              </w:rPr>
              <w:t>情</w:t>
            </w:r>
          </w:p>
          <w:p>
            <w:pPr>
              <w:jc w:val="center"/>
              <w:rPr>
                <w:rFonts w:ascii="楷体_GB2312" w:hAnsi="宋体" w:eastAsia="楷体_GB2312"/>
                <w:sz w:val="24"/>
              </w:rPr>
            </w:pPr>
            <w:r>
              <w:rPr>
                <w:rFonts w:hint="eastAsia" w:ascii="楷体_GB2312" w:hAnsi="宋体" w:eastAsia="楷体_GB2312"/>
                <w:sz w:val="24"/>
              </w:rPr>
              <w:t>况</w:t>
            </w:r>
          </w:p>
        </w:tc>
        <w:tc>
          <w:tcPr>
            <w:tcW w:w="8462" w:type="dxa"/>
          </w:tcPr>
          <w:p>
            <w:pPr>
              <w:spacing w:line="600" w:lineRule="exact"/>
              <w:rPr>
                <w:rFonts w:ascii="楷体_GB2312" w:hAnsi="宋体" w:eastAsia="楷体_GB2312"/>
                <w:sz w:val="24"/>
              </w:rPr>
            </w:pPr>
            <w:r>
              <w:rPr>
                <w:rFonts w:hint="eastAsia" w:ascii="楷体_GB2312" w:hAnsi="宋体" w:eastAsia="楷体_GB2312"/>
                <w:sz w:val="24"/>
              </w:rPr>
              <w:t>1、产业政策的符合性：符合</w:t>
            </w:r>
          </w:p>
          <w:p>
            <w:pPr>
              <w:spacing w:line="600" w:lineRule="exact"/>
              <w:rPr>
                <w:rFonts w:ascii="楷体_GB2312" w:hAnsi="宋体" w:eastAsia="楷体_GB2312"/>
                <w:sz w:val="24"/>
              </w:rPr>
            </w:pPr>
            <w:r>
              <w:rPr>
                <w:rFonts w:hint="eastAsia" w:ascii="楷体_GB2312" w:hAnsi="宋体" w:eastAsia="楷体_GB2312"/>
                <w:sz w:val="24"/>
              </w:rPr>
              <w:t>2、规划的符合性：</w:t>
            </w:r>
            <w:r>
              <w:rPr>
                <w:rFonts w:hint="eastAsia" w:ascii="楷体_GB2312" w:hAnsi="宋体" w:eastAsia="楷体_GB2312"/>
                <w:bCs/>
                <w:sz w:val="24"/>
              </w:rPr>
              <w:t>符合</w:t>
            </w:r>
          </w:p>
          <w:p>
            <w:pPr>
              <w:spacing w:line="600" w:lineRule="exact"/>
              <w:rPr>
                <w:rFonts w:ascii="楷体_GB2312" w:hAnsi="宋体" w:eastAsia="楷体_GB2312"/>
                <w:sz w:val="24"/>
              </w:rPr>
            </w:pPr>
            <w:r>
              <w:rPr>
                <w:rFonts w:hint="eastAsia" w:ascii="楷体_GB2312" w:hAnsi="宋体" w:eastAsia="楷体_GB2312"/>
                <w:sz w:val="24"/>
              </w:rPr>
              <w:t>3、功能区环境质量的符合性：基本符合</w:t>
            </w:r>
          </w:p>
          <w:p>
            <w:pPr>
              <w:spacing w:line="600" w:lineRule="exact"/>
              <w:rPr>
                <w:rFonts w:ascii="楷体_GB2312" w:hAnsi="宋体" w:eastAsia="楷体_GB2312"/>
                <w:sz w:val="24"/>
              </w:rPr>
            </w:pPr>
            <w:r>
              <w:rPr>
                <w:rFonts w:hint="eastAsia" w:ascii="楷体_GB2312" w:hAnsi="宋体" w:eastAsia="楷体_GB2312"/>
                <w:sz w:val="24"/>
              </w:rPr>
              <w:t>4、清洁生产水平的符合性：符合</w:t>
            </w:r>
          </w:p>
          <w:p>
            <w:pPr>
              <w:spacing w:line="600" w:lineRule="exact"/>
              <w:rPr>
                <w:rFonts w:ascii="楷体_GB2312" w:hAnsi="宋体" w:eastAsia="楷体_GB2312"/>
                <w:sz w:val="24"/>
              </w:rPr>
            </w:pPr>
            <w:r>
              <w:rPr>
                <w:rFonts w:hint="eastAsia" w:ascii="楷体_GB2312" w:hAnsi="宋体" w:eastAsia="楷体_GB2312"/>
                <w:sz w:val="24"/>
              </w:rPr>
              <w:t>5、污染物达标排放的符合性：符合</w:t>
            </w:r>
          </w:p>
          <w:p>
            <w:pPr>
              <w:spacing w:line="600" w:lineRule="exact"/>
              <w:rPr>
                <w:rFonts w:ascii="楷体_GB2312" w:hAnsi="宋体" w:eastAsia="楷体_GB2312"/>
                <w:sz w:val="24"/>
              </w:rPr>
            </w:pPr>
            <w:r>
              <w:rPr>
                <w:rFonts w:hint="eastAsia" w:ascii="楷体_GB2312" w:hAnsi="宋体" w:eastAsia="楷体_GB2312"/>
                <w:sz w:val="24"/>
              </w:rPr>
              <w:t>6、污染物总量控制指标的符合性：符合</w:t>
            </w:r>
          </w:p>
          <w:p>
            <w:pPr>
              <w:spacing w:line="600" w:lineRule="exact"/>
              <w:rPr>
                <w:rFonts w:ascii="楷体_GB2312" w:hAnsi="宋体" w:eastAsia="楷体_GB2312"/>
                <w:sz w:val="24"/>
              </w:rPr>
            </w:pPr>
            <w:r>
              <w:rPr>
                <w:rFonts w:hint="eastAsia" w:ascii="楷体_GB2312" w:hAnsi="宋体" w:eastAsia="楷体_GB2312"/>
                <w:sz w:val="24"/>
              </w:rPr>
              <w:t>7、环境敏感目标：周围居民</w:t>
            </w:r>
          </w:p>
          <w:p>
            <w:pPr>
              <w:spacing w:line="600" w:lineRule="exact"/>
              <w:rPr>
                <w:rFonts w:ascii="楷体_GB2312" w:hAnsi="宋体" w:eastAsia="楷体_GB2312"/>
                <w:sz w:val="24"/>
              </w:rPr>
            </w:pPr>
            <w:r>
              <w:rPr>
                <w:rFonts w:hint="eastAsia" w:ascii="楷体_GB2312" w:hAnsi="宋体" w:eastAsia="楷体_GB2312"/>
                <w:sz w:val="24"/>
              </w:rPr>
              <w:t>8、环境风险评价情况：有</w:t>
            </w:r>
          </w:p>
          <w:p>
            <w:pPr>
              <w:spacing w:line="600" w:lineRule="exact"/>
              <w:rPr>
                <w:rFonts w:ascii="楷体_GB2312" w:hAnsi="宋体" w:eastAsia="楷体_GB2312"/>
                <w:sz w:val="24"/>
              </w:rPr>
            </w:pPr>
            <w:r>
              <w:rPr>
                <w:rFonts w:hint="eastAsia" w:ascii="楷体_GB2312" w:hAnsi="宋体" w:eastAsia="楷体_GB2312"/>
                <w:sz w:val="24"/>
              </w:rPr>
              <w:t>9、其它：(蓝天行动、环境准入政策的符合性)符合</w:t>
            </w:r>
          </w:p>
          <w:p>
            <w:pPr>
              <w:spacing w:line="600" w:lineRule="exact"/>
              <w:rPr>
                <w:rFonts w:ascii="楷体_GB2312" w:hAnsi="宋体" w:eastAsia="楷体_GB2312"/>
                <w:sz w:val="24"/>
              </w:rPr>
            </w:pPr>
            <w:r>
              <w:rPr>
                <w:rFonts w:hint="eastAsia" w:ascii="楷体_GB2312" w:hAnsi="宋体" w:eastAsia="楷体_GB2312"/>
                <w:sz w:val="24"/>
              </w:rPr>
              <w:t>10、污染物排放标准及总量指标见附件</w:t>
            </w:r>
          </w:p>
          <w:p>
            <w:pPr>
              <w:rPr>
                <w:rFonts w:ascii="楷体_GB2312" w:hAnsi="宋体" w:eastAsia="楷体_GB2312"/>
                <w:sz w:val="24"/>
              </w:rPr>
            </w:pPr>
          </w:p>
          <w:p>
            <w:pPr>
              <w:ind w:firstLine="2880" w:firstLineChars="1200"/>
              <w:rPr>
                <w:rFonts w:ascii="楷体_GB2312" w:hAnsi="宋体" w:eastAsia="楷体_GB2312"/>
                <w:sz w:val="24"/>
              </w:rPr>
            </w:pPr>
          </w:p>
          <w:p>
            <w:pPr>
              <w:ind w:firstLine="2880" w:firstLineChars="1200"/>
              <w:rPr>
                <w:rFonts w:ascii="楷体_GB2312" w:hAnsi="宋体" w:eastAsia="楷体_GB2312"/>
                <w:bCs/>
                <w:sz w:val="24"/>
              </w:rPr>
            </w:pPr>
            <w:r>
              <w:rPr>
                <w:rFonts w:hint="eastAsia" w:ascii="楷体_GB2312" w:hAnsi="宋体" w:eastAsia="楷体_GB2312"/>
                <w:sz w:val="24"/>
              </w:rPr>
              <w:t>经办人：</w:t>
            </w:r>
            <w:r>
              <w:rPr>
                <w:rFonts w:hint="eastAsia" w:ascii="楷体_GB2312" w:hAnsi="宋体" w:eastAsia="楷体_GB2312"/>
                <w:bCs/>
                <w:sz w:val="24"/>
              </w:rPr>
              <w:t xml:space="preserve">　　　　　　　       </w:t>
            </w:r>
            <w:r>
              <w:rPr>
                <w:rFonts w:hint="eastAsia" w:ascii="楷体_GB2312" w:hAnsi="宋体"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trPr>
        <w:tc>
          <w:tcPr>
            <w:tcW w:w="9648" w:type="dxa"/>
            <w:gridSpan w:val="2"/>
            <w:tcBorders>
              <w:bottom w:val="single" w:color="auto" w:sz="4" w:space="0"/>
            </w:tcBorders>
            <w:vAlign w:val="center"/>
          </w:tcPr>
          <w:p>
            <w:pPr>
              <w:rPr>
                <w:rFonts w:ascii="楷体_GB2312" w:hAnsi="宋体" w:eastAsia="楷体_GB2312"/>
                <w:sz w:val="24"/>
              </w:rPr>
            </w:pPr>
            <w:r>
              <w:rPr>
                <w:rFonts w:hint="eastAsia" w:ascii="楷体_GB2312" w:hAnsi="宋体" w:eastAsia="楷体_GB2312"/>
                <w:sz w:val="24"/>
                <w:lang w:val="en-US" w:eastAsia="zh-CN"/>
              </w:rPr>
              <w:t>放辐射管理科</w:t>
            </w:r>
            <w:r>
              <w:rPr>
                <w:rFonts w:hint="eastAsia" w:ascii="楷体_GB2312" w:hAnsi="宋体" w:eastAsia="楷体_GB2312"/>
                <w:sz w:val="24"/>
              </w:rPr>
              <w:t>科审核意见：</w:t>
            </w:r>
          </w:p>
          <w:p>
            <w:pPr>
              <w:rPr>
                <w:rFonts w:ascii="楷体_GB2312" w:hAnsi="宋体" w:eastAsia="楷体_GB2312"/>
                <w:bCs/>
                <w:sz w:val="24"/>
              </w:rPr>
            </w:pPr>
          </w:p>
          <w:p>
            <w:pPr>
              <w:ind w:firstLine="4060" w:firstLineChars="1692"/>
              <w:rPr>
                <w:rFonts w:ascii="楷体_GB2312" w:hAnsi="宋体" w:eastAsia="楷体_GB2312"/>
                <w:sz w:val="24"/>
              </w:rPr>
            </w:pPr>
            <w:r>
              <w:rPr>
                <w:rFonts w:hint="eastAsia" w:ascii="楷体_GB2312" w:hAnsi="宋体" w:eastAsia="楷体_GB2312"/>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trPr>
        <w:tc>
          <w:tcPr>
            <w:tcW w:w="9648" w:type="dxa"/>
            <w:gridSpan w:val="2"/>
            <w:vAlign w:val="center"/>
          </w:tcPr>
          <w:p>
            <w:pPr>
              <w:rPr>
                <w:rFonts w:ascii="楷体_GB2312" w:hAnsi="宋体" w:eastAsia="楷体_GB2312"/>
                <w:sz w:val="24"/>
              </w:rPr>
            </w:pPr>
            <w:r>
              <w:rPr>
                <w:rFonts w:hint="eastAsia" w:ascii="楷体_GB2312" w:hAnsi="宋体" w:eastAsia="楷体_GB2312"/>
                <w:sz w:val="24"/>
              </w:rPr>
              <w:t>相关科室会签意见：</w:t>
            </w:r>
          </w:p>
          <w:p>
            <w:pPr>
              <w:rPr>
                <w:rFonts w:ascii="楷体_GB2312" w:hAnsi="宋体" w:eastAsia="楷体_GB2312"/>
                <w:bCs/>
                <w:sz w:val="24"/>
              </w:rPr>
            </w:pPr>
          </w:p>
          <w:p>
            <w:pPr>
              <w:ind w:firstLine="4055" w:firstLineChars="1690"/>
              <w:rPr>
                <w:rFonts w:ascii="楷体_GB2312" w:hAnsi="宋体" w:eastAsia="楷体_GB2312"/>
                <w:sz w:val="24"/>
              </w:rPr>
            </w:pPr>
            <w:r>
              <w:rPr>
                <w:rFonts w:hint="eastAsia" w:ascii="楷体_GB2312" w:hAnsi="宋体" w:eastAsia="楷体_GB2312"/>
                <w:sz w:val="24"/>
              </w:rPr>
              <w:t>会签人：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trPr>
        <w:tc>
          <w:tcPr>
            <w:tcW w:w="9648" w:type="dxa"/>
            <w:gridSpan w:val="2"/>
            <w:vAlign w:val="center"/>
          </w:tcPr>
          <w:p>
            <w:pPr>
              <w:rPr>
                <w:rFonts w:ascii="楷体_GB2312" w:hAnsi="宋体" w:eastAsia="楷体_GB2312"/>
                <w:sz w:val="24"/>
              </w:rPr>
            </w:pPr>
            <w:r>
              <w:rPr>
                <w:rFonts w:hint="eastAsia" w:ascii="楷体_GB2312" w:hAnsi="宋体" w:eastAsia="楷体_GB2312"/>
                <w:sz w:val="24"/>
              </w:rPr>
              <w:t>局领导审批意见：</w:t>
            </w:r>
          </w:p>
          <w:p>
            <w:pPr>
              <w:rPr>
                <w:rFonts w:ascii="楷体_GB2312" w:hAnsi="宋体" w:eastAsia="楷体_GB2312"/>
                <w:bCs/>
                <w:sz w:val="24"/>
              </w:rPr>
            </w:pPr>
            <w:r>
              <w:rPr>
                <w:rFonts w:hint="eastAsia" w:ascii="楷体_GB2312" w:hAnsi="宋体" w:eastAsia="楷体_GB2312"/>
                <w:bCs/>
                <w:sz w:val="24"/>
              </w:rPr>
              <w:t>　　　　　　　　　　　　　　　　　</w:t>
            </w:r>
          </w:p>
          <w:p>
            <w:pPr>
              <w:ind w:firstLine="4080" w:firstLineChars="1700"/>
              <w:rPr>
                <w:rFonts w:ascii="楷体_GB2312" w:hAnsi="宋体" w:eastAsia="楷体_GB2312"/>
                <w:sz w:val="24"/>
              </w:rPr>
            </w:pPr>
            <w:r>
              <w:rPr>
                <w:rFonts w:hint="eastAsia" w:ascii="楷体_GB2312" w:hAnsi="宋体" w:eastAsia="楷体_GB2312"/>
                <w:sz w:val="24"/>
              </w:rPr>
              <w:t>审批人：　　　　　　  　     年　　月　　日</w:t>
            </w:r>
          </w:p>
        </w:tc>
      </w:tr>
    </w:tbl>
    <w:p>
      <w:pPr>
        <w:spacing w:line="400" w:lineRule="exact"/>
      </w:pPr>
      <w:r>
        <w:rPr>
          <w:rFonts w:hint="eastAsia" w:ascii="楷体_GB2312" w:eastAsia="楷体_GB2312"/>
          <w:bCs/>
          <w:sz w:val="24"/>
        </w:rPr>
        <w:t>注：</w:t>
      </w:r>
      <w:r>
        <w:rPr>
          <w:rFonts w:hint="eastAsia" w:ascii="楷体_GB2312" w:hAnsi="宋体" w:eastAsia="楷体_GB2312"/>
          <w:sz w:val="24"/>
        </w:rPr>
        <w:t>本表附件为重庆市建设项目环境保护批准书(存根)（渝(万)环准［202</w:t>
      </w:r>
      <w:r>
        <w:rPr>
          <w:rFonts w:hint="eastAsia" w:ascii="楷体_GB2312" w:hAnsi="宋体" w:eastAsia="楷体_GB2312"/>
          <w:sz w:val="24"/>
          <w:lang w:val="en-US" w:eastAsia="zh-CN"/>
        </w:rPr>
        <w:t>2</w:t>
      </w:r>
      <w:r>
        <w:rPr>
          <w:rFonts w:hint="eastAsia" w:ascii="楷体_GB2312" w:hAnsi="宋体" w:eastAsia="楷体_GB2312"/>
          <w:sz w:val="24"/>
        </w:rPr>
        <w:t>］</w:t>
      </w:r>
      <w:r>
        <w:rPr>
          <w:rFonts w:hint="eastAsia" w:ascii="楷体_GB2312" w:hAnsi="宋体" w:eastAsia="楷体_GB2312"/>
          <w:sz w:val="24"/>
          <w:lang w:val="en-US" w:eastAsia="zh-CN"/>
        </w:rPr>
        <w:t xml:space="preserve">  </w:t>
      </w:r>
      <w:r>
        <w:rPr>
          <w:rFonts w:hint="eastAsia" w:ascii="楷体_GB2312" w:hAnsi="宋体" w:eastAsia="楷体_GB2312"/>
          <w:sz w:val="24"/>
        </w:rPr>
        <w:t>号</w:t>
      </w:r>
    </w:p>
    <w:sectPr>
      <w:headerReference r:id="rId3" w:type="default"/>
      <w:pgSz w:w="11906" w:h="16838"/>
      <w:pgMar w:top="1587" w:right="1474" w:bottom="1808"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20048"/>
    <w:multiLevelType w:val="singleLevel"/>
    <w:tmpl w:val="5DB200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70A9"/>
    <w:rsid w:val="00013B84"/>
    <w:rsid w:val="0001524B"/>
    <w:rsid w:val="00016572"/>
    <w:rsid w:val="00020771"/>
    <w:rsid w:val="00025C8B"/>
    <w:rsid w:val="00026B00"/>
    <w:rsid w:val="0003135D"/>
    <w:rsid w:val="00035E06"/>
    <w:rsid w:val="00042186"/>
    <w:rsid w:val="00046106"/>
    <w:rsid w:val="00046B75"/>
    <w:rsid w:val="00047449"/>
    <w:rsid w:val="0005168B"/>
    <w:rsid w:val="00054AB3"/>
    <w:rsid w:val="00057589"/>
    <w:rsid w:val="00062EA8"/>
    <w:rsid w:val="000708CD"/>
    <w:rsid w:val="00075DF5"/>
    <w:rsid w:val="00076025"/>
    <w:rsid w:val="0007705A"/>
    <w:rsid w:val="000778A7"/>
    <w:rsid w:val="000847AC"/>
    <w:rsid w:val="00087EDE"/>
    <w:rsid w:val="00093C2F"/>
    <w:rsid w:val="00093D19"/>
    <w:rsid w:val="00095348"/>
    <w:rsid w:val="000A18DB"/>
    <w:rsid w:val="000A2ED6"/>
    <w:rsid w:val="000A5B8E"/>
    <w:rsid w:val="000A604A"/>
    <w:rsid w:val="000A7DE1"/>
    <w:rsid w:val="000C2083"/>
    <w:rsid w:val="000C72AB"/>
    <w:rsid w:val="000E0C45"/>
    <w:rsid w:val="000E43CE"/>
    <w:rsid w:val="000F0022"/>
    <w:rsid w:val="000F1CD1"/>
    <w:rsid w:val="000F59E7"/>
    <w:rsid w:val="00100349"/>
    <w:rsid w:val="00100764"/>
    <w:rsid w:val="00117509"/>
    <w:rsid w:val="00117C95"/>
    <w:rsid w:val="001209CC"/>
    <w:rsid w:val="00121B32"/>
    <w:rsid w:val="00123412"/>
    <w:rsid w:val="001271D6"/>
    <w:rsid w:val="001323B3"/>
    <w:rsid w:val="00133A2F"/>
    <w:rsid w:val="00133D85"/>
    <w:rsid w:val="00133E96"/>
    <w:rsid w:val="00136865"/>
    <w:rsid w:val="00137F9D"/>
    <w:rsid w:val="00157406"/>
    <w:rsid w:val="00162B72"/>
    <w:rsid w:val="00163203"/>
    <w:rsid w:val="00172466"/>
    <w:rsid w:val="00172A27"/>
    <w:rsid w:val="001731EE"/>
    <w:rsid w:val="00175201"/>
    <w:rsid w:val="00176C6B"/>
    <w:rsid w:val="00177694"/>
    <w:rsid w:val="001810E3"/>
    <w:rsid w:val="001812E1"/>
    <w:rsid w:val="001820B9"/>
    <w:rsid w:val="00183869"/>
    <w:rsid w:val="001926A0"/>
    <w:rsid w:val="001951B4"/>
    <w:rsid w:val="00196A5D"/>
    <w:rsid w:val="001A537B"/>
    <w:rsid w:val="001A6ADE"/>
    <w:rsid w:val="001A7780"/>
    <w:rsid w:val="001B59CF"/>
    <w:rsid w:val="001C3F64"/>
    <w:rsid w:val="001C4270"/>
    <w:rsid w:val="001C5A1C"/>
    <w:rsid w:val="001D2044"/>
    <w:rsid w:val="001D426C"/>
    <w:rsid w:val="001D5338"/>
    <w:rsid w:val="001D5CEF"/>
    <w:rsid w:val="001E3EFA"/>
    <w:rsid w:val="001E7D34"/>
    <w:rsid w:val="001F4381"/>
    <w:rsid w:val="001F5126"/>
    <w:rsid w:val="001F5B86"/>
    <w:rsid w:val="001F5F53"/>
    <w:rsid w:val="001F7C26"/>
    <w:rsid w:val="00202410"/>
    <w:rsid w:val="002054A8"/>
    <w:rsid w:val="00207E91"/>
    <w:rsid w:val="002116E2"/>
    <w:rsid w:val="00212D07"/>
    <w:rsid w:val="00222634"/>
    <w:rsid w:val="0022733B"/>
    <w:rsid w:val="00237A31"/>
    <w:rsid w:val="00243336"/>
    <w:rsid w:val="00250C0B"/>
    <w:rsid w:val="00252B97"/>
    <w:rsid w:val="00260BC1"/>
    <w:rsid w:val="002652F8"/>
    <w:rsid w:val="00265B4F"/>
    <w:rsid w:val="00273992"/>
    <w:rsid w:val="00276542"/>
    <w:rsid w:val="00285E45"/>
    <w:rsid w:val="00291075"/>
    <w:rsid w:val="00291588"/>
    <w:rsid w:val="0029235B"/>
    <w:rsid w:val="002931AC"/>
    <w:rsid w:val="00295FA3"/>
    <w:rsid w:val="00296CF3"/>
    <w:rsid w:val="002A0337"/>
    <w:rsid w:val="002A0ED9"/>
    <w:rsid w:val="002A320E"/>
    <w:rsid w:val="002B04F9"/>
    <w:rsid w:val="002B57E9"/>
    <w:rsid w:val="002C6F33"/>
    <w:rsid w:val="002D20AF"/>
    <w:rsid w:val="002D5F41"/>
    <w:rsid w:val="002E5F8F"/>
    <w:rsid w:val="002E7FB1"/>
    <w:rsid w:val="002F18AA"/>
    <w:rsid w:val="002F40E7"/>
    <w:rsid w:val="00304D49"/>
    <w:rsid w:val="00305582"/>
    <w:rsid w:val="0031271A"/>
    <w:rsid w:val="00312B7A"/>
    <w:rsid w:val="00312F88"/>
    <w:rsid w:val="00324AF6"/>
    <w:rsid w:val="00326B2F"/>
    <w:rsid w:val="00330794"/>
    <w:rsid w:val="00333E0C"/>
    <w:rsid w:val="0034068E"/>
    <w:rsid w:val="00343265"/>
    <w:rsid w:val="00343B35"/>
    <w:rsid w:val="00345391"/>
    <w:rsid w:val="00346DC4"/>
    <w:rsid w:val="00350521"/>
    <w:rsid w:val="00351C31"/>
    <w:rsid w:val="003530A3"/>
    <w:rsid w:val="00355FD4"/>
    <w:rsid w:val="003577BC"/>
    <w:rsid w:val="00361BE6"/>
    <w:rsid w:val="0036327F"/>
    <w:rsid w:val="00366B87"/>
    <w:rsid w:val="003755B2"/>
    <w:rsid w:val="00377C2F"/>
    <w:rsid w:val="00382123"/>
    <w:rsid w:val="00382B67"/>
    <w:rsid w:val="003908F5"/>
    <w:rsid w:val="00390E57"/>
    <w:rsid w:val="00395438"/>
    <w:rsid w:val="003A1291"/>
    <w:rsid w:val="003A2193"/>
    <w:rsid w:val="003A7357"/>
    <w:rsid w:val="003A7868"/>
    <w:rsid w:val="003C1B7A"/>
    <w:rsid w:val="003C3337"/>
    <w:rsid w:val="003C6ABB"/>
    <w:rsid w:val="003C72FF"/>
    <w:rsid w:val="003E044F"/>
    <w:rsid w:val="003E2BFB"/>
    <w:rsid w:val="003F1E56"/>
    <w:rsid w:val="003F3712"/>
    <w:rsid w:val="00400266"/>
    <w:rsid w:val="00403A34"/>
    <w:rsid w:val="0040516A"/>
    <w:rsid w:val="004121DE"/>
    <w:rsid w:val="0041778C"/>
    <w:rsid w:val="00421842"/>
    <w:rsid w:val="004263C8"/>
    <w:rsid w:val="004330D2"/>
    <w:rsid w:val="00436FC6"/>
    <w:rsid w:val="00437E6B"/>
    <w:rsid w:val="00443331"/>
    <w:rsid w:val="00447623"/>
    <w:rsid w:val="0045030C"/>
    <w:rsid w:val="00450679"/>
    <w:rsid w:val="00451A9E"/>
    <w:rsid w:val="004620D7"/>
    <w:rsid w:val="00480437"/>
    <w:rsid w:val="00485976"/>
    <w:rsid w:val="0048640E"/>
    <w:rsid w:val="00493903"/>
    <w:rsid w:val="004A139D"/>
    <w:rsid w:val="004A1FF4"/>
    <w:rsid w:val="004B0098"/>
    <w:rsid w:val="004B01E6"/>
    <w:rsid w:val="004B419E"/>
    <w:rsid w:val="004C1B14"/>
    <w:rsid w:val="004C3D6E"/>
    <w:rsid w:val="004C7398"/>
    <w:rsid w:val="004D7EA8"/>
    <w:rsid w:val="004E05DD"/>
    <w:rsid w:val="004E55C9"/>
    <w:rsid w:val="004F43EA"/>
    <w:rsid w:val="004F680F"/>
    <w:rsid w:val="004F705F"/>
    <w:rsid w:val="004F7FC9"/>
    <w:rsid w:val="00504086"/>
    <w:rsid w:val="00504B1B"/>
    <w:rsid w:val="00505A97"/>
    <w:rsid w:val="00506E45"/>
    <w:rsid w:val="005103A6"/>
    <w:rsid w:val="0051402E"/>
    <w:rsid w:val="00520E51"/>
    <w:rsid w:val="00521ABA"/>
    <w:rsid w:val="00522E0D"/>
    <w:rsid w:val="00523E92"/>
    <w:rsid w:val="005311B5"/>
    <w:rsid w:val="00531434"/>
    <w:rsid w:val="00531D4C"/>
    <w:rsid w:val="005329D5"/>
    <w:rsid w:val="005347CA"/>
    <w:rsid w:val="00536F49"/>
    <w:rsid w:val="00544C2E"/>
    <w:rsid w:val="00552901"/>
    <w:rsid w:val="00554A22"/>
    <w:rsid w:val="005624BE"/>
    <w:rsid w:val="005650F0"/>
    <w:rsid w:val="00570ED7"/>
    <w:rsid w:val="005716CE"/>
    <w:rsid w:val="005738EE"/>
    <w:rsid w:val="005760EE"/>
    <w:rsid w:val="00576150"/>
    <w:rsid w:val="00576A7A"/>
    <w:rsid w:val="00580134"/>
    <w:rsid w:val="00582B72"/>
    <w:rsid w:val="0058442D"/>
    <w:rsid w:val="005917FA"/>
    <w:rsid w:val="005923BA"/>
    <w:rsid w:val="005957C1"/>
    <w:rsid w:val="00596097"/>
    <w:rsid w:val="005A2C2F"/>
    <w:rsid w:val="005B4F3E"/>
    <w:rsid w:val="005B555B"/>
    <w:rsid w:val="005C2AFB"/>
    <w:rsid w:val="005C4629"/>
    <w:rsid w:val="005C57C2"/>
    <w:rsid w:val="005C620F"/>
    <w:rsid w:val="005C62BA"/>
    <w:rsid w:val="005E2406"/>
    <w:rsid w:val="005E2907"/>
    <w:rsid w:val="005F0674"/>
    <w:rsid w:val="005F23B6"/>
    <w:rsid w:val="005F2738"/>
    <w:rsid w:val="00601988"/>
    <w:rsid w:val="00603815"/>
    <w:rsid w:val="0061402A"/>
    <w:rsid w:val="0062111B"/>
    <w:rsid w:val="006223EF"/>
    <w:rsid w:val="00624328"/>
    <w:rsid w:val="006302F2"/>
    <w:rsid w:val="0063083E"/>
    <w:rsid w:val="00633000"/>
    <w:rsid w:val="00634C17"/>
    <w:rsid w:val="00636995"/>
    <w:rsid w:val="006418C2"/>
    <w:rsid w:val="006437E4"/>
    <w:rsid w:val="00644575"/>
    <w:rsid w:val="00651E44"/>
    <w:rsid w:val="00653E58"/>
    <w:rsid w:val="006567C2"/>
    <w:rsid w:val="0066250C"/>
    <w:rsid w:val="00676B6B"/>
    <w:rsid w:val="00681410"/>
    <w:rsid w:val="006835E8"/>
    <w:rsid w:val="00683CC5"/>
    <w:rsid w:val="00684604"/>
    <w:rsid w:val="006852DB"/>
    <w:rsid w:val="00686C4D"/>
    <w:rsid w:val="006872A8"/>
    <w:rsid w:val="00687322"/>
    <w:rsid w:val="00691202"/>
    <w:rsid w:val="00692124"/>
    <w:rsid w:val="006A1B52"/>
    <w:rsid w:val="006B6B5C"/>
    <w:rsid w:val="006B6EB7"/>
    <w:rsid w:val="006C40FC"/>
    <w:rsid w:val="006C60DB"/>
    <w:rsid w:val="006C69AD"/>
    <w:rsid w:val="006C75C1"/>
    <w:rsid w:val="006E5E7E"/>
    <w:rsid w:val="006F0D1B"/>
    <w:rsid w:val="006F2BDE"/>
    <w:rsid w:val="006F3AC9"/>
    <w:rsid w:val="006F62FD"/>
    <w:rsid w:val="007026C5"/>
    <w:rsid w:val="00704767"/>
    <w:rsid w:val="00705D2B"/>
    <w:rsid w:val="00706736"/>
    <w:rsid w:val="007114A6"/>
    <w:rsid w:val="007126E7"/>
    <w:rsid w:val="00716D31"/>
    <w:rsid w:val="00717C82"/>
    <w:rsid w:val="00723700"/>
    <w:rsid w:val="007301A1"/>
    <w:rsid w:val="00731E82"/>
    <w:rsid w:val="00732754"/>
    <w:rsid w:val="0073375C"/>
    <w:rsid w:val="00735E9E"/>
    <w:rsid w:val="00740DCF"/>
    <w:rsid w:val="00743275"/>
    <w:rsid w:val="00743854"/>
    <w:rsid w:val="007442FA"/>
    <w:rsid w:val="00744D08"/>
    <w:rsid w:val="0074558A"/>
    <w:rsid w:val="00757AD9"/>
    <w:rsid w:val="00760092"/>
    <w:rsid w:val="00760746"/>
    <w:rsid w:val="00761C13"/>
    <w:rsid w:val="0076355C"/>
    <w:rsid w:val="00763949"/>
    <w:rsid w:val="00767A52"/>
    <w:rsid w:val="007767CF"/>
    <w:rsid w:val="0077697F"/>
    <w:rsid w:val="0078502F"/>
    <w:rsid w:val="00785591"/>
    <w:rsid w:val="0079138E"/>
    <w:rsid w:val="00793586"/>
    <w:rsid w:val="00795DCD"/>
    <w:rsid w:val="00796A6D"/>
    <w:rsid w:val="00796C8A"/>
    <w:rsid w:val="00797582"/>
    <w:rsid w:val="007A2A59"/>
    <w:rsid w:val="007B0F5E"/>
    <w:rsid w:val="007C2202"/>
    <w:rsid w:val="007C3C0A"/>
    <w:rsid w:val="007C67DB"/>
    <w:rsid w:val="007E132B"/>
    <w:rsid w:val="007E192D"/>
    <w:rsid w:val="007E1DC5"/>
    <w:rsid w:val="007F0305"/>
    <w:rsid w:val="0080181D"/>
    <w:rsid w:val="00803114"/>
    <w:rsid w:val="008038D1"/>
    <w:rsid w:val="0080757A"/>
    <w:rsid w:val="00811EF6"/>
    <w:rsid w:val="00812F21"/>
    <w:rsid w:val="008151B0"/>
    <w:rsid w:val="0081531C"/>
    <w:rsid w:val="00820EE7"/>
    <w:rsid w:val="0082173D"/>
    <w:rsid w:val="008222E1"/>
    <w:rsid w:val="00823CB4"/>
    <w:rsid w:val="00833FC7"/>
    <w:rsid w:val="00844066"/>
    <w:rsid w:val="0085049C"/>
    <w:rsid w:val="00850641"/>
    <w:rsid w:val="00850FC0"/>
    <w:rsid w:val="0085324E"/>
    <w:rsid w:val="0085365E"/>
    <w:rsid w:val="008602F4"/>
    <w:rsid w:val="008604AE"/>
    <w:rsid w:val="00860E06"/>
    <w:rsid w:val="0086303D"/>
    <w:rsid w:val="00870A49"/>
    <w:rsid w:val="00873868"/>
    <w:rsid w:val="00875A64"/>
    <w:rsid w:val="00881496"/>
    <w:rsid w:val="00883DB3"/>
    <w:rsid w:val="00884435"/>
    <w:rsid w:val="00884B95"/>
    <w:rsid w:val="008853C0"/>
    <w:rsid w:val="00885DD0"/>
    <w:rsid w:val="00886E95"/>
    <w:rsid w:val="00890289"/>
    <w:rsid w:val="00896711"/>
    <w:rsid w:val="008A015B"/>
    <w:rsid w:val="008A045E"/>
    <w:rsid w:val="008A069C"/>
    <w:rsid w:val="008A30AC"/>
    <w:rsid w:val="008B43C4"/>
    <w:rsid w:val="008C0271"/>
    <w:rsid w:val="008C2D7F"/>
    <w:rsid w:val="008C3720"/>
    <w:rsid w:val="008C4360"/>
    <w:rsid w:val="008C5A39"/>
    <w:rsid w:val="008D01FD"/>
    <w:rsid w:val="008D06F7"/>
    <w:rsid w:val="008E1147"/>
    <w:rsid w:val="008E7BF5"/>
    <w:rsid w:val="008F0D5B"/>
    <w:rsid w:val="008F220D"/>
    <w:rsid w:val="008F3E90"/>
    <w:rsid w:val="00900854"/>
    <w:rsid w:val="00906E8E"/>
    <w:rsid w:val="009116D3"/>
    <w:rsid w:val="00911986"/>
    <w:rsid w:val="009209A4"/>
    <w:rsid w:val="00924926"/>
    <w:rsid w:val="00925BB3"/>
    <w:rsid w:val="00926D1F"/>
    <w:rsid w:val="00930DBA"/>
    <w:rsid w:val="0093197A"/>
    <w:rsid w:val="00932AD4"/>
    <w:rsid w:val="009344F4"/>
    <w:rsid w:val="00934BD2"/>
    <w:rsid w:val="00946D06"/>
    <w:rsid w:val="0094776E"/>
    <w:rsid w:val="00952A57"/>
    <w:rsid w:val="009544BD"/>
    <w:rsid w:val="00956F0B"/>
    <w:rsid w:val="00956FA9"/>
    <w:rsid w:val="00962554"/>
    <w:rsid w:val="00962CFF"/>
    <w:rsid w:val="0096356D"/>
    <w:rsid w:val="009779EB"/>
    <w:rsid w:val="00977A96"/>
    <w:rsid w:val="009846B7"/>
    <w:rsid w:val="00994107"/>
    <w:rsid w:val="009A389D"/>
    <w:rsid w:val="009A3963"/>
    <w:rsid w:val="009A6CBA"/>
    <w:rsid w:val="009A7A32"/>
    <w:rsid w:val="009A7C0D"/>
    <w:rsid w:val="009B16AB"/>
    <w:rsid w:val="009B5F67"/>
    <w:rsid w:val="009C2C25"/>
    <w:rsid w:val="009C4D44"/>
    <w:rsid w:val="009C58C2"/>
    <w:rsid w:val="009C5ED2"/>
    <w:rsid w:val="009D0DB7"/>
    <w:rsid w:val="009D43F0"/>
    <w:rsid w:val="009D54A4"/>
    <w:rsid w:val="009D77A9"/>
    <w:rsid w:val="009E180A"/>
    <w:rsid w:val="009E6FF7"/>
    <w:rsid w:val="009E7344"/>
    <w:rsid w:val="009F2A48"/>
    <w:rsid w:val="009F3457"/>
    <w:rsid w:val="009F4551"/>
    <w:rsid w:val="009F47C9"/>
    <w:rsid w:val="009F5AC6"/>
    <w:rsid w:val="009F68B6"/>
    <w:rsid w:val="009F68EF"/>
    <w:rsid w:val="009F7B63"/>
    <w:rsid w:val="00A048FB"/>
    <w:rsid w:val="00A05E21"/>
    <w:rsid w:val="00A13EFB"/>
    <w:rsid w:val="00A14CA3"/>
    <w:rsid w:val="00A22E6F"/>
    <w:rsid w:val="00A236EA"/>
    <w:rsid w:val="00A26557"/>
    <w:rsid w:val="00A266D3"/>
    <w:rsid w:val="00A30FD9"/>
    <w:rsid w:val="00A37C5D"/>
    <w:rsid w:val="00A44976"/>
    <w:rsid w:val="00A46464"/>
    <w:rsid w:val="00A468F7"/>
    <w:rsid w:val="00A4719C"/>
    <w:rsid w:val="00A619ED"/>
    <w:rsid w:val="00A65D6C"/>
    <w:rsid w:val="00A67C65"/>
    <w:rsid w:val="00A70BB4"/>
    <w:rsid w:val="00A7656C"/>
    <w:rsid w:val="00A80EA5"/>
    <w:rsid w:val="00A82A3E"/>
    <w:rsid w:val="00A839E2"/>
    <w:rsid w:val="00A85318"/>
    <w:rsid w:val="00A86B63"/>
    <w:rsid w:val="00A874D0"/>
    <w:rsid w:val="00A904EF"/>
    <w:rsid w:val="00A90F96"/>
    <w:rsid w:val="00A97DC5"/>
    <w:rsid w:val="00AA2D81"/>
    <w:rsid w:val="00AA2ECE"/>
    <w:rsid w:val="00AA679B"/>
    <w:rsid w:val="00AD0EE4"/>
    <w:rsid w:val="00AD1539"/>
    <w:rsid w:val="00AD5E3F"/>
    <w:rsid w:val="00AE079E"/>
    <w:rsid w:val="00AE22B9"/>
    <w:rsid w:val="00AE519E"/>
    <w:rsid w:val="00AE5A3E"/>
    <w:rsid w:val="00AF2003"/>
    <w:rsid w:val="00AF48BF"/>
    <w:rsid w:val="00B05E4E"/>
    <w:rsid w:val="00B209B9"/>
    <w:rsid w:val="00B21727"/>
    <w:rsid w:val="00B22AC1"/>
    <w:rsid w:val="00B27639"/>
    <w:rsid w:val="00B31FA7"/>
    <w:rsid w:val="00B40367"/>
    <w:rsid w:val="00B417FA"/>
    <w:rsid w:val="00B46961"/>
    <w:rsid w:val="00B5008A"/>
    <w:rsid w:val="00B544AD"/>
    <w:rsid w:val="00B54807"/>
    <w:rsid w:val="00B5620C"/>
    <w:rsid w:val="00B70612"/>
    <w:rsid w:val="00B70F80"/>
    <w:rsid w:val="00B76BEE"/>
    <w:rsid w:val="00B81C5C"/>
    <w:rsid w:val="00B85ADE"/>
    <w:rsid w:val="00B90924"/>
    <w:rsid w:val="00B91CF8"/>
    <w:rsid w:val="00B922FE"/>
    <w:rsid w:val="00B92C0F"/>
    <w:rsid w:val="00B9593D"/>
    <w:rsid w:val="00B95CD1"/>
    <w:rsid w:val="00BA3FCB"/>
    <w:rsid w:val="00BA48C6"/>
    <w:rsid w:val="00BA552D"/>
    <w:rsid w:val="00BA754E"/>
    <w:rsid w:val="00BA7A98"/>
    <w:rsid w:val="00BB092D"/>
    <w:rsid w:val="00BB0B20"/>
    <w:rsid w:val="00BB10FB"/>
    <w:rsid w:val="00BC22A6"/>
    <w:rsid w:val="00BC70BC"/>
    <w:rsid w:val="00BD2776"/>
    <w:rsid w:val="00BD7C8D"/>
    <w:rsid w:val="00BE48F0"/>
    <w:rsid w:val="00BE68CF"/>
    <w:rsid w:val="00BF429D"/>
    <w:rsid w:val="00BF4C80"/>
    <w:rsid w:val="00BF5446"/>
    <w:rsid w:val="00BF6A4B"/>
    <w:rsid w:val="00C00C24"/>
    <w:rsid w:val="00C037E7"/>
    <w:rsid w:val="00C1140D"/>
    <w:rsid w:val="00C2076A"/>
    <w:rsid w:val="00C22854"/>
    <w:rsid w:val="00C264CB"/>
    <w:rsid w:val="00C31EEE"/>
    <w:rsid w:val="00C33C71"/>
    <w:rsid w:val="00C35564"/>
    <w:rsid w:val="00C40F90"/>
    <w:rsid w:val="00C42A69"/>
    <w:rsid w:val="00C4682A"/>
    <w:rsid w:val="00C47068"/>
    <w:rsid w:val="00C4782E"/>
    <w:rsid w:val="00C47F00"/>
    <w:rsid w:val="00C5148E"/>
    <w:rsid w:val="00C60443"/>
    <w:rsid w:val="00C62D0A"/>
    <w:rsid w:val="00C63555"/>
    <w:rsid w:val="00C67287"/>
    <w:rsid w:val="00C701BC"/>
    <w:rsid w:val="00C70B57"/>
    <w:rsid w:val="00C70E96"/>
    <w:rsid w:val="00C71ECF"/>
    <w:rsid w:val="00C7592D"/>
    <w:rsid w:val="00C85AF2"/>
    <w:rsid w:val="00C863BA"/>
    <w:rsid w:val="00C9134D"/>
    <w:rsid w:val="00C941B4"/>
    <w:rsid w:val="00C9488E"/>
    <w:rsid w:val="00C97D26"/>
    <w:rsid w:val="00CA5329"/>
    <w:rsid w:val="00CA6F97"/>
    <w:rsid w:val="00CB080C"/>
    <w:rsid w:val="00CB516C"/>
    <w:rsid w:val="00CB53B4"/>
    <w:rsid w:val="00CC00E7"/>
    <w:rsid w:val="00CC1BFC"/>
    <w:rsid w:val="00CC1F21"/>
    <w:rsid w:val="00CC3289"/>
    <w:rsid w:val="00CC6170"/>
    <w:rsid w:val="00CC6243"/>
    <w:rsid w:val="00CD05A8"/>
    <w:rsid w:val="00CD21A9"/>
    <w:rsid w:val="00CD31CA"/>
    <w:rsid w:val="00CD3AED"/>
    <w:rsid w:val="00CD4F87"/>
    <w:rsid w:val="00CD5E70"/>
    <w:rsid w:val="00CE23DB"/>
    <w:rsid w:val="00CE563C"/>
    <w:rsid w:val="00CE7AA1"/>
    <w:rsid w:val="00CF1FD0"/>
    <w:rsid w:val="00CF35EB"/>
    <w:rsid w:val="00CF4C63"/>
    <w:rsid w:val="00CF5D48"/>
    <w:rsid w:val="00D0450A"/>
    <w:rsid w:val="00D136D7"/>
    <w:rsid w:val="00D17962"/>
    <w:rsid w:val="00D204E4"/>
    <w:rsid w:val="00D245D1"/>
    <w:rsid w:val="00D30012"/>
    <w:rsid w:val="00D47E3A"/>
    <w:rsid w:val="00D51E2B"/>
    <w:rsid w:val="00D670E0"/>
    <w:rsid w:val="00D72B85"/>
    <w:rsid w:val="00D7500B"/>
    <w:rsid w:val="00D76472"/>
    <w:rsid w:val="00D807CC"/>
    <w:rsid w:val="00D82C0F"/>
    <w:rsid w:val="00D87CDF"/>
    <w:rsid w:val="00D87E75"/>
    <w:rsid w:val="00D967E4"/>
    <w:rsid w:val="00DA1F8D"/>
    <w:rsid w:val="00DA4432"/>
    <w:rsid w:val="00DB2432"/>
    <w:rsid w:val="00DC18E4"/>
    <w:rsid w:val="00DC45CE"/>
    <w:rsid w:val="00DC5CC4"/>
    <w:rsid w:val="00DC7629"/>
    <w:rsid w:val="00DD02CD"/>
    <w:rsid w:val="00DD5E7B"/>
    <w:rsid w:val="00DD65D1"/>
    <w:rsid w:val="00DD6F46"/>
    <w:rsid w:val="00DE144E"/>
    <w:rsid w:val="00DE4723"/>
    <w:rsid w:val="00DE5B49"/>
    <w:rsid w:val="00DE7D0A"/>
    <w:rsid w:val="00DF3BB2"/>
    <w:rsid w:val="00DF7A14"/>
    <w:rsid w:val="00E060F5"/>
    <w:rsid w:val="00E07F35"/>
    <w:rsid w:val="00E10D20"/>
    <w:rsid w:val="00E11182"/>
    <w:rsid w:val="00E11384"/>
    <w:rsid w:val="00E12BE0"/>
    <w:rsid w:val="00E23351"/>
    <w:rsid w:val="00E23739"/>
    <w:rsid w:val="00E23855"/>
    <w:rsid w:val="00E307C1"/>
    <w:rsid w:val="00E3356B"/>
    <w:rsid w:val="00E3359F"/>
    <w:rsid w:val="00E459DC"/>
    <w:rsid w:val="00E46250"/>
    <w:rsid w:val="00E4702A"/>
    <w:rsid w:val="00E5201B"/>
    <w:rsid w:val="00E557A8"/>
    <w:rsid w:val="00E5797C"/>
    <w:rsid w:val="00E647E0"/>
    <w:rsid w:val="00E657FC"/>
    <w:rsid w:val="00E66A7A"/>
    <w:rsid w:val="00E66D8F"/>
    <w:rsid w:val="00E716F3"/>
    <w:rsid w:val="00E74FE6"/>
    <w:rsid w:val="00E80C33"/>
    <w:rsid w:val="00E812BA"/>
    <w:rsid w:val="00E87C3A"/>
    <w:rsid w:val="00E91F46"/>
    <w:rsid w:val="00EA04ED"/>
    <w:rsid w:val="00EA180A"/>
    <w:rsid w:val="00EA3994"/>
    <w:rsid w:val="00EA5C74"/>
    <w:rsid w:val="00EA7BB6"/>
    <w:rsid w:val="00EB49E9"/>
    <w:rsid w:val="00EC2DF2"/>
    <w:rsid w:val="00EC77B7"/>
    <w:rsid w:val="00ED40C5"/>
    <w:rsid w:val="00ED49BD"/>
    <w:rsid w:val="00ED76C1"/>
    <w:rsid w:val="00EE5DCA"/>
    <w:rsid w:val="00EF1C15"/>
    <w:rsid w:val="00EF394B"/>
    <w:rsid w:val="00EF41E2"/>
    <w:rsid w:val="00EF5437"/>
    <w:rsid w:val="00EF5D85"/>
    <w:rsid w:val="00EF65F1"/>
    <w:rsid w:val="00EF671F"/>
    <w:rsid w:val="00F06DC4"/>
    <w:rsid w:val="00F11699"/>
    <w:rsid w:val="00F13F88"/>
    <w:rsid w:val="00F14082"/>
    <w:rsid w:val="00F167C3"/>
    <w:rsid w:val="00F20200"/>
    <w:rsid w:val="00F2564D"/>
    <w:rsid w:val="00F317A8"/>
    <w:rsid w:val="00F32DD1"/>
    <w:rsid w:val="00F45462"/>
    <w:rsid w:val="00F479BF"/>
    <w:rsid w:val="00F52A58"/>
    <w:rsid w:val="00F5390C"/>
    <w:rsid w:val="00F54003"/>
    <w:rsid w:val="00F559F5"/>
    <w:rsid w:val="00F576C1"/>
    <w:rsid w:val="00F602EA"/>
    <w:rsid w:val="00F60EDF"/>
    <w:rsid w:val="00F61C35"/>
    <w:rsid w:val="00F63AC3"/>
    <w:rsid w:val="00F67976"/>
    <w:rsid w:val="00F86F13"/>
    <w:rsid w:val="00F87F86"/>
    <w:rsid w:val="00F95522"/>
    <w:rsid w:val="00FA4A8F"/>
    <w:rsid w:val="00FB4E2B"/>
    <w:rsid w:val="00FB5634"/>
    <w:rsid w:val="00FC2839"/>
    <w:rsid w:val="00FC3C4C"/>
    <w:rsid w:val="00FC3C4F"/>
    <w:rsid w:val="00FC570D"/>
    <w:rsid w:val="00FC686A"/>
    <w:rsid w:val="00FC6F01"/>
    <w:rsid w:val="00FD1D5D"/>
    <w:rsid w:val="00FD36CD"/>
    <w:rsid w:val="00FD6CC9"/>
    <w:rsid w:val="00FE321C"/>
    <w:rsid w:val="00FE548F"/>
    <w:rsid w:val="00FF0E16"/>
    <w:rsid w:val="01485E57"/>
    <w:rsid w:val="01E23F1A"/>
    <w:rsid w:val="021E571C"/>
    <w:rsid w:val="027B2C82"/>
    <w:rsid w:val="02D07ED7"/>
    <w:rsid w:val="05026942"/>
    <w:rsid w:val="05BE1957"/>
    <w:rsid w:val="061F4193"/>
    <w:rsid w:val="06347075"/>
    <w:rsid w:val="090F6003"/>
    <w:rsid w:val="09114509"/>
    <w:rsid w:val="092A3704"/>
    <w:rsid w:val="097C2895"/>
    <w:rsid w:val="0B1C4B7C"/>
    <w:rsid w:val="0D0F7A41"/>
    <w:rsid w:val="0D1579D4"/>
    <w:rsid w:val="0FC75A74"/>
    <w:rsid w:val="106448C1"/>
    <w:rsid w:val="108D6A88"/>
    <w:rsid w:val="10BC6609"/>
    <w:rsid w:val="11B664A6"/>
    <w:rsid w:val="11D04F97"/>
    <w:rsid w:val="12020CFD"/>
    <w:rsid w:val="12D67B05"/>
    <w:rsid w:val="12E632C4"/>
    <w:rsid w:val="133D322A"/>
    <w:rsid w:val="145D6C4E"/>
    <w:rsid w:val="14E77A71"/>
    <w:rsid w:val="1677409B"/>
    <w:rsid w:val="16990D80"/>
    <w:rsid w:val="1708381A"/>
    <w:rsid w:val="171A1E62"/>
    <w:rsid w:val="176B7AD4"/>
    <w:rsid w:val="195F1783"/>
    <w:rsid w:val="1A915469"/>
    <w:rsid w:val="1D015B8D"/>
    <w:rsid w:val="1D6A7C24"/>
    <w:rsid w:val="1DEC56BC"/>
    <w:rsid w:val="1E887F62"/>
    <w:rsid w:val="1F5A6251"/>
    <w:rsid w:val="1F7D180C"/>
    <w:rsid w:val="21087BB2"/>
    <w:rsid w:val="21834436"/>
    <w:rsid w:val="22362875"/>
    <w:rsid w:val="224F084C"/>
    <w:rsid w:val="2275731A"/>
    <w:rsid w:val="237D1095"/>
    <w:rsid w:val="23E173CE"/>
    <w:rsid w:val="24027D49"/>
    <w:rsid w:val="257A7F49"/>
    <w:rsid w:val="259D46AC"/>
    <w:rsid w:val="26967C49"/>
    <w:rsid w:val="271E3C7A"/>
    <w:rsid w:val="276162AB"/>
    <w:rsid w:val="27CA34E8"/>
    <w:rsid w:val="27D264C1"/>
    <w:rsid w:val="2863440F"/>
    <w:rsid w:val="288E6DD0"/>
    <w:rsid w:val="29193DB1"/>
    <w:rsid w:val="29A20294"/>
    <w:rsid w:val="29FC12E3"/>
    <w:rsid w:val="2AC12709"/>
    <w:rsid w:val="2B213165"/>
    <w:rsid w:val="2B261254"/>
    <w:rsid w:val="2B521700"/>
    <w:rsid w:val="2B785723"/>
    <w:rsid w:val="2C7463F5"/>
    <w:rsid w:val="2D2159EA"/>
    <w:rsid w:val="2D47695E"/>
    <w:rsid w:val="2DEE1E00"/>
    <w:rsid w:val="30011B42"/>
    <w:rsid w:val="30C53D4B"/>
    <w:rsid w:val="31C83BFF"/>
    <w:rsid w:val="33BE7AF0"/>
    <w:rsid w:val="33F51C72"/>
    <w:rsid w:val="3448331D"/>
    <w:rsid w:val="344E3C7E"/>
    <w:rsid w:val="34DB214E"/>
    <w:rsid w:val="34FC65CF"/>
    <w:rsid w:val="358F510C"/>
    <w:rsid w:val="35F77809"/>
    <w:rsid w:val="364677F4"/>
    <w:rsid w:val="36886238"/>
    <w:rsid w:val="368E005C"/>
    <w:rsid w:val="3750317E"/>
    <w:rsid w:val="378F45D1"/>
    <w:rsid w:val="37FD455F"/>
    <w:rsid w:val="39850394"/>
    <w:rsid w:val="399B5A10"/>
    <w:rsid w:val="3C1B7726"/>
    <w:rsid w:val="3C300E1F"/>
    <w:rsid w:val="3C53179C"/>
    <w:rsid w:val="3C757124"/>
    <w:rsid w:val="3CBE2154"/>
    <w:rsid w:val="3CE05BAD"/>
    <w:rsid w:val="3CE53FD8"/>
    <w:rsid w:val="3DB90A78"/>
    <w:rsid w:val="3E4C21D8"/>
    <w:rsid w:val="3EB12E86"/>
    <w:rsid w:val="3EF550C0"/>
    <w:rsid w:val="40D959A5"/>
    <w:rsid w:val="41466DB0"/>
    <w:rsid w:val="41E067C0"/>
    <w:rsid w:val="42010DFB"/>
    <w:rsid w:val="42E43115"/>
    <w:rsid w:val="43EF50B7"/>
    <w:rsid w:val="452A366B"/>
    <w:rsid w:val="45835BA5"/>
    <w:rsid w:val="46560572"/>
    <w:rsid w:val="46B62218"/>
    <w:rsid w:val="46EE7574"/>
    <w:rsid w:val="474302DD"/>
    <w:rsid w:val="48827295"/>
    <w:rsid w:val="48967A64"/>
    <w:rsid w:val="490B4998"/>
    <w:rsid w:val="49A41431"/>
    <w:rsid w:val="49C30A4C"/>
    <w:rsid w:val="49DF37CC"/>
    <w:rsid w:val="49E753E9"/>
    <w:rsid w:val="4A015ADB"/>
    <w:rsid w:val="4A7817B1"/>
    <w:rsid w:val="4C27739E"/>
    <w:rsid w:val="4C3353A6"/>
    <w:rsid w:val="4CF21EB0"/>
    <w:rsid w:val="4D4E17B0"/>
    <w:rsid w:val="4DB307F8"/>
    <w:rsid w:val="4EA5172F"/>
    <w:rsid w:val="4EB05087"/>
    <w:rsid w:val="50524A56"/>
    <w:rsid w:val="50915AF3"/>
    <w:rsid w:val="50A57605"/>
    <w:rsid w:val="50E25AAC"/>
    <w:rsid w:val="50F14E9F"/>
    <w:rsid w:val="52682CCF"/>
    <w:rsid w:val="52C3544F"/>
    <w:rsid w:val="537D1AF8"/>
    <w:rsid w:val="54561A4D"/>
    <w:rsid w:val="547E12DC"/>
    <w:rsid w:val="548A01BB"/>
    <w:rsid w:val="54C26339"/>
    <w:rsid w:val="553D1A08"/>
    <w:rsid w:val="55F72B23"/>
    <w:rsid w:val="56235CD1"/>
    <w:rsid w:val="567E4F77"/>
    <w:rsid w:val="56BE47CB"/>
    <w:rsid w:val="56D3531F"/>
    <w:rsid w:val="56E21381"/>
    <w:rsid w:val="57124DCF"/>
    <w:rsid w:val="57577E4A"/>
    <w:rsid w:val="575C63FF"/>
    <w:rsid w:val="57C93D55"/>
    <w:rsid w:val="57D11701"/>
    <w:rsid w:val="5A6E2187"/>
    <w:rsid w:val="5A894DED"/>
    <w:rsid w:val="5DA4057D"/>
    <w:rsid w:val="5DF0433B"/>
    <w:rsid w:val="5DF65F3F"/>
    <w:rsid w:val="5DFD5725"/>
    <w:rsid w:val="5EFE1DDB"/>
    <w:rsid w:val="5F4F76DC"/>
    <w:rsid w:val="601121D1"/>
    <w:rsid w:val="60DE1259"/>
    <w:rsid w:val="60EB14B1"/>
    <w:rsid w:val="629D2B8F"/>
    <w:rsid w:val="63244194"/>
    <w:rsid w:val="641A7DFC"/>
    <w:rsid w:val="648B2E8D"/>
    <w:rsid w:val="657875E9"/>
    <w:rsid w:val="65CC2EA1"/>
    <w:rsid w:val="67E63722"/>
    <w:rsid w:val="68207713"/>
    <w:rsid w:val="69B274A7"/>
    <w:rsid w:val="6AD022C6"/>
    <w:rsid w:val="6ADF219C"/>
    <w:rsid w:val="6B0E61C7"/>
    <w:rsid w:val="6D322FD5"/>
    <w:rsid w:val="6DCB3D1A"/>
    <w:rsid w:val="6E480096"/>
    <w:rsid w:val="6E666AC9"/>
    <w:rsid w:val="6FAD69BA"/>
    <w:rsid w:val="714B2692"/>
    <w:rsid w:val="71E436E6"/>
    <w:rsid w:val="724E2863"/>
    <w:rsid w:val="725A7D49"/>
    <w:rsid w:val="73FB37EF"/>
    <w:rsid w:val="75BD0C1C"/>
    <w:rsid w:val="76905F92"/>
    <w:rsid w:val="77A5773C"/>
    <w:rsid w:val="77C81CF7"/>
    <w:rsid w:val="790A0646"/>
    <w:rsid w:val="79AC7078"/>
    <w:rsid w:val="79ED4118"/>
    <w:rsid w:val="7A686975"/>
    <w:rsid w:val="7A952606"/>
    <w:rsid w:val="7B3A6DEB"/>
    <w:rsid w:val="7B451088"/>
    <w:rsid w:val="7BD340AE"/>
    <w:rsid w:val="7D4962CD"/>
    <w:rsid w:val="7D533FE6"/>
    <w:rsid w:val="7D930802"/>
    <w:rsid w:val="7E300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outlineLvl w:val="0"/>
    </w:pPr>
    <w:rPr>
      <w:rFonts w:eastAsia="仿宋_GB2312"/>
      <w:b/>
      <w:sz w:val="24"/>
    </w:rPr>
  </w:style>
  <w:style w:type="paragraph" w:styleId="4">
    <w:name w:val="heading 2"/>
    <w:basedOn w:val="1"/>
    <w:next w:val="1"/>
    <w:qFormat/>
    <w:uiPriority w:val="0"/>
    <w:pPr>
      <w:keepNext/>
      <w:keepLines/>
      <w:spacing w:before="120" w:after="120" w:line="415" w:lineRule="auto"/>
      <w:outlineLvl w:val="1"/>
    </w:pPr>
    <w:rPr>
      <w:rFonts w:eastAsia="黑体"/>
      <w:b/>
      <w:bCs/>
      <w:sz w:val="30"/>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1"/>
    <w:qFormat/>
    <w:uiPriority w:val="0"/>
    <w:pPr>
      <w:widowControl/>
      <w:spacing w:after="120" w:line="480" w:lineRule="auto"/>
      <w:jc w:val="left"/>
    </w:pPr>
    <w:rPr>
      <w:kern w:val="0"/>
      <w:sz w:val="24"/>
    </w:rPr>
  </w:style>
  <w:style w:type="paragraph" w:styleId="5">
    <w:name w:val="Normal Indent"/>
    <w:basedOn w:val="1"/>
    <w:next w:val="1"/>
    <w:qFormat/>
    <w:uiPriority w:val="0"/>
    <w:pPr>
      <w:ind w:firstLine="420"/>
    </w:pPr>
    <w:rPr>
      <w:szCs w:val="24"/>
    </w:rPr>
  </w:style>
  <w:style w:type="paragraph" w:styleId="6">
    <w:name w:val="Body Text"/>
    <w:basedOn w:val="1"/>
    <w:next w:val="1"/>
    <w:qFormat/>
    <w:uiPriority w:val="0"/>
    <w:pPr>
      <w:widowControl/>
      <w:jc w:val="left"/>
    </w:pPr>
    <w:rPr>
      <w:kern w:val="0"/>
      <w:sz w:val="32"/>
    </w:rPr>
  </w:style>
  <w:style w:type="paragraph" w:styleId="7">
    <w:name w:val="Body Text Indent"/>
    <w:basedOn w:val="1"/>
    <w:qFormat/>
    <w:uiPriority w:val="0"/>
    <w:pPr>
      <w:spacing w:line="360" w:lineRule="auto"/>
      <w:ind w:left="252" w:firstLine="469"/>
    </w:pPr>
    <w:rPr>
      <w:rFonts w:ascii="仿宋_GB2312" w:eastAsia="仿宋_GB2312"/>
      <w:b/>
      <w:sz w:val="24"/>
    </w:rPr>
  </w:style>
  <w:style w:type="paragraph" w:styleId="8">
    <w:name w:val="Block Text"/>
    <w:basedOn w:val="1"/>
    <w:qFormat/>
    <w:uiPriority w:val="0"/>
    <w:pPr>
      <w:spacing w:line="360" w:lineRule="auto"/>
      <w:ind w:left="210" w:right="323" w:firstLine="646"/>
    </w:pPr>
    <w:rPr>
      <w:rFonts w:ascii="宋体" w:hAnsi="宋体"/>
      <w:sz w:val="28"/>
      <w:szCs w:val="24"/>
    </w:rPr>
  </w:style>
  <w:style w:type="paragraph" w:styleId="9">
    <w:name w:val="Plain Text"/>
    <w:basedOn w:val="1"/>
    <w:link w:val="35"/>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qFormat/>
    <w:uiPriority w:val="0"/>
    <w:pPr>
      <w:snapToGrid w:val="0"/>
      <w:spacing w:line="460" w:lineRule="exact"/>
      <w:ind w:firstLine="629"/>
    </w:pPr>
    <w:rPr>
      <w:rFonts w:ascii="仿宋_GB2312" w:eastAsia="仿宋_GB2312"/>
      <w:b/>
      <w:bCs/>
      <w:sz w:val="28"/>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index heading"/>
    <w:basedOn w:val="1"/>
    <w:next w:val="16"/>
    <w:semiHidden/>
    <w:qFormat/>
    <w:uiPriority w:val="0"/>
  </w:style>
  <w:style w:type="paragraph" w:styleId="16">
    <w:name w:val="index 1"/>
    <w:basedOn w:val="1"/>
    <w:next w:val="1"/>
    <w:qFormat/>
    <w:uiPriority w:val="0"/>
  </w:style>
  <w:style w:type="paragraph" w:styleId="17">
    <w:name w:val="Body Text Indent 3"/>
    <w:basedOn w:val="1"/>
    <w:qFormat/>
    <w:uiPriority w:val="0"/>
    <w:pPr>
      <w:spacing w:line="560" w:lineRule="atLeast"/>
      <w:ind w:right="323" w:firstLine="640" w:firstLineChars="200"/>
    </w:pPr>
    <w:rPr>
      <w:rFonts w:ascii="仿宋_GB2312" w:hAnsi="宋体" w:eastAsia="仿宋_GB2312"/>
      <w:bCs/>
      <w:sz w:val="32"/>
    </w:rPr>
  </w:style>
  <w:style w:type="paragraph" w:styleId="1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21">
    <w:name w:val="Strong"/>
    <w:qFormat/>
    <w:uiPriority w:val="22"/>
    <w:rPr>
      <w:b/>
      <w:bCs/>
    </w:rPr>
  </w:style>
  <w:style w:type="character" w:styleId="22">
    <w:name w:val="page number"/>
    <w:basedOn w:val="20"/>
    <w:qFormat/>
    <w:uiPriority w:val="0"/>
  </w:style>
  <w:style w:type="paragraph" w:customStyle="1" w:styleId="23">
    <w:name w:val="表格文字"/>
    <w:basedOn w:val="6"/>
    <w:next w:val="1"/>
    <w:qFormat/>
    <w:uiPriority w:val="0"/>
    <w:pPr>
      <w:spacing w:line="440" w:lineRule="exact"/>
    </w:pPr>
    <w:rPr>
      <w:sz w:val="28"/>
      <w:szCs w:val="28"/>
    </w:rPr>
  </w:style>
  <w:style w:type="paragraph" w:customStyle="1" w:styleId="24">
    <w:name w:val="样式 正文缩进正文缩进2正文缩进 Char Char正文缩进 Char Char Char Char正文缩进 Char ..."/>
    <w:basedOn w:val="5"/>
    <w:qFormat/>
    <w:uiPriority w:val="0"/>
    <w:pPr>
      <w:spacing w:line="360" w:lineRule="auto"/>
      <w:ind w:firstLine="200"/>
    </w:pPr>
    <w:rPr>
      <w:rFonts w:cs="宋体"/>
      <w:sz w:val="24"/>
    </w:rPr>
  </w:style>
  <w:style w:type="character" w:customStyle="1" w:styleId="25">
    <w:name w:val="表格h Char"/>
    <w:link w:val="26"/>
    <w:qFormat/>
    <w:uiPriority w:val="0"/>
    <w:rPr>
      <w:rFonts w:ascii="楷体_GB2312" w:eastAsia="楷体_GB2312" w:cs="宋体"/>
      <w:kern w:val="2"/>
      <w:sz w:val="21"/>
      <w:szCs w:val="21"/>
      <w:lang w:val="en-US" w:eastAsia="zh-CN" w:bidi="ar-SA"/>
    </w:rPr>
  </w:style>
  <w:style w:type="paragraph" w:customStyle="1" w:styleId="26">
    <w:name w:val="表格h"/>
    <w:basedOn w:val="1"/>
    <w:link w:val="25"/>
    <w:qFormat/>
    <w:uiPriority w:val="0"/>
    <w:pPr>
      <w:spacing w:line="0" w:lineRule="atLeast"/>
      <w:jc w:val="center"/>
    </w:pPr>
    <w:rPr>
      <w:rFonts w:ascii="楷体_GB2312" w:eastAsia="楷体_GB2312" w:cs="宋体"/>
      <w:szCs w:val="21"/>
    </w:rPr>
  </w:style>
  <w:style w:type="character" w:customStyle="1" w:styleId="27">
    <w:name w:val="公正文 Char"/>
    <w:qFormat/>
    <w:uiPriority w:val="0"/>
    <w:rPr>
      <w:rFonts w:ascii="宋体" w:hAnsi="宋体" w:eastAsia="仿宋_GB2312"/>
      <w:kern w:val="2"/>
      <w:sz w:val="28"/>
      <w:szCs w:val="24"/>
      <w:lang w:val="en-US" w:eastAsia="zh-CN" w:bidi="ar-SA"/>
    </w:rPr>
  </w:style>
  <w:style w:type="paragraph" w:customStyle="1" w:styleId="28">
    <w:name w:val="2"/>
    <w:basedOn w:val="1"/>
    <w:qFormat/>
    <w:uiPriority w:val="0"/>
    <w:pPr>
      <w:ind w:left="510"/>
    </w:pPr>
  </w:style>
  <w:style w:type="paragraph" w:customStyle="1" w:styleId="29">
    <w:name w:val="Char"/>
    <w:basedOn w:val="1"/>
    <w:qFormat/>
    <w:uiPriority w:val="0"/>
    <w:pPr>
      <w:spacing w:line="360" w:lineRule="auto"/>
    </w:pPr>
    <w:rPr>
      <w:rFonts w:ascii="仿宋_GB2312" w:hAnsi="Tahoma" w:eastAsia="仿宋_GB2312"/>
      <w:szCs w:val="21"/>
    </w:rPr>
  </w:style>
  <w:style w:type="paragraph" w:customStyle="1" w:styleId="30">
    <w:name w:val="样式 样式 Times New Roman 首行缩进:  2 字符 + 首行缩进:  2 字符"/>
    <w:basedOn w:val="1"/>
    <w:qFormat/>
    <w:uiPriority w:val="0"/>
    <w:pPr>
      <w:spacing w:line="560" w:lineRule="exact"/>
      <w:ind w:firstLine="200" w:firstLineChars="200"/>
    </w:pPr>
    <w:rPr>
      <w:rFonts w:ascii="仿宋_GB2312" w:eastAsia="仿宋_GB2312" w:cs="宋体"/>
      <w:sz w:val="28"/>
    </w:rPr>
  </w:style>
  <w:style w:type="paragraph" w:customStyle="1" w:styleId="31">
    <w:name w:val="Char1"/>
    <w:basedOn w:val="1"/>
    <w:qFormat/>
    <w:uiPriority w:val="0"/>
    <w:pPr>
      <w:snapToGrid w:val="0"/>
      <w:spacing w:line="360" w:lineRule="auto"/>
      <w:ind w:firstLine="529" w:firstLineChars="200"/>
    </w:pPr>
    <w:rPr>
      <w:rFonts w:ascii="宋体" w:hAnsi="宋体"/>
      <w:b/>
      <w:szCs w:val="24"/>
    </w:rPr>
  </w:style>
  <w:style w:type="character" w:customStyle="1" w:styleId="32">
    <w:name w:val="title"/>
    <w:basedOn w:val="20"/>
    <w:qFormat/>
    <w:uiPriority w:val="0"/>
  </w:style>
  <w:style w:type="character" w:customStyle="1" w:styleId="33">
    <w:name w:val="样式 样式 样式 报告书正文 + 首行缩进:  2 字符 + 首行缩进:  2 字符 + 自动设置 Char"/>
    <w:qFormat/>
    <w:uiPriority w:val="0"/>
    <w:rPr>
      <w:rFonts w:eastAsia="宋体" w:cs="宋体"/>
      <w:b/>
      <w:bCs/>
      <w:color w:val="000000"/>
      <w:kern w:val="2"/>
      <w:sz w:val="24"/>
      <w:lang w:val="en-US" w:eastAsia="zh-CN" w:bidi="ar-SA"/>
    </w:rPr>
  </w:style>
  <w:style w:type="character" w:customStyle="1" w:styleId="34">
    <w:name w:val="纯文本 Char"/>
    <w:basedOn w:val="20"/>
    <w:link w:val="9"/>
    <w:qFormat/>
    <w:uiPriority w:val="0"/>
    <w:rPr>
      <w:rFonts w:ascii="宋体" w:hAnsi="Courier New"/>
      <w:kern w:val="2"/>
      <w:sz w:val="21"/>
    </w:rPr>
  </w:style>
  <w:style w:type="character" w:customStyle="1" w:styleId="35">
    <w:name w:val="纯文本 Char1"/>
    <w:basedOn w:val="20"/>
    <w:link w:val="9"/>
    <w:qFormat/>
    <w:uiPriority w:val="0"/>
    <w:rPr>
      <w:rFonts w:ascii="宋体" w:hAnsi="Courier New" w:cs="Courier New"/>
      <w:kern w:val="2"/>
      <w:sz w:val="21"/>
      <w:szCs w:val="21"/>
    </w:rPr>
  </w:style>
  <w:style w:type="paragraph" w:customStyle="1" w:styleId="36">
    <w:name w:val="默认段落字体 Para Char Char Char Char Char Char Char Char Char Char"/>
    <w:basedOn w:val="1"/>
    <w:qFormat/>
    <w:uiPriority w:val="0"/>
    <w:rPr>
      <w:szCs w:val="24"/>
    </w:rPr>
  </w:style>
  <w:style w:type="paragraph" w:customStyle="1" w:styleId="37">
    <w:name w:val="zxz5"/>
    <w:next w:val="1"/>
    <w:qFormat/>
    <w:uiPriority w:val="0"/>
    <w:pPr>
      <w:tabs>
        <w:tab w:val="left" w:pos="0"/>
      </w:tabs>
      <w:jc w:val="center"/>
    </w:pPr>
    <w:rPr>
      <w:rFonts w:ascii="Times New Roman" w:hAnsi="Times New Roman" w:eastAsia="宋体" w:cs="Times New Roman"/>
      <w:lang w:val="en-US" w:eastAsia="zh-CN" w:bidi="ar-SA"/>
    </w:rPr>
  </w:style>
  <w:style w:type="paragraph" w:customStyle="1" w:styleId="38">
    <w:name w:val="列出段落1"/>
    <w:basedOn w:val="1"/>
    <w:qFormat/>
    <w:uiPriority w:val="99"/>
    <w:pPr>
      <w:ind w:firstLine="420" w:firstLineChars="200"/>
    </w:pPr>
    <w:rPr>
      <w:rFonts w:eastAsia="仿宋_GB231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44C04-6228-4E49-A6CA-BB7C1968CEA9}">
  <ds:schemaRefs/>
</ds:datastoreItem>
</file>

<file path=docProps/app.xml><?xml version="1.0" encoding="utf-8"?>
<Properties xmlns="http://schemas.openxmlformats.org/officeDocument/2006/extended-properties" xmlns:vt="http://schemas.openxmlformats.org/officeDocument/2006/docPropsVTypes">
  <Template>Normal</Template>
  <Company>lzj</Company>
  <Pages>6</Pages>
  <Words>3389</Words>
  <Characters>510</Characters>
  <Lines>4</Lines>
  <Paragraphs>7</Paragraphs>
  <TotalTime>3</TotalTime>
  <ScaleCrop>false</ScaleCrop>
  <LinksUpToDate>false</LinksUpToDate>
  <CharactersWithSpaces>3892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2017-08-17T07:57:00Z</dcterms:created>
  <dc:creator>lzj</dc:creator>
  <cp:lastModifiedBy>ASUS</cp:lastModifiedBy>
  <cp:lastPrinted>2021-08-23T01:06:00Z</cp:lastPrinted>
  <dcterms:modified xsi:type="dcterms:W3CDTF">2022-03-22T07:17:49Z</dcterms:modified>
  <dc:title>重庆市建设项目环境保护申报表</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