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60" w:beforeAutospacing="0" w:after="6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重庆市万州区行政执法监督检查大队</w:t>
      </w:r>
    </w:p>
    <w:p>
      <w:pPr>
        <w:pStyle w:val="6"/>
        <w:keepNext w:val="0"/>
        <w:keepLines w:val="0"/>
        <w:pageBreakBefore w:val="0"/>
        <w:widowControl/>
        <w:kinsoku/>
        <w:wordWrap/>
        <w:overflowPunct/>
        <w:topLinePunct w:val="0"/>
        <w:autoSpaceDE/>
        <w:autoSpaceDN/>
        <w:bidi w:val="0"/>
        <w:adjustRightInd/>
        <w:snapToGrid/>
        <w:spacing w:before="60" w:beforeAutospacing="0" w:after="6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textAlignment w:val="auto"/>
        <w:rPr>
          <w:rFonts w:hint="default" w:ascii="Times New Roman" w:hAnsi="Times New Roman" w:eastAsia="微软雅黑"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重庆市万州区行政执法监督检查大队是重庆市万州区司法局下属参公事业单位，主要职能有：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textAlignment w:val="auto"/>
        <w:rPr>
          <w:rFonts w:hint="default" w:ascii="Times New Roman" w:hAnsi="Times New Roman" w:eastAsia="微软雅黑"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1.承担行政执法案卷评卷、重大行政处罚案件备案登记、行政执法考核评比等行政执法监督检查事务性工作。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textAlignment w:val="auto"/>
        <w:rPr>
          <w:rFonts w:hint="default" w:ascii="Times New Roman" w:hAnsi="Times New Roman" w:eastAsia="微软雅黑"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2.负责办理公民、法人和其他组织对行政机关及其工作人员行政执法行为信访投诉，规范行政行为。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textAlignment w:val="auto"/>
        <w:rPr>
          <w:rFonts w:hint="default" w:ascii="Times New Roman" w:hAnsi="Times New Roman" w:eastAsia="微软雅黑"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3.组织行政执法人员通用法律知识培训。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textAlignment w:val="auto"/>
        <w:rPr>
          <w:rFonts w:hint="default" w:ascii="Times New Roman" w:hAnsi="Times New Roman" w:eastAsia="微软雅黑"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4.负责全区行政执法人员信息管理。</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重庆市万州区行政执法监督检查大队为二级预算单位，无内设科室。</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642"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2023年度收入总计113.51万元，支出总计</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万元。收支较上年决算数增加9.05万元，增长8.66%，主要原因是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642"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2023年度收入合计113.51万元，较上年决算数增加9.05万元，增长8.66%，主要原因是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ind w:firstLine="642"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万元，较上年决算数增加9.05万元，增长8.66%，主要原因是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2023年度财政拨款收、支总计113.51万元。与2022年相比，财政拨款收、支总计各增加9.05万元，增长8.66%</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万元，较上年决算数增加9.05万元，增长8.66%。主要原因是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r>
        <w:rPr>
          <w:rFonts w:hint="default" w:ascii="Times New Roman" w:hAnsi="Times New Roman" w:eastAsia="方正仿宋_GBK" w:cs="Times New Roman"/>
          <w:sz w:val="32"/>
          <w:szCs w:val="32"/>
          <w:shd w:val="clear" w:color="auto" w:fill="FFFFFF"/>
        </w:rPr>
        <w:t>较年初预算数减少28.35万元，下降19.98%</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我单位2023年退休2人。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万元，较上年决算数增加9.05万元，增长8.66%。主要原因是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r>
        <w:rPr>
          <w:rFonts w:hint="default" w:ascii="Times New Roman" w:hAnsi="Times New Roman" w:eastAsia="方正仿宋_GBK" w:cs="Times New Roman"/>
          <w:sz w:val="32"/>
          <w:szCs w:val="32"/>
          <w:shd w:val="clear" w:color="auto" w:fill="FFFFFF"/>
        </w:rPr>
        <w:t>较年初预算数减少28.35万元，下降19.98%</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我单位2023年退休2人。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76.50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67.40</w:t>
      </w:r>
      <w:r>
        <w:rPr>
          <w:rFonts w:hint="default" w:ascii="Times New Roman" w:hAnsi="Times New Roman" w:eastAsia="方正仿宋_GBK" w:cs="Times New Roman"/>
          <w:sz w:val="32"/>
          <w:szCs w:val="32"/>
          <w:shd w:val="clear" w:color="auto" w:fill="FFFFFF"/>
        </w:rPr>
        <w:t>%，较年初预算数减少29.44万元，下降27.79%，主要原因是</w:t>
      </w:r>
      <w:r>
        <w:rPr>
          <w:rFonts w:hint="default" w:ascii="Times New Roman" w:hAnsi="Times New Roman" w:eastAsia="方正仿宋_GBK" w:cs="Times New Roman"/>
          <w:sz w:val="32"/>
          <w:szCs w:val="32"/>
          <w:shd w:val="clear" w:color="auto" w:fill="FFFFFF"/>
          <w:lang w:val="en-US" w:eastAsia="zh-CN"/>
        </w:rPr>
        <w:t>我单位2023年退休2人。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22.12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19.49</w:t>
      </w:r>
      <w:r>
        <w:rPr>
          <w:rFonts w:hint="default" w:ascii="Times New Roman" w:hAnsi="Times New Roman" w:eastAsia="方正仿宋_GBK" w:cs="Times New Roman"/>
          <w:sz w:val="32"/>
          <w:szCs w:val="32"/>
          <w:shd w:val="clear" w:color="auto" w:fill="FFFFFF"/>
        </w:rPr>
        <w:t>%，较年初预算数增加2.41万元，增长12.23%，主要原因是</w:t>
      </w:r>
      <w:r>
        <w:rPr>
          <w:rFonts w:hint="default" w:ascii="Times New Roman" w:hAnsi="Times New Roman" w:eastAsia="方正仿宋_GBK" w:cs="Times New Roman"/>
          <w:sz w:val="32"/>
          <w:szCs w:val="32"/>
          <w:shd w:val="clear" w:color="auto" w:fill="FFFFFF"/>
          <w:lang w:val="en-US" w:eastAsia="zh-CN"/>
        </w:rPr>
        <w:t>人员社保基数调整，缴费增加。</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5.67</w:t>
      </w:r>
      <w:r>
        <w:rPr>
          <w:rFonts w:hint="default" w:ascii="Times New Roman" w:hAnsi="Times New Roman" w:eastAsia="方正仿宋_GBK" w:cs="Times New Roman"/>
          <w:sz w:val="32"/>
          <w:szCs w:val="32"/>
          <w:shd w:val="clear" w:color="auto" w:fill="FFFFFF"/>
        </w:rPr>
        <w:t>%，较年初预算数减少0.25万元，下降3.74%，主要原因是</w:t>
      </w:r>
      <w:r>
        <w:rPr>
          <w:rFonts w:hint="default" w:ascii="Times New Roman" w:hAnsi="Times New Roman" w:eastAsia="方正仿宋_GBK" w:cs="Times New Roman"/>
          <w:sz w:val="32"/>
          <w:szCs w:val="32"/>
          <w:shd w:val="clear" w:color="auto" w:fill="FFFFFF"/>
          <w:lang w:val="en-US" w:eastAsia="zh-CN"/>
        </w:rPr>
        <w:t>人员减少医保费用减少。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7.45</w:t>
      </w:r>
      <w:r>
        <w:rPr>
          <w:rFonts w:hint="default" w:ascii="Times New Roman" w:hAnsi="Times New Roman" w:eastAsia="方正仿宋_GBK" w:cs="Times New Roman"/>
          <w:sz w:val="32"/>
          <w:szCs w:val="32"/>
          <w:shd w:val="clear" w:color="auto" w:fill="FFFFFF"/>
        </w:rPr>
        <w:t>%，较年初预算数减少1.08万元，下降11.33%，主要原因是</w:t>
      </w:r>
      <w:r>
        <w:rPr>
          <w:rFonts w:hint="default" w:ascii="Times New Roman" w:hAnsi="Times New Roman" w:eastAsia="方正仿宋_GBK" w:cs="Times New Roman"/>
          <w:sz w:val="32"/>
          <w:szCs w:val="32"/>
          <w:shd w:val="clear" w:color="auto" w:fill="FFFFFF"/>
          <w:lang w:val="en-US" w:eastAsia="zh-CN"/>
        </w:rPr>
        <w:t>人员减少公积金费用减少。</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98.47</w:t>
      </w:r>
      <w:r>
        <w:rPr>
          <w:rFonts w:hint="default" w:ascii="Times New Roman" w:hAnsi="Times New Roman" w:eastAsia="方正仿宋_GBK" w:cs="Times New Roman"/>
          <w:sz w:val="32"/>
          <w:szCs w:val="32"/>
          <w:shd w:val="clear" w:color="auto" w:fill="FFFFFF"/>
        </w:rPr>
        <w:t>万元，较上年决算数增加5.36万元，增长5.76%，主要原因是</w:t>
      </w:r>
      <w:r>
        <w:rPr>
          <w:rFonts w:hint="default" w:ascii="Times New Roman" w:hAnsi="Times New Roman" w:eastAsia="方正仿宋_GBK" w:cs="Times New Roman"/>
          <w:sz w:val="32"/>
          <w:szCs w:val="32"/>
          <w:shd w:val="clear" w:color="auto" w:fill="FFFFFF"/>
          <w:lang w:val="en-US" w:eastAsia="zh-CN"/>
        </w:rPr>
        <w:t>社保基数调整，缴费增加。</w:t>
      </w:r>
      <w:r>
        <w:rPr>
          <w:rFonts w:hint="default" w:ascii="Times New Roman" w:hAnsi="Times New Roman" w:eastAsia="方正仿宋_GBK" w:cs="Times New Roman"/>
          <w:i w:val="0"/>
          <w:caps w:val="0"/>
          <w:color w:val="auto"/>
          <w:spacing w:val="0"/>
          <w:sz w:val="32"/>
          <w:szCs w:val="32"/>
          <w:shd w:val="clear" w:color="auto" w:fill="FFFFFF"/>
          <w:lang w:eastAsia="zh-CN"/>
        </w:rPr>
        <w:t>人员经费用途主要包括基本工资、津贴补贴、奖金、考核奖励、社会保障缴费、住房公积金。</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15.04</w:t>
      </w:r>
      <w:r>
        <w:rPr>
          <w:rFonts w:hint="default" w:ascii="Times New Roman" w:hAnsi="Times New Roman" w:eastAsia="方正仿宋_GBK" w:cs="Times New Roman"/>
          <w:sz w:val="32"/>
          <w:szCs w:val="32"/>
          <w:shd w:val="clear" w:color="auto" w:fill="FFFFFF"/>
        </w:rPr>
        <w:t>万元，较上年决算数增加3.70万元，增长32.63%，主要原因是</w:t>
      </w:r>
      <w:r>
        <w:rPr>
          <w:rFonts w:hint="default" w:ascii="Times New Roman" w:hAnsi="Times New Roman" w:eastAsia="方正仿宋_GBK" w:cs="Times New Roman"/>
          <w:sz w:val="32"/>
          <w:szCs w:val="32"/>
          <w:shd w:val="clear" w:color="auto" w:fill="FFFFFF"/>
          <w:lang w:val="en-US" w:eastAsia="zh-CN"/>
        </w:rPr>
        <w:t>2022年决算编制时</w:t>
      </w:r>
      <w:r>
        <w:rPr>
          <w:rFonts w:hint="eastAsia" w:ascii="Times New Roman" w:hAnsi="Times New Roman" w:eastAsia="方正仿宋_GBK" w:cs="Times New Roman"/>
          <w:sz w:val="32"/>
          <w:szCs w:val="32"/>
          <w:shd w:val="clear" w:color="auto" w:fill="FFFFFF"/>
          <w:lang w:val="en-US" w:eastAsia="zh-CN"/>
        </w:rPr>
        <w:t>本单位未</w:t>
      </w:r>
      <w:r>
        <w:rPr>
          <w:rFonts w:hint="default" w:ascii="Times New Roman" w:hAnsi="Times New Roman" w:eastAsia="方正仿宋_GBK" w:cs="Times New Roman"/>
          <w:sz w:val="32"/>
          <w:szCs w:val="32"/>
          <w:shd w:val="clear" w:color="auto" w:fill="FFFFFF"/>
          <w:lang w:val="en-US" w:eastAsia="zh-CN"/>
        </w:rPr>
        <w:t>单独核算水电费。</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i w:val="0"/>
          <w:caps w:val="0"/>
          <w:color w:val="auto"/>
          <w:spacing w:val="0"/>
          <w:sz w:val="32"/>
          <w:szCs w:val="32"/>
          <w:shd w:val="clear" w:color="auto" w:fill="FFFFFF"/>
          <w:lang w:eastAsia="zh-CN"/>
        </w:rPr>
        <w:t>办公费、印刷费、咨询费、手续费、劳务费、委托业务费、邮电费、维修（护）费、公务接待费、会议费、培训费。</w:t>
      </w:r>
    </w:p>
    <w:p>
      <w:pPr>
        <w:pStyle w:val="11"/>
        <w:keepNext w:val="0"/>
        <w:keepLines w:val="0"/>
        <w:pageBreakBefore w:val="0"/>
        <w:widowControl/>
        <w:numPr>
          <w:ilvl w:val="0"/>
          <w:numId w:val="1"/>
        </w:numPr>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t>本</w:t>
      </w:r>
      <w:r>
        <w:rPr>
          <w:rFonts w:hint="default" w:ascii="Times New Roman" w:hAnsi="Times New Roman" w:eastAsia="方正仿宋_GBK" w:cs="Times New Roman"/>
          <w:i w:val="0"/>
          <w:caps w:val="0"/>
          <w:color w:val="auto"/>
          <w:spacing w:val="0"/>
          <w:sz w:val="32"/>
          <w:szCs w:val="32"/>
          <w:shd w:val="clear" w:color="auto" w:fill="FFFFFF"/>
          <w:lang w:val="en-US" w:eastAsia="zh-CN"/>
        </w:rPr>
        <w:t>单位</w:t>
      </w:r>
      <w:r>
        <w:rPr>
          <w:rFonts w:hint="default" w:ascii="Times New Roman" w:hAnsi="Times New Roman" w:eastAsia="方正仿宋_GBK" w:cs="Times New Roman"/>
          <w:i w:val="0"/>
          <w:caps w:val="0"/>
          <w:color w:val="auto"/>
          <w:spacing w:val="0"/>
          <w:sz w:val="32"/>
          <w:szCs w:val="32"/>
          <w:shd w:val="clear" w:color="auto" w:fill="FFFFFF"/>
          <w:lang w:eastAsia="zh-CN"/>
        </w:rPr>
        <w:t>202</w:t>
      </w:r>
      <w:r>
        <w:rPr>
          <w:rFonts w:hint="default"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rPr>
        <w:t>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auto"/>
          <w:spacing w:val="0"/>
          <w:sz w:val="32"/>
          <w:szCs w:val="32"/>
          <w:shd w:val="clear" w:color="auto" w:fill="FFFFFF"/>
        </w:rPr>
        <w:t>本</w:t>
      </w:r>
      <w:r>
        <w:rPr>
          <w:rFonts w:hint="default" w:ascii="Times New Roman" w:hAnsi="Times New Roman" w:eastAsia="方正仿宋_GBK" w:cs="Times New Roman"/>
          <w:i w:val="0"/>
          <w:caps w:val="0"/>
          <w:color w:val="auto"/>
          <w:spacing w:val="0"/>
          <w:sz w:val="32"/>
          <w:szCs w:val="32"/>
          <w:shd w:val="clear" w:color="auto" w:fill="FFFFFF"/>
          <w:lang w:val="en-US" w:eastAsia="zh-CN"/>
        </w:rPr>
        <w:t>单位</w:t>
      </w:r>
      <w:r>
        <w:rPr>
          <w:rFonts w:hint="default" w:ascii="Times New Roman" w:hAnsi="Times New Roman" w:eastAsia="方正仿宋_GBK" w:cs="Times New Roman"/>
          <w:i w:val="0"/>
          <w:caps w:val="0"/>
          <w:color w:val="auto"/>
          <w:spacing w:val="0"/>
          <w:sz w:val="32"/>
          <w:szCs w:val="32"/>
          <w:shd w:val="clear" w:color="auto" w:fill="FFFFFF"/>
          <w:lang w:eastAsia="zh-CN"/>
        </w:rPr>
        <w:t>202</w:t>
      </w:r>
      <w:r>
        <w:rPr>
          <w:rFonts w:hint="default"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2023年度“三公”经费支出共计0.00万元，较年初预算数无增减，主要原因是本单位为区司法局下属单位，未单独预算三公经费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w:t>
      </w:r>
      <w:bookmarkStart w:id="0" w:name="_GoBack"/>
      <w:r>
        <w:rPr>
          <w:rFonts w:hint="default" w:ascii="Times New Roman" w:hAnsi="Times New Roman" w:eastAsia="方正仿宋_GBK" w:cs="Times New Roman"/>
          <w:i w:val="0"/>
          <w:caps w:val="0"/>
          <w:color w:val="auto"/>
          <w:spacing w:val="0"/>
          <w:sz w:val="32"/>
          <w:szCs w:val="32"/>
          <w:shd w:val="clear" w:color="auto" w:fill="FFFFFF"/>
          <w:lang w:val="en-US" w:eastAsia="zh-CN"/>
        </w:rPr>
        <w:t>主要原因是</w:t>
      </w:r>
      <w:bookmarkEnd w:id="0"/>
      <w:r>
        <w:rPr>
          <w:rFonts w:hint="default" w:ascii="Times New Roman" w:hAnsi="Times New Roman" w:eastAsia="方正仿宋_GBK" w:cs="Times New Roman"/>
          <w:i w:val="0"/>
          <w:caps w:val="0"/>
          <w:color w:val="auto"/>
          <w:spacing w:val="0"/>
          <w:sz w:val="32"/>
          <w:szCs w:val="32"/>
          <w:shd w:val="clear" w:color="auto" w:fill="FFFFFF"/>
          <w:lang w:val="en-US" w:eastAsia="zh-CN"/>
        </w:rPr>
        <w:t>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11"/>
        <w:keepNext w:val="0"/>
        <w:keepLines w:val="0"/>
        <w:pageBreakBefore w:val="0"/>
        <w:widowControl/>
        <w:numPr>
          <w:ilvl w:val="0"/>
          <w:numId w:val="2"/>
        </w:numPr>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2023年度本单位因公出国（境）费用0.00万元，费用支出较年初预算数无增减，主要原因是本单位为区司法局下属单位，未单独预算三公经费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公务车购置费0.00万元，费用支出较年初预算数无增减，主要原因是本单位为区司法局下属单位，未单独预算三公经费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公务车运行维护费0.00万元，费用支出较年初预算数无增减，主要原因是本单位为区司法局下属单位，未单独预算三公经费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公务接待费0.00万元，费用支出较年初预算数无增减，主要原因是本单位为区司法局下属单位，未单独预算三公经费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较上年支出数无增减，主要原因是本单位为区司法局下属单位，未单独预算三公经费</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11"/>
        <w:keepNext w:val="0"/>
        <w:keepLines w:val="0"/>
        <w:pageBreakBefore w:val="0"/>
        <w:widowControl/>
        <w:numPr>
          <w:ilvl w:val="0"/>
          <w:numId w:val="2"/>
        </w:numPr>
        <w:kinsoku/>
        <w:wordWrap/>
        <w:overflowPunct/>
        <w:topLinePunct w:val="0"/>
        <w:autoSpaceDE w:val="0"/>
        <w:autoSpaceDN/>
        <w:bidi w:val="0"/>
        <w:adjustRightInd/>
        <w:spacing w:before="60" w:beforeAutospacing="0" w:after="60" w:afterAutospacing="0" w:line="360" w:lineRule="auto"/>
        <w:ind w:left="0" w:leftChars="0" w:firstLine="642"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0.39</w:t>
      </w:r>
      <w:r>
        <w:rPr>
          <w:rFonts w:hint="default" w:ascii="Times New Roman" w:hAnsi="Times New Roman" w:eastAsia="方正仿宋_GBK" w:cs="Times New Roman"/>
          <w:sz w:val="32"/>
          <w:szCs w:val="32"/>
          <w:shd w:val="clear" w:color="auto" w:fill="FFFFFF"/>
        </w:rPr>
        <w:t>万元，较上年决算数增加0.13万元，增长50.00%，主要原因是</w:t>
      </w:r>
      <w:r>
        <w:rPr>
          <w:rFonts w:hint="default" w:ascii="Times New Roman" w:hAnsi="Times New Roman" w:eastAsia="方正仿宋_GBK" w:cs="Times New Roman"/>
          <w:sz w:val="32"/>
          <w:szCs w:val="32"/>
          <w:shd w:val="clear" w:color="auto" w:fill="FFFFFF"/>
          <w:lang w:val="en-US" w:eastAsia="zh-CN"/>
        </w:rPr>
        <w:t>执法改革，培训费增加。</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15.04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caps w:val="0"/>
          <w:color w:val="auto"/>
          <w:spacing w:val="0"/>
          <w:sz w:val="32"/>
          <w:szCs w:val="32"/>
          <w:shd w:val="clear" w:color="auto" w:fill="FFFFFF"/>
          <w:lang w:eastAsia="zh-CN"/>
        </w:rPr>
        <w:t>机关运行经费主要用于开支办公费、印刷费、咨询费、手续费、劳务费、委托业务费、邮电费、维修（护）费、公务用车运行维护费、公务接待费、会议费、培训费。</w:t>
      </w:r>
      <w:r>
        <w:rPr>
          <w:rFonts w:hint="default" w:ascii="Times New Roman" w:hAnsi="Times New Roman" w:eastAsia="方正仿宋_GBK" w:cs="Times New Roman"/>
          <w:sz w:val="32"/>
          <w:szCs w:val="32"/>
          <w:shd w:val="clear" w:color="auto" w:fill="FFFFFF"/>
        </w:rPr>
        <w:t>机关运行经费较上年支出数增加3.70万元，增长32.63%，主要原因是</w:t>
      </w:r>
      <w:r>
        <w:rPr>
          <w:rFonts w:hint="default" w:ascii="Times New Roman" w:hAnsi="Times New Roman" w:eastAsia="方正仿宋_GBK" w:cs="Times New Roman"/>
          <w:sz w:val="32"/>
          <w:szCs w:val="32"/>
          <w:shd w:val="clear" w:color="auto" w:fill="FFFFFF"/>
          <w:lang w:val="en-US" w:eastAsia="zh-CN"/>
        </w:rPr>
        <w:t>2022年</w:t>
      </w:r>
      <w:r>
        <w:rPr>
          <w:rFonts w:hint="eastAsia" w:ascii="Times New Roman" w:hAnsi="Times New Roman" w:eastAsia="方正仿宋_GBK" w:cs="Times New Roman"/>
          <w:sz w:val="32"/>
          <w:szCs w:val="32"/>
          <w:shd w:val="clear" w:color="auto" w:fill="FFFFFF"/>
          <w:lang w:val="en-US" w:eastAsia="zh-CN"/>
        </w:rPr>
        <w:t>决算编制时本单位</w:t>
      </w:r>
      <w:r>
        <w:rPr>
          <w:rFonts w:hint="default" w:ascii="Times New Roman" w:hAnsi="Times New Roman" w:eastAsia="方正仿宋_GBK" w:cs="Times New Roman"/>
          <w:sz w:val="32"/>
          <w:szCs w:val="32"/>
          <w:shd w:val="clear" w:color="auto" w:fill="FFFFFF"/>
          <w:lang w:val="en-US" w:eastAsia="zh-CN"/>
        </w:rPr>
        <w:t>未单独核算水电费。</w:t>
      </w:r>
    </w:p>
    <w:p>
      <w:pPr>
        <w:pStyle w:val="11"/>
        <w:keepNext w:val="0"/>
        <w:keepLines w:val="0"/>
        <w:pageBreakBefore w:val="0"/>
        <w:widowControl/>
        <w:numPr>
          <w:ilvl w:val="0"/>
          <w:numId w:val="0"/>
        </w:numPr>
        <w:tabs>
          <w:tab w:val="left" w:pos="1255"/>
        </w:tabs>
        <w:kinsoku/>
        <w:wordWrap/>
        <w:overflowPunct/>
        <w:topLinePunct w:val="0"/>
        <w:autoSpaceDE w:val="0"/>
        <w:autoSpaceDN/>
        <w:bidi w:val="0"/>
        <w:adjustRightInd/>
        <w:spacing w:before="60" w:beforeAutospacing="0" w:after="60" w:afterAutospacing="0" w:line="360" w:lineRule="auto"/>
        <w:ind w:firstLine="321" w:firstLineChars="100"/>
        <w:textAlignment w:val="auto"/>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eastAsia="zh-CN"/>
        </w:rPr>
        <w:t>（</w:t>
      </w:r>
      <w:r>
        <w:rPr>
          <w:rFonts w:hint="eastAsia" w:ascii="Times New Roman" w:hAnsi="Times New Roman" w:eastAsia="楷体" w:cs="Times New Roman"/>
          <w:b/>
          <w:bCs/>
          <w:sz w:val="32"/>
          <w:szCs w:val="32"/>
          <w:shd w:val="clear" w:color="auto" w:fill="FFFFFF"/>
          <w:lang w:val="en-US" w:eastAsia="zh-CN"/>
        </w:rPr>
        <w:t>三</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国有资产占用情况说明</w:t>
      </w:r>
    </w:p>
    <w:p>
      <w:pPr>
        <w:pStyle w:val="11"/>
        <w:keepNext w:val="0"/>
        <w:keepLines w:val="0"/>
        <w:pageBreakBefore w:val="0"/>
        <w:widowControl/>
        <w:numPr>
          <w:ilvl w:val="0"/>
          <w:numId w:val="0"/>
        </w:numPr>
        <w:tabs>
          <w:tab w:val="left" w:pos="1255"/>
        </w:tabs>
        <w:kinsoku/>
        <w:wordWrap/>
        <w:overflowPunct/>
        <w:topLinePunct w:val="0"/>
        <w:autoSpaceDE w:val="0"/>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ind w:firstLine="930" w:firstLineChars="300"/>
        <w:textAlignment w:val="auto"/>
        <w:rPr>
          <w:rFonts w:hint="eastAsia" w:ascii="Times New Roman" w:hAnsi="Times New Roman" w:eastAsia="方正仿宋_GBK" w:cs="Times New Roman"/>
          <w:b/>
          <w:bCs/>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1"/>
          <w:szCs w:val="31"/>
          <w:shd w:val="clear" w:color="auto" w:fill="FFFFFF"/>
        </w:rPr>
        <w:t>本</w:t>
      </w:r>
      <w:r>
        <w:rPr>
          <w:rFonts w:hint="default" w:ascii="Times New Roman" w:hAnsi="Times New Roman" w:eastAsia="方正仿宋_GBK" w:cs="Times New Roman"/>
          <w:i w:val="0"/>
          <w:caps w:val="0"/>
          <w:color w:val="auto"/>
          <w:spacing w:val="0"/>
          <w:sz w:val="31"/>
          <w:szCs w:val="31"/>
          <w:shd w:val="clear" w:color="auto" w:fill="FFFFFF"/>
          <w:lang w:val="en-US" w:eastAsia="zh-CN"/>
        </w:rPr>
        <w:t>单位</w:t>
      </w:r>
      <w:r>
        <w:rPr>
          <w:rFonts w:hint="default" w:ascii="Times New Roman" w:hAnsi="Times New Roman" w:eastAsia="方正仿宋_GBK" w:cs="Times New Roman"/>
          <w:i w:val="0"/>
          <w:caps w:val="0"/>
          <w:color w:val="auto"/>
          <w:spacing w:val="0"/>
          <w:sz w:val="31"/>
          <w:szCs w:val="31"/>
          <w:shd w:val="clear" w:color="auto" w:fill="FFFFFF"/>
          <w:lang w:eastAsia="zh-CN"/>
        </w:rPr>
        <w:t>202</w:t>
      </w:r>
      <w:r>
        <w:rPr>
          <w:rFonts w:hint="default" w:ascii="Times New Roman" w:hAnsi="Times New Roman" w:eastAsia="方正仿宋_GBK" w:cs="Times New Roman"/>
          <w:i w:val="0"/>
          <w:caps w:val="0"/>
          <w:color w:val="auto"/>
          <w:spacing w:val="0"/>
          <w:sz w:val="31"/>
          <w:szCs w:val="31"/>
          <w:shd w:val="clear" w:color="auto" w:fill="FFFFFF"/>
          <w:lang w:val="en-US" w:eastAsia="zh-CN"/>
        </w:rPr>
        <w:t>3</w:t>
      </w:r>
      <w:r>
        <w:rPr>
          <w:rFonts w:hint="default" w:ascii="Times New Roman" w:hAnsi="Times New Roman" w:eastAsia="方正仿宋_GBK" w:cs="Times New Roman"/>
          <w:i w:val="0"/>
          <w:caps w:val="0"/>
          <w:color w:val="auto"/>
          <w:spacing w:val="0"/>
          <w:sz w:val="31"/>
          <w:szCs w:val="31"/>
          <w:shd w:val="clear" w:color="auto" w:fill="FFFFFF"/>
        </w:rPr>
        <w:t>年度无</w:t>
      </w:r>
      <w:r>
        <w:rPr>
          <w:rFonts w:hint="eastAsia" w:ascii="Times New Roman" w:hAnsi="Times New Roman" w:eastAsia="方正仿宋_GBK" w:cs="Times New Roman"/>
          <w:i w:val="0"/>
          <w:caps w:val="0"/>
          <w:color w:val="auto"/>
          <w:spacing w:val="0"/>
          <w:sz w:val="31"/>
          <w:szCs w:val="31"/>
          <w:shd w:val="clear" w:color="auto" w:fill="FFFFFF"/>
          <w:lang w:val="en-US" w:eastAsia="zh-CN"/>
        </w:rPr>
        <w:t>政府采购支出</w:t>
      </w:r>
      <w:r>
        <w:rPr>
          <w:rFonts w:hint="default" w:ascii="Times New Roman" w:hAnsi="Times New Roman" w:eastAsia="方正仿宋_GBK" w:cs="Times New Roman"/>
          <w:i w:val="0"/>
          <w:caps w:val="0"/>
          <w:color w:val="auto"/>
          <w:spacing w:val="0"/>
          <w:sz w:val="31"/>
          <w:szCs w:val="31"/>
          <w:shd w:val="clear" w:color="auto" w:fill="FFFFFF"/>
        </w:rPr>
        <w:t>。</w:t>
      </w:r>
      <w:r>
        <w:rPr>
          <w:rFonts w:hint="eastAsia" w:ascii="Times New Roman" w:hAnsi="Times New Roman" w:eastAsia="方正仿宋_GBK" w:cs="Times New Roman"/>
          <w:i w:val="0"/>
          <w:caps w:val="0"/>
          <w:color w:val="auto"/>
          <w:spacing w:val="0"/>
          <w:sz w:val="31"/>
          <w:szCs w:val="31"/>
          <w:shd w:val="clear" w:color="auto" w:fill="FFFFFF"/>
          <w:lang w:val="en-US" w:eastAsia="zh-CN"/>
        </w:rPr>
        <w:t xml:space="preserve"> </w:t>
      </w:r>
    </w:p>
    <w:p>
      <w:pPr>
        <w:pStyle w:val="6"/>
        <w:keepNext w:val="0"/>
        <w:keepLines w:val="0"/>
        <w:pageBreakBefore w:val="0"/>
        <w:widowControl/>
        <w:numPr>
          <w:ilvl w:val="0"/>
          <w:numId w:val="3"/>
        </w:numPr>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60" w:beforeAutospacing="0" w:after="60" w:afterAutospacing="0" w:line="360" w:lineRule="auto"/>
        <w:ind w:firstLine="640"/>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color w:val="auto"/>
          <w:kern w:val="0"/>
          <w:sz w:val="32"/>
          <w:szCs w:val="32"/>
        </w:rPr>
        <w:t>本单位无项目支出</w:t>
      </w:r>
      <w:r>
        <w:rPr>
          <w:rFonts w:hint="default" w:ascii="Times New Roman" w:hAnsi="Times New Roman" w:eastAsia="方正仿宋_GBK" w:cs="Times New Roman"/>
          <w:color w:val="auto"/>
          <w:kern w:val="0"/>
          <w:sz w:val="32"/>
          <w:szCs w:val="32"/>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60" w:beforeAutospacing="0" w:after="60" w:afterAutospacing="0" w:line="360" w:lineRule="auto"/>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60" w:beforeAutospacing="0" w:after="6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60" w:beforeAutospacing="0" w:after="60" w:afterAutospacing="0" w:line="360" w:lineRule="auto"/>
        <w:ind w:firstLine="0" w:firstLineChars="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023-58223050</w:t>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p>
    <w:tbl>
      <w:tblPr>
        <w:tblStyle w:val="7"/>
        <w:tblW w:w="15420" w:type="dxa"/>
        <w:tblInd w:w="0" w:type="dxa"/>
        <w:tblLayout w:type="fixed"/>
        <w:tblCellMar>
          <w:top w:w="0" w:type="dxa"/>
          <w:left w:w="0" w:type="dxa"/>
          <w:bottom w:w="0" w:type="dxa"/>
          <w:right w:w="0" w:type="dxa"/>
        </w:tblCellMar>
      </w:tblPr>
      <w:tblGrid>
        <w:gridCol w:w="5131"/>
        <w:gridCol w:w="2024"/>
        <w:gridCol w:w="4817"/>
        <w:gridCol w:w="3448"/>
      </w:tblGrid>
      <w:tr>
        <w:tblPrEx>
          <w:tblCellMar>
            <w:top w:w="0" w:type="dxa"/>
            <w:left w:w="0" w:type="dxa"/>
            <w:bottom w:w="0" w:type="dxa"/>
            <w:right w:w="0" w:type="dxa"/>
          </w:tblCellMar>
        </w:tblPrEx>
        <w:trPr>
          <w:trHeight w:val="517" w:hRule="atLeast"/>
        </w:trPr>
        <w:tc>
          <w:tcPr>
            <w:tcW w:w="15420"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391" w:hRule="atLeast"/>
        </w:trPr>
        <w:tc>
          <w:tcPr>
            <w:tcW w:w="51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44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391" w:hRule="atLeast"/>
        </w:trPr>
        <w:tc>
          <w:tcPr>
            <w:tcW w:w="715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重庆市万州区行政执法监督检查大队</w:t>
            </w:r>
          </w:p>
        </w:tc>
        <w:tc>
          <w:tcPr>
            <w:tcW w:w="481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2"/>
                <w:szCs w:val="22"/>
              </w:rPr>
            </w:pPr>
          </w:p>
        </w:tc>
        <w:tc>
          <w:tcPr>
            <w:tcW w:w="344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98" w:hRule="atLeast"/>
        </w:trPr>
        <w:tc>
          <w:tcPr>
            <w:tcW w:w="715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65"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113.51</w:t>
            </w: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4"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113.51</w:t>
            </w: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98"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406" w:hRule="atLeast"/>
        </w:trPr>
        <w:tc>
          <w:tcPr>
            <w:tcW w:w="513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113.51</w:t>
            </w:r>
            <w:r>
              <w:rPr>
                <w:rFonts w:hint="default" w:ascii="Times New Roman" w:hAnsi="Times New Roman" w:cs="Times New Roman"/>
                <w:color w:val="000000"/>
                <w:sz w:val="20"/>
                <w:u w:color="auto"/>
              </w:rPr>
              <w:t xml:space="preserve"> </w:t>
            </w:r>
          </w:p>
        </w:tc>
        <w:tc>
          <w:tcPr>
            <w:tcW w:w="4817"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113.51</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重庆市万州区行政执法监督检查大队</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113.51</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113.51</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重庆市万州区行政执法监督检查大队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113.51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113.51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重庆市万州区行政执法监督检查大队</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重庆市万州区行政执法监督检查大队</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76.50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重庆市万州区行政执法监督检查大队</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94.90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98.47</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15.04</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重庆市万州区行政执法监督检查大队</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重庆市万州区行政执法监督检查大队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36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重庆市万州区行政执法监督检查大队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15.04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15.04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0.39</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360" w:lineRule="auto"/>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line="36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6A7D384"/>
    <w:multiLevelType w:val="singleLevel"/>
    <w:tmpl w:val="D6A7D384"/>
    <w:lvl w:ilvl="0" w:tentative="0">
      <w:start w:val="2"/>
      <w:numFmt w:val="chineseCounting"/>
      <w:suff w:val="nothing"/>
      <w:lvlText w:val="（%1）"/>
      <w:lvlJc w:val="left"/>
      <w:rPr>
        <w:rFonts w:hint="eastAsia"/>
      </w:rPr>
    </w:lvl>
  </w:abstractNum>
  <w:abstractNum w:abstractNumId="2">
    <w:nsid w:val="366DE2FB"/>
    <w:multiLevelType w:val="singleLevel"/>
    <w:tmpl w:val="366DE2FB"/>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CE79B9"/>
    <w:rsid w:val="03D164A6"/>
    <w:rsid w:val="03E3214F"/>
    <w:rsid w:val="044C50BA"/>
    <w:rsid w:val="05BC6D49"/>
    <w:rsid w:val="06194FF1"/>
    <w:rsid w:val="06A2550B"/>
    <w:rsid w:val="06F80EE2"/>
    <w:rsid w:val="07001CCA"/>
    <w:rsid w:val="075678DB"/>
    <w:rsid w:val="079D7CC7"/>
    <w:rsid w:val="07F51A67"/>
    <w:rsid w:val="08051BCA"/>
    <w:rsid w:val="086C12F4"/>
    <w:rsid w:val="08705944"/>
    <w:rsid w:val="08BA052C"/>
    <w:rsid w:val="08DB07BA"/>
    <w:rsid w:val="0969353F"/>
    <w:rsid w:val="098305D0"/>
    <w:rsid w:val="0A3317EA"/>
    <w:rsid w:val="0A5C4B69"/>
    <w:rsid w:val="0A86124A"/>
    <w:rsid w:val="0AB54CC0"/>
    <w:rsid w:val="0B9335CE"/>
    <w:rsid w:val="0BF2311A"/>
    <w:rsid w:val="0C765FFB"/>
    <w:rsid w:val="0C7927C4"/>
    <w:rsid w:val="0C9B098C"/>
    <w:rsid w:val="0D673E11"/>
    <w:rsid w:val="0DDA54E4"/>
    <w:rsid w:val="0E3A5F83"/>
    <w:rsid w:val="0F836721"/>
    <w:rsid w:val="0FA25D96"/>
    <w:rsid w:val="0FD56B14"/>
    <w:rsid w:val="107B59E5"/>
    <w:rsid w:val="10EC0126"/>
    <w:rsid w:val="10F70B9A"/>
    <w:rsid w:val="111445C7"/>
    <w:rsid w:val="114278C6"/>
    <w:rsid w:val="1158083A"/>
    <w:rsid w:val="11643A4B"/>
    <w:rsid w:val="11ED0F98"/>
    <w:rsid w:val="11F03528"/>
    <w:rsid w:val="12AF4150"/>
    <w:rsid w:val="12C921C4"/>
    <w:rsid w:val="13871C70"/>
    <w:rsid w:val="13A71CB4"/>
    <w:rsid w:val="13AF1D43"/>
    <w:rsid w:val="13CE1647"/>
    <w:rsid w:val="13FD55AB"/>
    <w:rsid w:val="14200702"/>
    <w:rsid w:val="14D30E29"/>
    <w:rsid w:val="15010D19"/>
    <w:rsid w:val="15637C8D"/>
    <w:rsid w:val="15E05BBA"/>
    <w:rsid w:val="15F85D42"/>
    <w:rsid w:val="163A6CEE"/>
    <w:rsid w:val="173708E3"/>
    <w:rsid w:val="178C6BCD"/>
    <w:rsid w:val="17C374FC"/>
    <w:rsid w:val="182E4AB6"/>
    <w:rsid w:val="189079DC"/>
    <w:rsid w:val="18931251"/>
    <w:rsid w:val="189B0D0B"/>
    <w:rsid w:val="18B43F7C"/>
    <w:rsid w:val="194A1770"/>
    <w:rsid w:val="19B906A4"/>
    <w:rsid w:val="19F60CA9"/>
    <w:rsid w:val="1A862D73"/>
    <w:rsid w:val="1B0C0C61"/>
    <w:rsid w:val="1B6F15B6"/>
    <w:rsid w:val="1BAA2EDC"/>
    <w:rsid w:val="1C6A64C5"/>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00C57"/>
    <w:rsid w:val="22403BD3"/>
    <w:rsid w:val="24B92327"/>
    <w:rsid w:val="24C14514"/>
    <w:rsid w:val="2533755C"/>
    <w:rsid w:val="25791755"/>
    <w:rsid w:val="26396DF4"/>
    <w:rsid w:val="26BA68F7"/>
    <w:rsid w:val="27167136"/>
    <w:rsid w:val="271B442C"/>
    <w:rsid w:val="27B23302"/>
    <w:rsid w:val="29310A5F"/>
    <w:rsid w:val="29C37A35"/>
    <w:rsid w:val="2A076083"/>
    <w:rsid w:val="2A73162E"/>
    <w:rsid w:val="2AEA697B"/>
    <w:rsid w:val="2B167953"/>
    <w:rsid w:val="2B200583"/>
    <w:rsid w:val="2B8209DE"/>
    <w:rsid w:val="2C636760"/>
    <w:rsid w:val="2C6762A3"/>
    <w:rsid w:val="2D37638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0A7356"/>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C56F63"/>
    <w:rsid w:val="44C37687"/>
    <w:rsid w:val="45CB699A"/>
    <w:rsid w:val="465B470D"/>
    <w:rsid w:val="468D3F85"/>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D57645"/>
    <w:rsid w:val="4F0C6BA3"/>
    <w:rsid w:val="4F186D58"/>
    <w:rsid w:val="50F06B6E"/>
    <w:rsid w:val="51D21804"/>
    <w:rsid w:val="52234D33"/>
    <w:rsid w:val="522F6E0C"/>
    <w:rsid w:val="52463BA1"/>
    <w:rsid w:val="52C56B37"/>
    <w:rsid w:val="52F163D4"/>
    <w:rsid w:val="531A2DB4"/>
    <w:rsid w:val="53C0244D"/>
    <w:rsid w:val="53DD4D4E"/>
    <w:rsid w:val="53E578CE"/>
    <w:rsid w:val="541330F0"/>
    <w:rsid w:val="54272666"/>
    <w:rsid w:val="543B029D"/>
    <w:rsid w:val="54861779"/>
    <w:rsid w:val="552256E1"/>
    <w:rsid w:val="554C713C"/>
    <w:rsid w:val="554E5773"/>
    <w:rsid w:val="555829E0"/>
    <w:rsid w:val="555A3CBC"/>
    <w:rsid w:val="5582012B"/>
    <w:rsid w:val="558E4E05"/>
    <w:rsid w:val="55BE2E85"/>
    <w:rsid w:val="55DE25AF"/>
    <w:rsid w:val="56530F5D"/>
    <w:rsid w:val="567700D3"/>
    <w:rsid w:val="56FF7E9E"/>
    <w:rsid w:val="578867FC"/>
    <w:rsid w:val="5842572D"/>
    <w:rsid w:val="5A3B59D6"/>
    <w:rsid w:val="5AD134D8"/>
    <w:rsid w:val="5C263CE4"/>
    <w:rsid w:val="5C5D2777"/>
    <w:rsid w:val="5CA17179"/>
    <w:rsid w:val="5CF66BF3"/>
    <w:rsid w:val="5D290C69"/>
    <w:rsid w:val="5F2D4A41"/>
    <w:rsid w:val="60C74F6C"/>
    <w:rsid w:val="61025A59"/>
    <w:rsid w:val="613D5BBC"/>
    <w:rsid w:val="61536C39"/>
    <w:rsid w:val="62690FB3"/>
    <w:rsid w:val="62944DD7"/>
    <w:rsid w:val="6319381F"/>
    <w:rsid w:val="63A152E3"/>
    <w:rsid w:val="63C25DC5"/>
    <w:rsid w:val="63C62057"/>
    <w:rsid w:val="64571EF5"/>
    <w:rsid w:val="64FB113D"/>
    <w:rsid w:val="656152C6"/>
    <w:rsid w:val="65831215"/>
    <w:rsid w:val="6587477F"/>
    <w:rsid w:val="658C3A08"/>
    <w:rsid w:val="65C031CA"/>
    <w:rsid w:val="65CE6852"/>
    <w:rsid w:val="66267C04"/>
    <w:rsid w:val="663F505A"/>
    <w:rsid w:val="66EE5541"/>
    <w:rsid w:val="67924660"/>
    <w:rsid w:val="68197EBD"/>
    <w:rsid w:val="68407834"/>
    <w:rsid w:val="6883293E"/>
    <w:rsid w:val="688412AD"/>
    <w:rsid w:val="68EB1B71"/>
    <w:rsid w:val="69434AAA"/>
    <w:rsid w:val="6A6C7940"/>
    <w:rsid w:val="6AAD2300"/>
    <w:rsid w:val="6B474EF5"/>
    <w:rsid w:val="6C0A5AC5"/>
    <w:rsid w:val="6C560CAE"/>
    <w:rsid w:val="6C576495"/>
    <w:rsid w:val="6D7A2F08"/>
    <w:rsid w:val="6D903FF5"/>
    <w:rsid w:val="6DA955B8"/>
    <w:rsid w:val="6DE346AB"/>
    <w:rsid w:val="6DE5391A"/>
    <w:rsid w:val="6EFD1324"/>
    <w:rsid w:val="6F5A53AC"/>
    <w:rsid w:val="6FAC003D"/>
    <w:rsid w:val="6FE55E12"/>
    <w:rsid w:val="6FE76C35"/>
    <w:rsid w:val="6FFB2E76"/>
    <w:rsid w:val="708F6F7F"/>
    <w:rsid w:val="70D94BD3"/>
    <w:rsid w:val="71C34D91"/>
    <w:rsid w:val="72DB435C"/>
    <w:rsid w:val="72E2613A"/>
    <w:rsid w:val="72F771F4"/>
    <w:rsid w:val="73934AD2"/>
    <w:rsid w:val="73E14313"/>
    <w:rsid w:val="750837F0"/>
    <w:rsid w:val="754758CF"/>
    <w:rsid w:val="764F62AB"/>
    <w:rsid w:val="765C45EC"/>
    <w:rsid w:val="768A7619"/>
    <w:rsid w:val="772E1EBA"/>
    <w:rsid w:val="781926BC"/>
    <w:rsid w:val="796D60A4"/>
    <w:rsid w:val="79A031D5"/>
    <w:rsid w:val="7A1525F7"/>
    <w:rsid w:val="7AB52CBC"/>
    <w:rsid w:val="7B420052"/>
    <w:rsid w:val="7B78226A"/>
    <w:rsid w:val="7B8D727D"/>
    <w:rsid w:val="7BD06A28"/>
    <w:rsid w:val="7C123BAF"/>
    <w:rsid w:val="7C3A7C0B"/>
    <w:rsid w:val="7C5248E4"/>
    <w:rsid w:val="7C566698"/>
    <w:rsid w:val="7C5866A3"/>
    <w:rsid w:val="7D7406BB"/>
    <w:rsid w:val="7DE94331"/>
    <w:rsid w:val="7F446A19"/>
    <w:rsid w:val="7F7452B9"/>
    <w:rsid w:val="7FAF6422"/>
    <w:rsid w:val="BF502114"/>
    <w:rsid w:val="FBD7E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13</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2024-11-07T10:22:36Z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