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重庆市万州区司法局（本级）</w:t>
      </w:r>
    </w:p>
    <w:p>
      <w:pPr>
        <w:pStyle w:val="6"/>
        <w:keepNext w:val="0"/>
        <w:keepLines w:val="0"/>
        <w:pageBreakBefore w:val="0"/>
        <w:widowControl/>
        <w:kinsoku/>
        <w:wordWrap/>
        <w:overflowPunct/>
        <w:topLinePunct w:val="0"/>
        <w:autoSpaceDE/>
        <w:autoSpaceDN/>
        <w:bidi w:val="0"/>
        <w:adjustRightInd/>
        <w:snapToGrid/>
        <w:spacing w:before="0" w:before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pPr>
        <w:pStyle w:val="6"/>
        <w:shd w:val="clear" w:color="auto" w:fill="FFFFFF"/>
        <w:rPr>
          <w:rStyle w:val="10"/>
          <w:rFonts w:hint="default" w:ascii="Times New Roman" w:hAnsi="Times New Roman" w:eastAsia="黑体" w:cs="Times New Roman"/>
          <w:sz w:val="32"/>
          <w:szCs w:val="32"/>
          <w:shd w:val="clear" w:color="auto" w:fill="FFFFFF"/>
        </w:rPr>
      </w:pPr>
    </w:p>
    <w:p>
      <w:pPr>
        <w:pStyle w:val="6"/>
        <w:shd w:val="clear" w:color="auto" w:fill="FFFFFF"/>
        <w:rPr>
          <w:rFonts w:hint="default" w:ascii="Times New Roman" w:hAnsi="Times New Roman" w:eastAsia="黑体" w:cs="Times New Roman"/>
          <w:sz w:val="32"/>
          <w:szCs w:val="32"/>
        </w:rPr>
      </w:pPr>
      <w:r>
        <w:rPr>
          <w:rStyle w:val="10"/>
          <w:rFonts w:hint="default" w:ascii="Times New Roman" w:hAnsi="Times New Roman" w:eastAsia="黑体" w:cs="Times New Roman"/>
          <w:sz w:val="32"/>
          <w:szCs w:val="32"/>
          <w:shd w:val="clear" w:color="auto" w:fill="FFFFFF"/>
        </w:rPr>
        <w:t>一、单位基本情况</w:t>
      </w:r>
    </w:p>
    <w:p>
      <w:pPr>
        <w:pStyle w:val="6"/>
        <w:shd w:val="clear" w:color="auto" w:fill="FFFFFF"/>
        <w:ind w:firstLine="420"/>
        <w:rPr>
          <w:rStyle w:val="10"/>
          <w:rFonts w:hint="default" w:ascii="Times New Roman" w:hAnsi="Times New Roman" w:eastAsia="楷体" w:cs="Times New Roman"/>
          <w:sz w:val="32"/>
          <w:szCs w:val="32"/>
          <w:shd w:val="clear" w:color="auto" w:fill="FFFFFF"/>
        </w:rPr>
      </w:pPr>
      <w:r>
        <w:rPr>
          <w:rStyle w:val="10"/>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重庆市万州区司法局是区政府工作部门，为正处级单位。主要职能有：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1、负责贯彻落实党中央关于全面依法治国的方针政策、市委关于全面依法治市的决策部署和区委关于全面依法治区的工作要求，在履行职责过程中坚持和加强党对全面依法治国的集中统一领导。</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2、承担全面依法治区重大问题的政策研究，协调有关方面提出全面依法治区中长期规划建议，负责有关重大决策部署督察工作。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3、负责区政府、区政府各部门和镇乡（民族乡）街道规范性文件的备案审查工作。组织开展规范性文件清理工作。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4、承担统筹推进法治政府建设的责任。指导、监督全区依法行政工作。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5、承担统筹规划法治社会建设的责任。负责拟定法治宣传教育规划，组织实施普法宣传工作。推动人民参与和促进法治建设。指导依法治理和法治创建工作。指导人民调解工作和人民陪审员、人民监督员选任管理工作，推进司法所建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6、指导、管理社区矫正工作。指导帮教安置工作。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7、负责拟定全区公共法律服务体系建设规划并组织实施，统筹和布局城乡、区域法律服务资源。指导、监督律师、法律援助、司法鉴定、公证、仲裁和基层法律服务工作。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8、负责重庆市万州考区国家统一法律职业资格考试的组织实施工作。负责重庆市万州考区国家统一法律职业资格证书的管理等工作。负责组织全区法律职业人员入职前培训工作。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9、负责本系统警车管理工作。负责本系统财务、装备、设施、办公用房等保障工作。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10、规划、协调、指导全区法治人才队伍建设相关工作，指导、监督本系统队伍建设。负责机关、直属单位和律师行业党建工作。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11、负责本系统信息化建设和应急处突指挥工作。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both"/>
        <w:rPr>
          <w:rStyle w:val="10"/>
          <w:rFonts w:hint="default" w:ascii="Times New Roman" w:hAnsi="Times New Roman" w:eastAsia="楷体" w:cs="Times New Roman"/>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12、完成区委、区政府交办的其他任务。</w:t>
      </w:r>
    </w:p>
    <w:p>
      <w:pPr>
        <w:pStyle w:val="6"/>
        <w:shd w:val="clear" w:color="auto" w:fill="FFFFFF"/>
        <w:ind w:firstLine="420"/>
        <w:rPr>
          <w:rFonts w:hint="default" w:ascii="Times New Roman" w:hAnsi="Times New Roman" w:eastAsia="楷体" w:cs="Times New Roman"/>
          <w:sz w:val="32"/>
          <w:szCs w:val="32"/>
        </w:rPr>
      </w:pPr>
      <w:r>
        <w:rPr>
          <w:rStyle w:val="10"/>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Times New Roman" w:hAnsi="Times New Roman"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shd w:val="clear" w:color="auto" w:fill="FFFFFF"/>
        </w:rPr>
        <w:t>重庆市万州区司法局内设17个科室，分别是办公室、法治调研督察科、规范性文件管理科、社区矫正管理科、行政复议应诉科、行政复议立案监督科、行政执法协调监督科、普法与依法治理科、人民参与和促进法治科、公共法律服务科、律师工作科、法律职业资格管理科、司法鉴定工作管理科、干部人事科、组织宣传科、退休干部管理科、政治部。</w:t>
      </w:r>
      <w:r>
        <w:rPr>
          <w:rFonts w:hint="default" w:ascii="Times New Roman" w:hAnsi="Times New Roman" w:eastAsia="方正仿宋_GBK" w:cs="Times New Roman"/>
          <w:i w:val="0"/>
          <w:caps w:val="0"/>
          <w:color w:val="auto"/>
          <w:spacing w:val="0"/>
          <w:sz w:val="32"/>
          <w:szCs w:val="32"/>
          <w:shd w:val="clear" w:color="auto" w:fill="FFFFFF"/>
          <w:lang w:val="en-US" w:eastAsia="zh-CN"/>
        </w:rPr>
        <w:t>2022年</w:t>
      </w:r>
      <w:r>
        <w:rPr>
          <w:rFonts w:hint="default" w:ascii="Times New Roman" w:hAnsi="Times New Roman" w:eastAsia="方正仿宋_GBK" w:cs="Times New Roman"/>
          <w:i w:val="0"/>
          <w:caps w:val="0"/>
          <w:color w:val="auto"/>
          <w:spacing w:val="0"/>
          <w:sz w:val="32"/>
          <w:szCs w:val="32"/>
          <w:shd w:val="clear" w:color="auto" w:fill="FFFFFF"/>
        </w:rPr>
        <w:t>下属</w:t>
      </w:r>
      <w:r>
        <w:rPr>
          <w:rFonts w:hint="default" w:ascii="Times New Roman" w:hAnsi="Times New Roman" w:eastAsia="方正仿宋_GBK" w:cs="Times New Roman"/>
          <w:i w:val="0"/>
          <w:caps w:val="0"/>
          <w:color w:val="auto"/>
          <w:spacing w:val="0"/>
          <w:sz w:val="32"/>
          <w:szCs w:val="32"/>
          <w:shd w:val="clear" w:color="auto" w:fill="FFFFFF"/>
          <w:lang w:val="en-US" w:eastAsia="zh-CN"/>
        </w:rPr>
        <w:t>2</w:t>
      </w:r>
      <w:r>
        <w:rPr>
          <w:rFonts w:hint="default" w:ascii="Times New Roman" w:hAnsi="Times New Roman" w:eastAsia="方正仿宋_GBK" w:cs="Times New Roman"/>
          <w:i w:val="0"/>
          <w:caps w:val="0"/>
          <w:color w:val="auto"/>
          <w:spacing w:val="0"/>
          <w:sz w:val="32"/>
          <w:szCs w:val="32"/>
          <w:shd w:val="clear" w:color="auto" w:fill="FFFFFF"/>
        </w:rPr>
        <w:t>个二级预算单位，分别是重庆市万州区法律援助中心、重庆市万州区行政执法监督检查大队均为非独立核算单位。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firstLine="640" w:firstLineChars="200"/>
        <w:textAlignment w:val="auto"/>
        <w:rPr>
          <w:rFonts w:hint="default" w:ascii="Times New Roman" w:hAnsi="Times New Roman" w:eastAsia="方正仿宋_GBK" w:cs="Times New Roman"/>
          <w:i w:val="0"/>
          <w:caps w:val="0"/>
          <w:color w:val="auto"/>
          <w:spacing w:val="0"/>
          <w:sz w:val="32"/>
          <w:szCs w:val="32"/>
          <w:shd w:val="clear" w:color="auto" w:fill="FFFFFF"/>
        </w:rPr>
      </w:pPr>
      <w:r>
        <w:rPr>
          <w:rFonts w:hint="default" w:ascii="Times New Roman" w:hAnsi="Times New Roman" w:eastAsia="方正仿宋_GBK" w:cs="Times New Roman"/>
          <w:i w:val="0"/>
          <w:caps w:val="0"/>
          <w:color w:val="auto"/>
          <w:spacing w:val="0"/>
          <w:sz w:val="32"/>
          <w:szCs w:val="32"/>
          <w:shd w:val="clear" w:color="auto" w:fill="FFFFFF"/>
        </w:rPr>
        <w:t>中共重庆市万州区委全面依法治区委员会办公室（以下简称区委依法治区办）设在重庆市万州区司法局，设置区委依法治区</w:t>
      </w:r>
    </w:p>
    <w:p>
      <w:pPr>
        <w:pStyle w:val="6"/>
        <w:shd w:val="clear" w:color="auto" w:fill="FFFFFF"/>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二、单位决算情况说明</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shd w:val="clear" w:color="auto" w:fill="FFFFFF"/>
        <w:ind w:firstLine="642" w:firstLineChars="200"/>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2023年度收入总计5496.92万元，支出总计</w:t>
      </w:r>
      <w:r>
        <w:rPr>
          <w:rFonts w:hint="default" w:ascii="Times New Roman" w:hAnsi="Times New Roman" w:eastAsia="方正仿宋_GBK" w:cs="Times New Roman"/>
          <w:sz w:val="32"/>
          <w:szCs w:val="32"/>
        </w:rPr>
        <w:t>5496.92</w:t>
      </w:r>
      <w:r>
        <w:rPr>
          <w:rFonts w:hint="default" w:ascii="Times New Roman" w:hAnsi="Times New Roman" w:eastAsia="方正仿宋_GBK" w:cs="Times New Roman"/>
          <w:sz w:val="32"/>
          <w:szCs w:val="32"/>
          <w:shd w:val="clear" w:color="auto" w:fill="FFFFFF"/>
        </w:rPr>
        <w:t>万元。收支较上年决算数增加195.92万元，增长3.70%，主要原因是</w:t>
      </w:r>
      <w:r>
        <w:rPr>
          <w:rFonts w:hint="default" w:ascii="Times New Roman" w:hAnsi="Times New Roman" w:eastAsia="方正仿宋_GBK" w:cs="Times New Roman"/>
          <w:sz w:val="32"/>
          <w:szCs w:val="32"/>
          <w:shd w:val="clear" w:color="auto" w:fill="FFFFFF"/>
          <w:lang w:val="en-US" w:eastAsia="zh-CN"/>
        </w:rPr>
        <w:t>2023年新招录4名公务员，增加了工资福利支出。</w:t>
      </w:r>
    </w:p>
    <w:p>
      <w:pPr>
        <w:pStyle w:val="6"/>
        <w:shd w:val="clear" w:color="auto" w:fill="FFFFFF"/>
        <w:ind w:firstLine="642" w:firstLineChars="200"/>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2023年度收入合计5496.92万元，较上年决算数增加195.92万元，增长3.70%，主要原因是</w:t>
      </w:r>
      <w:r>
        <w:rPr>
          <w:rFonts w:hint="default" w:ascii="Times New Roman" w:hAnsi="Times New Roman" w:eastAsia="方正仿宋_GBK" w:cs="Times New Roman"/>
          <w:sz w:val="32"/>
          <w:szCs w:val="32"/>
          <w:shd w:val="clear" w:color="auto" w:fill="FFFFFF"/>
          <w:lang w:val="en-US" w:eastAsia="zh-CN"/>
        </w:rPr>
        <w:t>2023年新招录4名公务员，增加了工资福利支出。</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5441.32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98.99</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55.60</w:t>
      </w:r>
      <w:r>
        <w:rPr>
          <w:rFonts w:hint="default" w:ascii="Times New Roman" w:hAnsi="Times New Roman" w:eastAsia="方正仿宋_GBK" w:cs="Times New Roman"/>
          <w:sz w:val="32"/>
          <w:szCs w:val="32"/>
          <w:shd w:val="clear" w:color="auto" w:fill="FFFFFF"/>
        </w:rPr>
        <w:t>万元，占1.01%。此外，使用非财政拨款结余和专用结余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5496.92</w:t>
      </w:r>
      <w:r>
        <w:rPr>
          <w:rFonts w:hint="default" w:ascii="Times New Roman" w:hAnsi="Times New Roman" w:eastAsia="方正仿宋_GBK" w:cs="Times New Roman"/>
          <w:sz w:val="32"/>
          <w:szCs w:val="32"/>
          <w:shd w:val="clear" w:color="auto" w:fill="FFFFFF"/>
        </w:rPr>
        <w:t>万元，较上年决算数增加195.92万元，增长3.70%，主要原因是</w:t>
      </w:r>
      <w:r>
        <w:rPr>
          <w:rFonts w:hint="default" w:ascii="Times New Roman" w:hAnsi="Times New Roman" w:eastAsia="方正仿宋_GBK" w:cs="Times New Roman"/>
          <w:sz w:val="32"/>
          <w:szCs w:val="32"/>
          <w:shd w:val="clear" w:color="auto" w:fill="FFFFFF"/>
          <w:lang w:val="en-US" w:eastAsia="zh-CN"/>
        </w:rPr>
        <w:t>2023年新招录4名公务员，增加了工资福利支出。</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4140.91</w:t>
      </w:r>
      <w:r>
        <w:rPr>
          <w:rFonts w:hint="default" w:ascii="Times New Roman" w:hAnsi="Times New Roman" w:eastAsia="方正仿宋_GBK" w:cs="Times New Roman"/>
          <w:sz w:val="32"/>
          <w:szCs w:val="32"/>
          <w:shd w:val="clear" w:color="auto" w:fill="FFFFFF"/>
        </w:rPr>
        <w:t>万元，占75.33%；项目支出</w:t>
      </w:r>
      <w:r>
        <w:rPr>
          <w:rFonts w:hint="default" w:ascii="Times New Roman" w:hAnsi="Times New Roman" w:eastAsia="方正仿宋_GBK" w:cs="Times New Roman"/>
          <w:sz w:val="32"/>
          <w:szCs w:val="32"/>
        </w:rPr>
        <w:t>1356.01</w:t>
      </w:r>
      <w:r>
        <w:rPr>
          <w:rFonts w:hint="default" w:ascii="Times New Roman" w:hAnsi="Times New Roman" w:eastAsia="方正仿宋_GBK" w:cs="Times New Roman"/>
          <w:sz w:val="32"/>
          <w:szCs w:val="32"/>
          <w:shd w:val="clear" w:color="auto" w:fill="FFFFFF"/>
        </w:rPr>
        <w:t>万元，占24.67%；经营支出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w:t>
      </w:r>
      <w:r>
        <w:rPr>
          <w:rFonts w:hint="default" w:ascii="Times New Roman" w:hAnsi="Times New Roman" w:eastAsia="方正仿宋_GBK" w:cs="Times New Roman"/>
          <w:sz w:val="32"/>
          <w:szCs w:val="32"/>
          <w:shd w:val="clear" w:color="auto" w:fill="FFFFFF"/>
          <w:lang w:eastAsia="zh-CN"/>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2023年度财政拨款收、支总计5441.32万元。与2022年相比，财政拨款收、支总计各增加335.76万元，增长6.58%。主要原因是</w:t>
      </w:r>
      <w:r>
        <w:rPr>
          <w:rFonts w:hint="default" w:ascii="Times New Roman" w:hAnsi="Times New Roman" w:eastAsia="方正仿宋_GBK" w:cs="Times New Roman"/>
          <w:sz w:val="32"/>
          <w:szCs w:val="32"/>
          <w:shd w:val="clear" w:color="auto" w:fill="FFFFFF"/>
          <w:lang w:val="en-US" w:eastAsia="zh-CN"/>
        </w:rPr>
        <w:t>2023年新招录4名公务员，增加了工资福利支出；养老保险、职业年金等基数调整，缴费增多。</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5441.32</w:t>
      </w:r>
      <w:r>
        <w:rPr>
          <w:rFonts w:hint="default" w:ascii="Times New Roman" w:hAnsi="Times New Roman" w:eastAsia="方正仿宋_GBK" w:cs="Times New Roman"/>
          <w:sz w:val="32"/>
          <w:szCs w:val="32"/>
          <w:shd w:val="clear" w:color="auto" w:fill="FFFFFF"/>
        </w:rPr>
        <w:t>万元，较上年决算数增加335.76万元，增长6.58%。主要原因是</w:t>
      </w:r>
      <w:r>
        <w:rPr>
          <w:rFonts w:hint="default" w:ascii="Times New Roman" w:hAnsi="Times New Roman" w:eastAsia="方正仿宋_GBK" w:cs="Times New Roman"/>
          <w:sz w:val="32"/>
          <w:szCs w:val="32"/>
          <w:shd w:val="clear" w:color="auto" w:fill="FFFFFF"/>
          <w:lang w:val="en-US" w:eastAsia="zh-CN"/>
        </w:rPr>
        <w:t>2023年新招录4名公务员，增加了工资福利支出；养老保险、职业年金等基数调整，缴费增多。</w:t>
      </w:r>
      <w:r>
        <w:rPr>
          <w:rFonts w:hint="default" w:ascii="Times New Roman" w:hAnsi="Times New Roman" w:eastAsia="方正仿宋_GBK" w:cs="Times New Roman"/>
          <w:sz w:val="32"/>
          <w:szCs w:val="32"/>
          <w:shd w:val="clear" w:color="auto" w:fill="FFFFFF"/>
        </w:rPr>
        <w:t>较年初预算数增加476.65万元，增长9.60%。主要原因是</w:t>
      </w:r>
      <w:r>
        <w:rPr>
          <w:rFonts w:hint="default" w:ascii="Times New Roman" w:hAnsi="Times New Roman" w:eastAsia="方正仿宋_GBK" w:cs="Times New Roman"/>
          <w:sz w:val="32"/>
          <w:szCs w:val="32"/>
          <w:shd w:val="clear" w:color="auto" w:fill="FFFFFF"/>
          <w:lang w:val="en-US" w:eastAsia="zh-CN"/>
        </w:rPr>
        <w:t>年中追加了预算，项目资金服务业发展资金；人员增加了工作福利支出。</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5441.32</w:t>
      </w:r>
      <w:r>
        <w:rPr>
          <w:rFonts w:hint="default" w:ascii="Times New Roman" w:hAnsi="Times New Roman" w:eastAsia="方正仿宋_GBK" w:cs="Times New Roman"/>
          <w:sz w:val="32"/>
          <w:szCs w:val="32"/>
          <w:shd w:val="clear" w:color="auto" w:fill="FFFFFF"/>
        </w:rPr>
        <w:t>万元，较上年决算数增加335.76万元，增长6.58%。主要原因是</w:t>
      </w:r>
      <w:r>
        <w:rPr>
          <w:rFonts w:hint="default" w:ascii="Times New Roman" w:hAnsi="Times New Roman" w:eastAsia="方正仿宋_GBK" w:cs="Times New Roman"/>
          <w:sz w:val="32"/>
          <w:szCs w:val="32"/>
          <w:shd w:val="clear" w:color="auto" w:fill="FFFFFF"/>
          <w:lang w:val="en-US" w:eastAsia="zh-CN"/>
        </w:rPr>
        <w:t>2023年新招录4名公务员，增加了工资福利支出；养老保险、职业年金等基数调整，缴费增多。</w:t>
      </w:r>
      <w:r>
        <w:rPr>
          <w:rFonts w:hint="default" w:ascii="Times New Roman" w:hAnsi="Times New Roman" w:eastAsia="方正仿宋_GBK" w:cs="Times New Roman"/>
          <w:sz w:val="32"/>
          <w:szCs w:val="32"/>
          <w:shd w:val="clear" w:color="auto" w:fill="FFFFFF"/>
        </w:rPr>
        <w:t>较年初预算数增加476.65万元，增长9.60%。主要原因是</w:t>
      </w:r>
      <w:r>
        <w:rPr>
          <w:rFonts w:hint="default" w:ascii="Times New Roman" w:hAnsi="Times New Roman" w:eastAsia="方正仿宋_GBK" w:cs="Times New Roman"/>
          <w:sz w:val="32"/>
          <w:szCs w:val="32"/>
          <w:shd w:val="clear" w:color="auto" w:fill="FFFFFF"/>
          <w:lang w:val="en-US" w:eastAsia="zh-CN"/>
        </w:rPr>
        <w:t>年中追加了预算，项目资金服务业发展资金；人员增加了工作福利支出。</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lang w:eastAsia="zh-CN"/>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）公共安全支出</w:t>
      </w:r>
      <w:r>
        <w:rPr>
          <w:rFonts w:hint="default" w:ascii="Times New Roman" w:hAnsi="Times New Roman" w:eastAsia="方正仿宋_GBK" w:cs="Times New Roman"/>
          <w:sz w:val="32"/>
          <w:szCs w:val="32"/>
        </w:rPr>
        <w:t>4234.31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77.82</w:t>
      </w:r>
      <w:r>
        <w:rPr>
          <w:rFonts w:hint="default" w:ascii="Times New Roman" w:hAnsi="Times New Roman" w:eastAsia="方正仿宋_GBK" w:cs="Times New Roman"/>
          <w:sz w:val="32"/>
          <w:szCs w:val="32"/>
          <w:shd w:val="clear" w:color="auto" w:fill="FFFFFF"/>
        </w:rPr>
        <w:t>%，较年初预算数增加450.15万元，增长11.90%，主要原因是</w:t>
      </w:r>
      <w:r>
        <w:rPr>
          <w:rFonts w:hint="default" w:ascii="Times New Roman" w:hAnsi="Times New Roman" w:eastAsia="方正仿宋_GBK" w:cs="Times New Roman"/>
          <w:sz w:val="32"/>
          <w:szCs w:val="32"/>
          <w:shd w:val="clear" w:color="auto" w:fill="FFFFFF"/>
          <w:lang w:val="en-US" w:eastAsia="zh-CN"/>
        </w:rPr>
        <w:t>中央转移支付年中预算追加。</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752.46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13.83</w:t>
      </w:r>
      <w:r>
        <w:rPr>
          <w:rFonts w:hint="default" w:ascii="Times New Roman" w:hAnsi="Times New Roman" w:eastAsia="方正仿宋_GBK" w:cs="Times New Roman"/>
          <w:sz w:val="32"/>
          <w:szCs w:val="32"/>
          <w:shd w:val="clear" w:color="auto" w:fill="FFFFFF"/>
        </w:rPr>
        <w:t>%，较年初预算数增加13.13万元，增长1.78%，主要原因是</w:t>
      </w:r>
      <w:r>
        <w:rPr>
          <w:rFonts w:hint="default" w:ascii="Times New Roman" w:hAnsi="Times New Roman" w:eastAsia="方正仿宋_GBK" w:cs="Times New Roman"/>
          <w:sz w:val="32"/>
          <w:szCs w:val="32"/>
          <w:shd w:val="clear" w:color="auto" w:fill="FFFFFF"/>
          <w:lang w:val="en-US" w:eastAsia="zh-CN"/>
        </w:rPr>
        <w:t>养老保险、职业年金基数调整，支出增多。</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190.93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3.51</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sz w:val="32"/>
          <w:szCs w:val="32"/>
          <w:shd w:val="clear" w:color="auto" w:fill="FFFFFF"/>
          <w:lang w:val="en-US" w:eastAsia="zh-CN"/>
        </w:rPr>
        <w:t>主要原因是2023年我单位无事业单位医疗缴费。</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）资源勘探信息等支出</w:t>
      </w:r>
      <w:r>
        <w:rPr>
          <w:rFonts w:hint="default" w:ascii="Times New Roman" w:hAnsi="Times New Roman" w:eastAsia="方正仿宋_GBK" w:cs="Times New Roman"/>
          <w:sz w:val="32"/>
          <w:szCs w:val="32"/>
        </w:rPr>
        <w:t>23.54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0.43</w:t>
      </w:r>
      <w:r>
        <w:rPr>
          <w:rFonts w:hint="default" w:ascii="Times New Roman" w:hAnsi="Times New Roman" w:eastAsia="方正仿宋_GBK" w:cs="Times New Roman"/>
          <w:sz w:val="32"/>
          <w:szCs w:val="32"/>
          <w:shd w:val="clear" w:color="auto" w:fill="FFFFFF"/>
        </w:rPr>
        <w:t>%，较年初预算数增加23.54万元，增长100.00%，主要原因是</w:t>
      </w:r>
      <w:r>
        <w:rPr>
          <w:rFonts w:hint="default" w:ascii="Times New Roman" w:hAnsi="Times New Roman" w:eastAsia="方正仿宋_GBK" w:cs="Times New Roman"/>
          <w:sz w:val="32"/>
          <w:szCs w:val="32"/>
          <w:shd w:val="clear" w:color="auto" w:fill="FFFFFF"/>
          <w:lang w:val="en-US" w:eastAsia="zh-CN"/>
        </w:rPr>
        <w:t>年中预算追加项目经费服务业发展资金。</w:t>
      </w:r>
    </w:p>
    <w:p>
      <w:pPr>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住房保障支出240.09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4.41</w:t>
      </w:r>
      <w:r>
        <w:rPr>
          <w:rFonts w:hint="default" w:ascii="Times New Roman" w:hAnsi="Times New Roman" w:eastAsia="方正仿宋_GBK" w:cs="Times New Roman"/>
          <w:sz w:val="32"/>
          <w:szCs w:val="32"/>
          <w:shd w:val="clear" w:color="auto" w:fill="FFFFFF"/>
        </w:rPr>
        <w:t>%，较年初预算数减少10.16万元，下降4.06%，主要原因是</w:t>
      </w:r>
      <w:r>
        <w:rPr>
          <w:rFonts w:hint="default" w:ascii="Times New Roman" w:hAnsi="Times New Roman" w:eastAsia="方正仿宋_GBK" w:cs="Times New Roman"/>
          <w:sz w:val="32"/>
          <w:szCs w:val="32"/>
          <w:shd w:val="clear" w:color="auto" w:fill="FFFFFF"/>
          <w:lang w:val="en-US" w:eastAsia="zh-CN"/>
        </w:rPr>
        <w:t>2023年住房公积金缴纳减少。</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4140.91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3676.09</w:t>
      </w:r>
      <w:r>
        <w:rPr>
          <w:rFonts w:hint="default" w:ascii="Times New Roman" w:hAnsi="Times New Roman" w:eastAsia="方正仿宋_GBK" w:cs="Times New Roman"/>
          <w:sz w:val="32"/>
          <w:szCs w:val="32"/>
          <w:shd w:val="clear" w:color="auto" w:fill="FFFFFF"/>
        </w:rPr>
        <w:t>万元，较上年决算数增加226.89万元，增长6.58%，主要原因是</w:t>
      </w:r>
      <w:r>
        <w:rPr>
          <w:rFonts w:hint="default" w:ascii="Times New Roman" w:hAnsi="Times New Roman" w:eastAsia="方正仿宋_GBK" w:cs="Times New Roman"/>
          <w:sz w:val="32"/>
          <w:szCs w:val="32"/>
          <w:shd w:val="clear" w:color="auto" w:fill="FFFFFF"/>
          <w:lang w:val="en-US" w:eastAsia="zh-CN"/>
        </w:rPr>
        <w:t>2023年新招录4名公务员，增加了工资福利支出。</w:t>
      </w:r>
      <w:r>
        <w:rPr>
          <w:rFonts w:hint="default" w:ascii="Times New Roman" w:hAnsi="Times New Roman" w:eastAsia="方正仿宋_GBK" w:cs="Times New Roman"/>
          <w:i w:val="0"/>
          <w:caps w:val="0"/>
          <w:color w:val="auto"/>
          <w:spacing w:val="0"/>
          <w:sz w:val="32"/>
          <w:szCs w:val="32"/>
          <w:shd w:val="clear" w:color="auto" w:fill="FFFFFF"/>
          <w:lang w:eastAsia="zh-CN"/>
        </w:rPr>
        <w:t>人员经费用途主要包括基本工资、津贴补贴、奖金、考核奖励、社会保障缴费、住房公积金。</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464.83</w:t>
      </w:r>
      <w:r>
        <w:rPr>
          <w:rFonts w:hint="default" w:ascii="Times New Roman" w:hAnsi="Times New Roman" w:eastAsia="方正仿宋_GBK" w:cs="Times New Roman"/>
          <w:sz w:val="32"/>
          <w:szCs w:val="32"/>
          <w:shd w:val="clear" w:color="auto" w:fill="FFFFFF"/>
        </w:rPr>
        <w:t>万元，较上年决算数减少58.02万元，下降11.10%，主要原因是</w:t>
      </w:r>
      <w:r>
        <w:rPr>
          <w:rFonts w:hint="default" w:ascii="Times New Roman" w:hAnsi="Times New Roman" w:eastAsia="方正仿宋_GBK" w:cs="Times New Roman"/>
          <w:i w:val="0"/>
          <w:caps w:val="0"/>
          <w:color w:val="auto"/>
          <w:spacing w:val="0"/>
          <w:sz w:val="32"/>
          <w:szCs w:val="32"/>
          <w:shd w:val="clear" w:color="auto" w:fill="FFFFFF"/>
          <w:lang w:eastAsia="zh-CN"/>
        </w:rPr>
        <w:t>严格落实相关政策规定，减少不必要的公用经费支出。</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i w:val="0"/>
          <w:caps w:val="0"/>
          <w:color w:val="auto"/>
          <w:spacing w:val="0"/>
          <w:sz w:val="32"/>
          <w:szCs w:val="32"/>
          <w:shd w:val="clear" w:color="auto" w:fill="FFFFFF"/>
          <w:lang w:eastAsia="zh-CN"/>
        </w:rPr>
        <w:t>办公费、印刷费、咨询费、手续费、劳务费、委托业务费、邮电费、维修（护）费、公务用车运行维护费、公务接待费、会议费、培训费。</w:t>
      </w:r>
    </w:p>
    <w:p>
      <w:pPr>
        <w:pStyle w:val="11"/>
        <w:numPr>
          <w:ilvl w:val="0"/>
          <w:numId w:val="1"/>
        </w:numPr>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政府性基金预算收支决算情况说明</w:t>
      </w:r>
    </w:p>
    <w:p>
      <w:pPr>
        <w:pStyle w:val="11"/>
        <w:numPr>
          <w:ilvl w:val="0"/>
          <w:numId w:val="0"/>
        </w:numPr>
        <w:autoSpaceDE w:val="0"/>
        <w:ind w:leftChars="200" w:firstLine="320" w:firstLineChars="100"/>
        <w:rPr>
          <w:rFonts w:hint="default" w:ascii="Times New Roman" w:hAnsi="Times New Roman" w:eastAsia="方正仿宋_GBK" w:cs="Times New Roman"/>
          <w:b/>
          <w:bCs/>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本</w:t>
      </w:r>
      <w:r>
        <w:rPr>
          <w:rFonts w:hint="default" w:ascii="Times New Roman" w:hAnsi="Times New Roman" w:eastAsia="方正仿宋_GBK" w:cs="Times New Roman"/>
          <w:b w:val="0"/>
          <w:bCs w:val="0"/>
          <w:sz w:val="32"/>
          <w:szCs w:val="32"/>
          <w:shd w:val="clear" w:color="auto" w:fill="FFFFFF"/>
          <w:lang w:val="en-US" w:eastAsia="zh-CN"/>
        </w:rPr>
        <w:t>单位</w:t>
      </w:r>
      <w:r>
        <w:rPr>
          <w:rFonts w:hint="default" w:ascii="Times New Roman" w:hAnsi="Times New Roman" w:eastAsia="方正仿宋_GBK" w:cs="Times New Roman"/>
          <w:b w:val="0"/>
          <w:bCs w:val="0"/>
          <w:sz w:val="32"/>
          <w:szCs w:val="32"/>
          <w:shd w:val="clear" w:color="auto" w:fill="FFFFFF"/>
        </w:rPr>
        <w:t>2023年度无政府性基金预算财政拨款收支</w:t>
      </w:r>
      <w:r>
        <w:rPr>
          <w:rFonts w:hint="default" w:ascii="Times New Roman" w:hAnsi="Times New Roman" w:eastAsia="方正仿宋_GBK" w:cs="Times New Roman"/>
          <w:b w:val="0"/>
          <w:bCs w:val="0"/>
          <w:sz w:val="32"/>
          <w:szCs w:val="32"/>
          <w:shd w:val="clear" w:color="auto" w:fill="FFFFFF"/>
          <w:lang w:eastAsia="zh-CN"/>
        </w:rPr>
        <w:t>。</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11"/>
        <w:numPr>
          <w:ilvl w:val="0"/>
          <w:numId w:val="0"/>
        </w:numPr>
        <w:autoSpaceDE w:val="0"/>
        <w:ind w:leftChars="200"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本部门2023年度无国有资本经营预算财政拨款支出。</w:t>
      </w:r>
    </w:p>
    <w:p>
      <w:pPr>
        <w:pStyle w:val="6"/>
        <w:shd w:val="clear" w:color="auto" w:fill="FFFFFF"/>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三、“三公”经费情况说明</w:t>
      </w:r>
    </w:p>
    <w:p>
      <w:pPr>
        <w:pStyle w:val="11"/>
        <w:autoSpaceDE w:val="0"/>
        <w:ind w:left="0" w:leftChars="0" w:firstLine="642"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（一）“三公”经费支出总体情况说明</w:t>
      </w:r>
    </w:p>
    <w:p>
      <w:pPr>
        <w:pStyle w:val="6"/>
        <w:snapToGrid w:val="0"/>
        <w:spacing w:before="0" w:beforeAutospacing="0" w:after="0" w:afterAutospacing="0" w:line="600" w:lineRule="exact"/>
        <w:ind w:firstLine="960" w:firstLineChars="3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40.75</w:t>
      </w:r>
      <w:r>
        <w:rPr>
          <w:rFonts w:hint="default" w:ascii="Times New Roman" w:hAnsi="Times New Roman" w:eastAsia="方正仿宋_GBK" w:cs="Times New Roman"/>
          <w:sz w:val="32"/>
          <w:szCs w:val="32"/>
          <w:shd w:val="clear" w:color="auto" w:fill="FFFFFF"/>
        </w:rPr>
        <w:t>万元，较年初预算数减少22.25万元，下降35.32%，主要原因是</w:t>
      </w:r>
      <w:r>
        <w:rPr>
          <w:rFonts w:hint="default" w:ascii="Times New Roman" w:hAnsi="Times New Roman" w:eastAsia="方正仿宋_GBK" w:cs="Times New Roman"/>
          <w:i w:val="0"/>
          <w:caps w:val="0"/>
          <w:color w:val="auto"/>
          <w:spacing w:val="0"/>
          <w:sz w:val="32"/>
          <w:szCs w:val="32"/>
          <w:shd w:val="clear" w:color="auto" w:fill="FFFFFF"/>
          <w:lang w:eastAsia="zh-CN"/>
        </w:rPr>
        <w:t>严格控制三公经费支出。</w:t>
      </w:r>
      <w:r>
        <w:rPr>
          <w:rFonts w:hint="default" w:ascii="Times New Roman" w:hAnsi="Times New Roman" w:eastAsia="方正仿宋_GBK" w:cs="Times New Roman"/>
          <w:sz w:val="32"/>
          <w:szCs w:val="32"/>
          <w:shd w:val="clear" w:color="auto" w:fill="FFFFFF"/>
        </w:rPr>
        <w:t>较上年支出数减少2.85万元，下降6.54%，主要原因是</w:t>
      </w:r>
      <w:r>
        <w:rPr>
          <w:rFonts w:hint="default" w:ascii="Times New Roman" w:hAnsi="Times New Roman" w:eastAsia="方正仿宋_GBK" w:cs="Times New Roman"/>
          <w:sz w:val="32"/>
          <w:szCs w:val="32"/>
          <w:shd w:val="clear" w:color="auto" w:fill="FFFFFF"/>
          <w:lang w:val="en-US" w:eastAsia="zh-CN"/>
        </w:rPr>
        <w:t>公务用车运行费和公务接待费用减少。</w:t>
      </w:r>
    </w:p>
    <w:p>
      <w:pPr>
        <w:pStyle w:val="11"/>
        <w:autoSpaceDE w:val="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eastAsia="方正仿宋_GBK" w:cs="Times New Roman"/>
          <w:i w:val="0"/>
          <w:caps w:val="0"/>
          <w:color w:val="auto"/>
          <w:spacing w:val="0"/>
          <w:sz w:val="32"/>
          <w:szCs w:val="32"/>
          <w:highlight w:val="yellow"/>
          <w:shd w:val="clear" w:color="auto" w:fill="FFFFFF"/>
          <w:lang w:val="en-US"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本</w:t>
      </w:r>
      <w:r>
        <w:rPr>
          <w:rFonts w:hint="default" w:ascii="Times New Roman" w:hAnsi="Times New Roman" w:eastAsia="方正仿宋_GBK" w:cs="Times New Roman"/>
          <w:i w:val="0"/>
          <w:caps w:val="0"/>
          <w:color w:val="auto"/>
          <w:spacing w:val="0"/>
          <w:sz w:val="32"/>
          <w:szCs w:val="32"/>
          <w:shd w:val="clear" w:color="auto" w:fill="FFFFFF"/>
          <w:lang w:val="en-US" w:eastAsia="zh-CN"/>
        </w:rPr>
        <w:t>单位</w:t>
      </w:r>
      <w:r>
        <w:rPr>
          <w:rFonts w:hint="default" w:ascii="Times New Roman" w:hAnsi="Times New Roman" w:eastAsia="方正仿宋_GBK" w:cs="Times New Roman"/>
          <w:i w:val="0"/>
          <w:caps w:val="0"/>
          <w:color w:val="auto"/>
          <w:spacing w:val="0"/>
          <w:sz w:val="32"/>
          <w:szCs w:val="32"/>
          <w:shd w:val="clear" w:color="auto" w:fill="FFFFFF"/>
          <w:lang w:eastAsia="zh-CN"/>
        </w:rPr>
        <w:t>202</w:t>
      </w:r>
      <w:r>
        <w:rPr>
          <w:rFonts w:hint="default" w:ascii="Times New Roman" w:hAnsi="Times New Roman" w:eastAsia="方正仿宋_GBK" w:cs="Times New Roman"/>
          <w:i w:val="0"/>
          <w:caps w:val="0"/>
          <w:color w:val="auto"/>
          <w:spacing w:val="0"/>
          <w:sz w:val="32"/>
          <w:szCs w:val="32"/>
          <w:shd w:val="clear" w:color="auto" w:fill="FFFFFF"/>
          <w:lang w:val="en-US" w:eastAsia="zh-CN"/>
        </w:rPr>
        <w:t>3</w:t>
      </w:r>
      <w:r>
        <w:rPr>
          <w:rFonts w:hint="default" w:ascii="Times New Roman" w:hAnsi="Times New Roman" w:eastAsia="方正仿宋_GBK" w:cs="Times New Roman"/>
          <w:i w:val="0"/>
          <w:caps w:val="0"/>
          <w:color w:val="auto"/>
          <w:spacing w:val="0"/>
          <w:sz w:val="32"/>
          <w:szCs w:val="32"/>
          <w:shd w:val="clear" w:color="auto" w:fill="FFFFFF"/>
          <w:lang w:eastAsia="zh-CN"/>
        </w:rPr>
        <w:t>年度未发生因公出国（境）费用支出，</w:t>
      </w:r>
      <w:r>
        <w:rPr>
          <w:rFonts w:hint="default" w:ascii="Times New Roman" w:hAnsi="Times New Roman" w:eastAsia="方正仿宋_GBK" w:cs="Times New Roman"/>
          <w:i w:val="0"/>
          <w:caps w:val="0"/>
          <w:color w:val="auto"/>
          <w:spacing w:val="0"/>
          <w:sz w:val="32"/>
          <w:szCs w:val="32"/>
          <w:shd w:val="clear" w:color="auto" w:fill="FFFFFF"/>
          <w:lang w:val="en-US" w:eastAsia="zh-CN"/>
        </w:rPr>
        <w:t>与</w:t>
      </w:r>
      <w:r>
        <w:rPr>
          <w:rFonts w:hint="default" w:ascii="Times New Roman" w:hAnsi="Times New Roman" w:eastAsia="方正仿宋_GBK" w:cs="Times New Roman"/>
          <w:color w:val="auto"/>
          <w:sz w:val="32"/>
          <w:szCs w:val="32"/>
        </w:rPr>
        <w:t>上年持平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i w:val="0"/>
          <w:caps w:val="0"/>
          <w:color w:val="auto"/>
          <w:spacing w:val="0"/>
          <w:sz w:val="32"/>
          <w:szCs w:val="32"/>
          <w:shd w:val="clear" w:color="auto" w:fill="FFFFFF"/>
          <w:lang w:val="en-US" w:eastAsia="zh-CN"/>
        </w:rPr>
        <w:t>原因是本部门无出国（境）事项</w:t>
      </w:r>
      <w:r>
        <w:rPr>
          <w:rFonts w:hint="default" w:ascii="Times New Roman" w:hAnsi="Times New Roman" w:eastAsia="方正仿宋_GBK" w:cs="Times New Roman"/>
          <w:color w:val="auto"/>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eastAsia="方正仿宋_GBK" w:cs="Times New Roman"/>
          <w:i w:val="0"/>
          <w:caps w:val="0"/>
          <w:color w:val="auto"/>
          <w:spacing w:val="0"/>
          <w:sz w:val="32"/>
          <w:szCs w:val="32"/>
          <w:highlight w:val="none"/>
          <w:shd w:val="clear" w:color="auto" w:fill="FFFFFF"/>
          <w:lang w:eastAsia="zh-CN"/>
        </w:rPr>
      </w:pPr>
      <w:r>
        <w:rPr>
          <w:rFonts w:hint="default" w:ascii="Times New Roman" w:hAnsi="Times New Roman" w:eastAsia="方正仿宋_GBK" w:cs="Times New Roman"/>
          <w:i w:val="0"/>
          <w:caps w:val="0"/>
          <w:color w:val="auto"/>
          <w:spacing w:val="0"/>
          <w:sz w:val="32"/>
          <w:szCs w:val="32"/>
          <w:shd w:val="clear" w:color="auto" w:fill="FFFFFF"/>
          <w:lang w:eastAsia="zh-CN"/>
        </w:rPr>
        <w:t>本</w:t>
      </w:r>
      <w:r>
        <w:rPr>
          <w:rFonts w:hint="default" w:ascii="Times New Roman" w:hAnsi="Times New Roman" w:eastAsia="方正仿宋_GBK" w:cs="Times New Roman"/>
          <w:i w:val="0"/>
          <w:caps w:val="0"/>
          <w:color w:val="auto"/>
          <w:spacing w:val="0"/>
          <w:sz w:val="32"/>
          <w:szCs w:val="32"/>
          <w:shd w:val="clear" w:color="auto" w:fill="FFFFFF"/>
          <w:lang w:val="en-US" w:eastAsia="zh-CN"/>
        </w:rPr>
        <w:t>单位</w:t>
      </w:r>
      <w:r>
        <w:rPr>
          <w:rFonts w:hint="default" w:ascii="Times New Roman" w:hAnsi="Times New Roman" w:eastAsia="方正仿宋_GBK" w:cs="Times New Roman"/>
          <w:i w:val="0"/>
          <w:caps w:val="0"/>
          <w:color w:val="auto"/>
          <w:spacing w:val="0"/>
          <w:sz w:val="32"/>
          <w:szCs w:val="32"/>
          <w:shd w:val="clear" w:color="auto" w:fill="FFFFFF"/>
          <w:lang w:eastAsia="zh-CN"/>
        </w:rPr>
        <w:t>2022年度公务车购置费用支出</w:t>
      </w:r>
      <w:r>
        <w:rPr>
          <w:rFonts w:hint="default" w:ascii="Times New Roman" w:hAnsi="Times New Roman" w:eastAsia="方正仿宋_GBK" w:cs="Times New Roman"/>
          <w:i w:val="0"/>
          <w:caps w:val="0"/>
          <w:color w:val="auto"/>
          <w:spacing w:val="0"/>
          <w:sz w:val="32"/>
          <w:szCs w:val="32"/>
          <w:shd w:val="clear" w:color="auto" w:fill="FFFFFF"/>
          <w:lang w:val="en-US" w:eastAsia="zh-CN"/>
        </w:rPr>
        <w:t>0</w:t>
      </w:r>
      <w:r>
        <w:rPr>
          <w:rFonts w:hint="default" w:ascii="Times New Roman" w:hAnsi="Times New Roman" w:eastAsia="方正仿宋_GBK" w:cs="Times New Roman"/>
          <w:i w:val="0"/>
          <w:caps w:val="0"/>
          <w:color w:val="auto"/>
          <w:spacing w:val="0"/>
          <w:sz w:val="32"/>
          <w:szCs w:val="32"/>
          <w:shd w:val="clear" w:color="auto" w:fill="FFFFFF"/>
          <w:lang w:eastAsia="zh-CN"/>
        </w:rPr>
        <w:t>万元。主要原因是本年度本</w:t>
      </w:r>
      <w:r>
        <w:rPr>
          <w:rFonts w:hint="default" w:ascii="Times New Roman" w:hAnsi="Times New Roman" w:eastAsia="方正仿宋_GBK" w:cs="Times New Roman"/>
          <w:i w:val="0"/>
          <w:caps w:val="0"/>
          <w:color w:val="auto"/>
          <w:spacing w:val="0"/>
          <w:sz w:val="32"/>
          <w:szCs w:val="32"/>
          <w:shd w:val="clear" w:color="auto" w:fill="FFFFFF"/>
          <w:lang w:val="en-US" w:eastAsia="zh-CN"/>
        </w:rPr>
        <w:t>无公务车购置的支出</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主要原因是本年度本</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rPr>
        <w:t>无公务车购置的支出。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38.66</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caps w:val="0"/>
          <w:color w:val="auto"/>
          <w:spacing w:val="0"/>
          <w:sz w:val="32"/>
          <w:szCs w:val="32"/>
          <w:shd w:val="clear" w:color="auto" w:fill="FFFFFF"/>
          <w:lang w:eastAsia="zh-CN"/>
        </w:rPr>
        <w:t>主要用于机要文件交换、市内因公出行、财政业务检查等工作所需车辆的燃料费、维修费、过桥过路费、保险费等。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费用支出较年初预算数减少6.34万元，下降14.09%，</w:t>
      </w:r>
      <w:r>
        <w:rPr>
          <w:rFonts w:hint="default" w:ascii="Times New Roman" w:hAnsi="Times New Roman" w:eastAsia="方正仿宋_GBK" w:cs="Times New Roman"/>
          <w:i w:val="0"/>
          <w:caps w:val="0"/>
          <w:color w:val="auto"/>
          <w:spacing w:val="0"/>
          <w:sz w:val="32"/>
          <w:szCs w:val="32"/>
          <w:shd w:val="clear" w:color="auto" w:fill="FFFFFF"/>
          <w:lang w:eastAsia="zh-CN"/>
        </w:rPr>
        <w:t>主要原因是严格控制三公经费支出。</w:t>
      </w:r>
      <w:r>
        <w:rPr>
          <w:rFonts w:hint="default" w:ascii="Times New Roman" w:hAnsi="Times New Roman" w:eastAsia="方正仿宋_GBK" w:cs="Times New Roman"/>
          <w:sz w:val="32"/>
          <w:szCs w:val="32"/>
          <w:shd w:val="clear" w:color="auto" w:fill="FFFFFF"/>
        </w:rPr>
        <w:t>较上年支出数减少2.26万元，下降5.52%，主要原因是</w:t>
      </w:r>
      <w:r>
        <w:rPr>
          <w:rFonts w:hint="default" w:ascii="Times New Roman" w:hAnsi="Times New Roman" w:eastAsia="方正仿宋_GBK" w:cs="Times New Roman"/>
          <w:i w:val="0"/>
          <w:caps w:val="0"/>
          <w:color w:val="auto"/>
          <w:spacing w:val="0"/>
          <w:sz w:val="32"/>
          <w:szCs w:val="32"/>
          <w:shd w:val="clear" w:color="auto" w:fill="FFFFFF"/>
          <w:lang w:eastAsia="zh-CN"/>
        </w:rPr>
        <w:t>严格控制三公经费支出。</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2.09</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i w:val="0"/>
          <w:caps w:val="0"/>
          <w:color w:val="auto"/>
          <w:spacing w:val="0"/>
          <w:sz w:val="32"/>
          <w:szCs w:val="32"/>
          <w:shd w:val="clear" w:color="auto" w:fill="FFFFFF"/>
          <w:lang w:eastAsia="zh-CN"/>
        </w:rPr>
        <w:t>主要用于接待国内其他省市司法厅到我单位学习调研司法行政项目建设工作，接受相关部门检查指导工作发生的接待支出。</w:t>
      </w:r>
      <w:r>
        <w:rPr>
          <w:rFonts w:hint="default" w:ascii="Times New Roman" w:hAnsi="Times New Roman" w:eastAsia="方正仿宋_GBK" w:cs="Times New Roman"/>
          <w:sz w:val="32"/>
          <w:szCs w:val="32"/>
          <w:shd w:val="clear" w:color="auto" w:fill="FFFFFF"/>
        </w:rPr>
        <w:t>费用支出较年初预算数减少15.91万元，下降88.39%，主要原因是</w:t>
      </w:r>
      <w:r>
        <w:rPr>
          <w:rFonts w:hint="default" w:ascii="Times New Roman" w:hAnsi="Times New Roman" w:eastAsia="方正仿宋_GBK" w:cs="Times New Roman"/>
          <w:i w:val="0"/>
          <w:caps w:val="0"/>
          <w:color w:val="auto"/>
          <w:spacing w:val="0"/>
          <w:sz w:val="32"/>
          <w:szCs w:val="32"/>
          <w:shd w:val="clear" w:color="auto" w:fill="FFFFFF"/>
          <w:lang w:eastAsia="zh-CN"/>
        </w:rPr>
        <w:t>强化公务接待支出管理，严格遵守公务接待开支范围和开支标准，严格控制陪餐人数，对应由接待对象承担的费用一律由接待对象自行支付，公务接待费大幅下降。</w:t>
      </w:r>
      <w:r>
        <w:rPr>
          <w:rFonts w:hint="default" w:ascii="Times New Roman" w:hAnsi="Times New Roman" w:eastAsia="方正仿宋_GBK" w:cs="Times New Roman"/>
          <w:sz w:val="32"/>
          <w:szCs w:val="32"/>
          <w:shd w:val="clear" w:color="auto" w:fill="FFFFFF"/>
        </w:rPr>
        <w:t>较上年支出数减少0.58万元，下降21.72%，主要原因是</w:t>
      </w:r>
      <w:r>
        <w:rPr>
          <w:rFonts w:hint="default" w:ascii="Times New Roman" w:hAnsi="Times New Roman" w:eastAsia="方正仿宋_GBK" w:cs="Times New Roman"/>
          <w:i w:val="0"/>
          <w:caps w:val="0"/>
          <w:color w:val="auto"/>
          <w:spacing w:val="0"/>
          <w:sz w:val="32"/>
          <w:szCs w:val="32"/>
          <w:shd w:val="clear" w:color="auto" w:fill="FFFFFF"/>
          <w:lang w:eastAsia="zh-CN"/>
        </w:rPr>
        <w:t>强化公务接待支出管理，严格遵守公务接待开支范围和开支标准，严格控制陪餐人数，对应由接待对象承担的费用一律由接待对象自行支付，公务接待费大幅下降。</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40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110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587</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35.60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0.97</w:t>
      </w:r>
      <w:r>
        <w:rPr>
          <w:rFonts w:hint="default" w:ascii="Times New Roman" w:hAnsi="Times New Roman" w:eastAsia="方正仿宋_GBK" w:cs="Times New Roman"/>
          <w:sz w:val="32"/>
          <w:szCs w:val="32"/>
          <w:shd w:val="clear" w:color="auto" w:fill="FFFFFF"/>
        </w:rPr>
        <w:t>万元。</w:t>
      </w:r>
    </w:p>
    <w:p>
      <w:pPr>
        <w:pStyle w:val="6"/>
        <w:shd w:val="clear" w:color="auto" w:fill="FFFFFF"/>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四、其他需要说明的事项</w:t>
      </w:r>
    </w:p>
    <w:p>
      <w:pPr>
        <w:pStyle w:val="11"/>
        <w:autoSpaceDE w:val="0"/>
        <w:ind w:left="0" w:leftChars="0" w:firstLine="642"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10.90</w:t>
      </w:r>
      <w:r>
        <w:rPr>
          <w:rFonts w:hint="default" w:ascii="Times New Roman" w:hAnsi="Times New Roman" w:eastAsia="方正仿宋_GBK" w:cs="Times New Roman"/>
          <w:sz w:val="32"/>
          <w:szCs w:val="32"/>
          <w:shd w:val="clear" w:color="auto" w:fill="FFFFFF"/>
        </w:rPr>
        <w:t>万元，较上年决算数减少3.48万元，下降24.20%，主要原因是</w:t>
      </w:r>
      <w:r>
        <w:rPr>
          <w:rFonts w:hint="default" w:ascii="Times New Roman" w:hAnsi="Times New Roman" w:eastAsia="方正仿宋_GBK" w:cs="Times New Roman"/>
          <w:i w:val="0"/>
          <w:caps w:val="0"/>
          <w:color w:val="auto"/>
          <w:spacing w:val="0"/>
          <w:sz w:val="32"/>
          <w:szCs w:val="32"/>
          <w:shd w:val="clear" w:color="auto" w:fill="FFFFFF"/>
          <w:lang w:val="en-US" w:eastAsia="zh-CN"/>
        </w:rPr>
        <w:t>是</w:t>
      </w:r>
      <w:r>
        <w:rPr>
          <w:rFonts w:hint="default" w:ascii="Times New Roman" w:hAnsi="Times New Roman" w:eastAsia="方正仿宋_GBK" w:cs="Times New Roman"/>
          <w:i w:val="0"/>
          <w:caps w:val="0"/>
          <w:color w:val="auto"/>
          <w:spacing w:val="0"/>
          <w:sz w:val="32"/>
          <w:szCs w:val="32"/>
          <w:shd w:val="clear" w:color="auto" w:fill="FFFFFF"/>
          <w:lang w:eastAsia="zh-CN"/>
        </w:rPr>
        <w:t>本年度</w:t>
      </w:r>
      <w:r>
        <w:rPr>
          <w:rFonts w:hint="default" w:ascii="Times New Roman" w:hAnsi="Times New Roman" w:eastAsia="方正仿宋_GBK" w:cs="Times New Roman"/>
          <w:i w:val="0"/>
          <w:caps w:val="0"/>
          <w:color w:val="auto"/>
          <w:spacing w:val="0"/>
          <w:sz w:val="32"/>
          <w:szCs w:val="32"/>
          <w:shd w:val="clear" w:color="auto" w:fill="FFFFFF"/>
          <w:lang w:val="en-US" w:eastAsia="zh-CN"/>
        </w:rPr>
        <w:t>未</w:t>
      </w:r>
      <w:r>
        <w:rPr>
          <w:rFonts w:hint="default" w:ascii="Times New Roman" w:hAnsi="Times New Roman" w:eastAsia="方正仿宋_GBK" w:cs="Times New Roman"/>
          <w:i w:val="0"/>
          <w:caps w:val="0"/>
          <w:color w:val="auto"/>
          <w:spacing w:val="0"/>
          <w:sz w:val="32"/>
          <w:szCs w:val="32"/>
          <w:shd w:val="clear" w:color="auto" w:fill="FFFFFF"/>
          <w:lang w:eastAsia="zh-CN"/>
        </w:rPr>
        <w:t>开展教育整顿，会议费用</w:t>
      </w:r>
      <w:r>
        <w:rPr>
          <w:rFonts w:hint="default" w:ascii="Times New Roman" w:hAnsi="Times New Roman" w:eastAsia="方正仿宋_GBK" w:cs="Times New Roman"/>
          <w:i w:val="0"/>
          <w:caps w:val="0"/>
          <w:color w:val="auto"/>
          <w:spacing w:val="0"/>
          <w:sz w:val="32"/>
          <w:szCs w:val="32"/>
          <w:shd w:val="clear" w:color="auto" w:fill="FFFFFF"/>
          <w:lang w:val="en-US" w:eastAsia="zh-CN"/>
        </w:rPr>
        <w:t>减少</w:t>
      </w:r>
      <w:r>
        <w:rPr>
          <w:rFonts w:hint="default" w:ascii="Times New Roman" w:hAnsi="Times New Roman" w:eastAsia="方正仿宋_GBK" w:cs="Times New Roman"/>
          <w:i w:val="0"/>
          <w:caps w:val="0"/>
          <w:color w:val="auto"/>
          <w:spacing w:val="0"/>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12.61</w:t>
      </w:r>
      <w:r>
        <w:rPr>
          <w:rFonts w:hint="default" w:ascii="Times New Roman" w:hAnsi="Times New Roman" w:eastAsia="方正仿宋_GBK" w:cs="Times New Roman"/>
          <w:sz w:val="32"/>
          <w:szCs w:val="32"/>
          <w:shd w:val="clear" w:color="auto" w:fill="FFFFFF"/>
        </w:rPr>
        <w:t>万元，较上年决算数增加0.62万元，增长5.17%，主要原因是</w:t>
      </w:r>
      <w:r>
        <w:rPr>
          <w:rFonts w:hint="default" w:ascii="Times New Roman" w:hAnsi="Times New Roman" w:eastAsia="方正仿宋_GBK" w:cs="Times New Roman"/>
          <w:sz w:val="32"/>
          <w:szCs w:val="32"/>
          <w:shd w:val="clear" w:color="auto" w:fill="FFFFFF"/>
          <w:lang w:val="en-US" w:eastAsia="zh-CN"/>
        </w:rPr>
        <w:t>2023年执法改革，培训增多。</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5"/>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2023年度本单位机关运行经费支出</w:t>
      </w:r>
      <w:r>
        <w:rPr>
          <w:rFonts w:hint="default" w:ascii="Times New Roman" w:hAnsi="Times New Roman" w:eastAsia="方正仿宋_GBK" w:cs="Times New Roman"/>
          <w:sz w:val="32"/>
          <w:szCs w:val="32"/>
        </w:rPr>
        <w:t>464.83</w:t>
      </w:r>
      <w:r>
        <w:rPr>
          <w:rFonts w:hint="default" w:ascii="Times New Roman" w:hAnsi="Times New Roman" w:eastAsia="方正仿宋_GBK" w:cs="Times New Roman"/>
          <w:sz w:val="32"/>
          <w:szCs w:val="32"/>
          <w:shd w:val="clear" w:color="auto" w:fill="FFFFFF"/>
        </w:rPr>
        <w:t>万元，</w:t>
      </w:r>
      <w:bookmarkStart w:id="0" w:name="_GoBack"/>
      <w:bookmarkEnd w:id="0"/>
      <w:r>
        <w:rPr>
          <w:rFonts w:hint="default" w:ascii="Times New Roman" w:hAnsi="Times New Roman" w:eastAsia="方正仿宋_GBK" w:cs="Times New Roman"/>
          <w:i w:val="0"/>
          <w:caps w:val="0"/>
          <w:color w:val="auto"/>
          <w:spacing w:val="0"/>
          <w:sz w:val="32"/>
          <w:szCs w:val="32"/>
          <w:shd w:val="clear" w:color="auto" w:fill="FFFFFF"/>
          <w:lang w:eastAsia="zh-CN"/>
        </w:rPr>
        <w:t>机关运行经费主要用于开支办公费、印刷费、咨询费、手续费、劳务费、委托业务费、邮电费、维修（护）费、公务用车运行维护费、公务接待费、会议费、培训费。</w:t>
      </w:r>
      <w:r>
        <w:rPr>
          <w:rFonts w:hint="default" w:ascii="Times New Roman" w:hAnsi="Times New Roman" w:eastAsia="方正仿宋_GBK" w:cs="Times New Roman"/>
          <w:sz w:val="32"/>
          <w:szCs w:val="32"/>
          <w:shd w:val="clear" w:color="auto" w:fill="FFFFFF"/>
        </w:rPr>
        <w:t>机关运行经费较上年支出数减少58.02万元，下降11.10%，主要原因是</w:t>
      </w:r>
      <w:r>
        <w:rPr>
          <w:rFonts w:hint="default" w:ascii="Times New Roman" w:hAnsi="Times New Roman" w:eastAsia="方正仿宋_GBK" w:cs="Times New Roman"/>
          <w:i w:val="0"/>
          <w:caps w:val="0"/>
          <w:color w:val="auto"/>
          <w:spacing w:val="0"/>
          <w:sz w:val="32"/>
          <w:szCs w:val="32"/>
          <w:shd w:val="clear" w:color="auto" w:fill="FFFFFF"/>
          <w:lang w:eastAsia="zh-CN"/>
        </w:rPr>
        <w:t>严格落实相关政策规定，减少不必要的公用经费支出。</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截至2023年12月31日，本单位共有车辆</w:t>
      </w:r>
      <w:r>
        <w:rPr>
          <w:rFonts w:hint="default" w:ascii="Times New Roman" w:hAnsi="Times New Roman" w:eastAsia="方正仿宋_GBK" w:cs="Times New Roman"/>
          <w:sz w:val="32"/>
          <w:szCs w:val="32"/>
        </w:rPr>
        <w:t>40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37</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2023年度本单位政府采购支出总额</w:t>
      </w:r>
      <w:r>
        <w:rPr>
          <w:rFonts w:hint="default" w:ascii="Times New Roman" w:hAnsi="Times New Roman" w:eastAsia="方正仿宋_GBK" w:cs="Times New Roman"/>
          <w:sz w:val="32"/>
          <w:szCs w:val="32"/>
        </w:rPr>
        <w:t>16.86</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16.86</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16.86万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16.86</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val="en-US" w:eastAsia="zh-CN"/>
        </w:rPr>
        <w:t>国产办公电脑、打印机、操作系统等。</w:t>
      </w:r>
    </w:p>
    <w:p>
      <w:pPr>
        <w:pStyle w:val="6"/>
        <w:numPr>
          <w:ilvl w:val="0"/>
          <w:numId w:val="2"/>
        </w:numPr>
        <w:shd w:val="clear" w:color="auto" w:fill="FFFFFF"/>
        <w:rPr>
          <w:rStyle w:val="10"/>
          <w:rFonts w:hint="default" w:ascii="Times New Roman" w:hAnsi="Times New Roman" w:eastAsia="黑体" w:cs="Times New Roman"/>
          <w:sz w:val="32"/>
          <w:szCs w:val="32"/>
          <w:shd w:val="clear" w:color="auto" w:fill="FFFFFF"/>
        </w:rPr>
      </w:pPr>
      <w:r>
        <w:rPr>
          <w:rStyle w:val="10"/>
          <w:rFonts w:hint="default" w:ascii="Times New Roman" w:hAnsi="Times New Roman" w:eastAsia="黑体" w:cs="Times New Roman"/>
          <w:sz w:val="32"/>
          <w:szCs w:val="32"/>
          <w:shd w:val="clear" w:color="auto" w:fill="FFFFFF"/>
        </w:rPr>
        <w:t>预算绩效管理情况说明</w:t>
      </w:r>
    </w:p>
    <w:p>
      <w:pPr>
        <w:pStyle w:val="16"/>
        <w:tabs>
          <w:tab w:val="center" w:pos="4153"/>
          <w:tab w:val="left" w:pos="7275"/>
        </w:tabs>
        <w:spacing w:line="596" w:lineRule="exact"/>
        <w:ind w:firstLine="643"/>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kern w:val="0"/>
          <w:sz w:val="32"/>
          <w:szCs w:val="32"/>
        </w:rPr>
        <w:t>（一）单位自评情况</w:t>
      </w:r>
    </w:p>
    <w:p>
      <w:pPr>
        <w:pStyle w:val="16"/>
        <w:tabs>
          <w:tab w:val="center" w:pos="4153"/>
          <w:tab w:val="left" w:pos="7275"/>
        </w:tabs>
        <w:spacing w:line="596" w:lineRule="exact"/>
        <w:ind w:firstLine="64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eastAsia="zh-CN"/>
        </w:rPr>
        <w:t>根据预算绩效管理要求，我单位对</w:t>
      </w:r>
      <w:r>
        <w:rPr>
          <w:rFonts w:hint="default"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rPr>
        <w:t>个</w:t>
      </w:r>
      <w:r>
        <w:rPr>
          <w:rFonts w:hint="default" w:ascii="Times New Roman" w:hAnsi="Times New Roman" w:eastAsia="方正仿宋_GBK" w:cs="Times New Roman"/>
          <w:kern w:val="0"/>
          <w:sz w:val="32"/>
          <w:szCs w:val="32"/>
          <w:lang w:eastAsia="zh-CN"/>
        </w:rPr>
        <w:t>重点专项</w:t>
      </w:r>
      <w:r>
        <w:rPr>
          <w:rFonts w:hint="default" w:ascii="Times New Roman" w:hAnsi="Times New Roman" w:eastAsia="方正仿宋_GBK" w:cs="Times New Roman"/>
          <w:kern w:val="0"/>
          <w:sz w:val="32"/>
          <w:szCs w:val="32"/>
        </w:rPr>
        <w:t>项目</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18个一般性项目开展了绩效自评，涉及财政拨款项目支出1356.00万元</w:t>
      </w:r>
    </w:p>
    <w:p>
      <w:pPr>
        <w:pStyle w:val="16"/>
        <w:tabs>
          <w:tab w:val="center" w:pos="4153"/>
          <w:tab w:val="left" w:pos="7275"/>
        </w:tabs>
        <w:spacing w:line="596" w:lineRule="exact"/>
        <w:ind w:firstLine="643"/>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b/>
          <w:kern w:val="0"/>
          <w:sz w:val="32"/>
          <w:szCs w:val="32"/>
        </w:rPr>
        <w:t>（</w:t>
      </w:r>
      <w:r>
        <w:rPr>
          <w:rFonts w:hint="default" w:ascii="Times New Roman" w:hAnsi="Times New Roman" w:eastAsia="方正仿宋_GBK" w:cs="Times New Roman"/>
          <w:b/>
          <w:kern w:val="0"/>
          <w:sz w:val="32"/>
          <w:szCs w:val="32"/>
          <w:lang w:eastAsia="zh-CN"/>
        </w:rPr>
        <w:t>二</w:t>
      </w:r>
      <w:r>
        <w:rPr>
          <w:rFonts w:hint="default" w:ascii="Times New Roman" w:hAnsi="Times New Roman" w:eastAsia="方正仿宋_GBK" w:cs="Times New Roman"/>
          <w:b/>
          <w:kern w:val="0"/>
          <w:sz w:val="32"/>
          <w:szCs w:val="32"/>
        </w:rPr>
        <w:t>）</w:t>
      </w:r>
      <w:r>
        <w:rPr>
          <w:rFonts w:hint="default" w:ascii="Times New Roman" w:hAnsi="Times New Roman" w:eastAsia="方正仿宋_GBK" w:cs="Times New Roman"/>
          <w:b/>
          <w:kern w:val="0"/>
          <w:sz w:val="32"/>
          <w:szCs w:val="32"/>
          <w:lang w:eastAsia="zh-CN"/>
        </w:rPr>
        <w:t>绩效自评结果</w:t>
      </w:r>
    </w:p>
    <w:p>
      <w:pPr>
        <w:pStyle w:val="16"/>
        <w:tabs>
          <w:tab w:val="center" w:pos="4153"/>
          <w:tab w:val="left" w:pos="7275"/>
        </w:tabs>
        <w:spacing w:line="596" w:lineRule="exact"/>
        <w:ind w:firstLine="640"/>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（1）2023年本单位无</w:t>
      </w:r>
      <w:r>
        <w:rPr>
          <w:rFonts w:hint="default" w:ascii="Times New Roman" w:hAnsi="Times New Roman" w:eastAsia="方正仿宋_GBK" w:cs="Times New Roman"/>
          <w:kern w:val="0"/>
          <w:sz w:val="32"/>
          <w:szCs w:val="32"/>
          <w:lang w:eastAsia="zh-CN"/>
        </w:rPr>
        <w:t>重点专项</w:t>
      </w:r>
      <w:r>
        <w:rPr>
          <w:rFonts w:hint="default" w:ascii="Times New Roman" w:hAnsi="Times New Roman" w:eastAsia="方正仿宋_GBK" w:cs="Times New Roman"/>
          <w:kern w:val="0"/>
          <w:sz w:val="32"/>
          <w:szCs w:val="32"/>
        </w:rPr>
        <w:t>项</w:t>
      </w:r>
      <w:r>
        <w:rPr>
          <w:rFonts w:hint="eastAsia" w:ascii="Times New Roman" w:hAnsi="Times New Roman" w:eastAsia="方正仿宋_GBK" w:cs="Times New Roman"/>
          <w:kern w:val="0"/>
          <w:sz w:val="32"/>
          <w:szCs w:val="32"/>
          <w:lang w:val="en-US" w:eastAsia="zh-CN"/>
        </w:rPr>
        <w:t>目</w:t>
      </w:r>
      <w:r>
        <w:rPr>
          <w:rFonts w:hint="default" w:ascii="Times New Roman" w:hAnsi="Times New Roman" w:eastAsia="方正仿宋_GBK" w:cs="Times New Roman"/>
          <w:kern w:val="0"/>
          <w:sz w:val="32"/>
          <w:szCs w:val="32"/>
          <w:lang w:eastAsia="zh-CN"/>
        </w:rPr>
        <w:t>。</w:t>
      </w:r>
    </w:p>
    <w:p>
      <w:pPr>
        <w:pStyle w:val="16"/>
        <w:tabs>
          <w:tab w:val="center" w:pos="4153"/>
          <w:tab w:val="left" w:pos="7275"/>
        </w:tabs>
        <w:spacing w:line="596" w:lineRule="exact"/>
        <w:ind w:firstLine="64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eastAsia="zh-CN"/>
        </w:rPr>
        <w:t>）一般性</w:t>
      </w:r>
      <w:r>
        <w:rPr>
          <w:rFonts w:hint="default" w:ascii="Times New Roman" w:hAnsi="Times New Roman" w:eastAsia="方正仿宋_GBK" w:cs="Times New Roman"/>
          <w:kern w:val="0"/>
          <w:sz w:val="32"/>
          <w:szCs w:val="32"/>
        </w:rPr>
        <w:t>项目</w:t>
      </w:r>
      <w:r>
        <w:rPr>
          <w:rFonts w:hint="default" w:ascii="Times New Roman" w:hAnsi="Times New Roman" w:eastAsia="方正仿宋_GBK" w:cs="Times New Roman"/>
          <w:kern w:val="0"/>
          <w:sz w:val="32"/>
          <w:szCs w:val="32"/>
          <w:lang w:eastAsia="zh-CN"/>
        </w:rPr>
        <w:t>绩效</w:t>
      </w:r>
      <w:r>
        <w:rPr>
          <w:rFonts w:hint="default" w:ascii="Times New Roman" w:hAnsi="Times New Roman" w:eastAsia="方正仿宋_GBK" w:cs="Times New Roman"/>
          <w:kern w:val="0"/>
          <w:sz w:val="32"/>
          <w:szCs w:val="32"/>
        </w:rPr>
        <w:t>自评表表样：</w:t>
      </w:r>
    </w:p>
    <w:tbl>
      <w:tblPr>
        <w:tblStyle w:val="7"/>
        <w:tblW w:w="8355" w:type="dxa"/>
        <w:tblInd w:w="93" w:type="dxa"/>
        <w:tblLayout w:type="fixed"/>
        <w:tblCellMar>
          <w:top w:w="0" w:type="dxa"/>
          <w:left w:w="108" w:type="dxa"/>
          <w:bottom w:w="0" w:type="dxa"/>
          <w:right w:w="108" w:type="dxa"/>
        </w:tblCellMar>
      </w:tblPr>
      <w:tblGrid>
        <w:gridCol w:w="600"/>
        <w:gridCol w:w="750"/>
        <w:gridCol w:w="675"/>
        <w:gridCol w:w="720"/>
        <w:gridCol w:w="915"/>
        <w:gridCol w:w="690"/>
        <w:gridCol w:w="705"/>
        <w:gridCol w:w="945"/>
        <w:gridCol w:w="780"/>
        <w:gridCol w:w="795"/>
        <w:gridCol w:w="780"/>
      </w:tblGrid>
      <w:tr>
        <w:tblPrEx>
          <w:tblCellMar>
            <w:top w:w="0" w:type="dxa"/>
            <w:left w:w="108" w:type="dxa"/>
            <w:bottom w:w="0" w:type="dxa"/>
            <w:right w:w="108" w:type="dxa"/>
          </w:tblCellMar>
        </w:tblPrEx>
        <w:trPr>
          <w:trHeight w:val="780" w:hRule="atLeast"/>
        </w:trPr>
        <w:tc>
          <w:tcPr>
            <w:tcW w:w="8355" w:type="dxa"/>
            <w:gridSpan w:val="11"/>
            <w:tcBorders>
              <w:top w:val="nil"/>
              <w:left w:val="nil"/>
              <w:bottom w:val="single" w:color="000000" w:sz="4" w:space="0"/>
              <w:right w:val="nil"/>
            </w:tcBorders>
            <w:noWrap/>
            <w:vAlign w:val="center"/>
          </w:tcPr>
          <w:p>
            <w:pPr>
              <w:widowControl/>
              <w:jc w:val="center"/>
              <w:textAlignment w:val="center"/>
              <w:rPr>
                <w:rFonts w:hint="default" w:ascii="Times New Roman" w:hAnsi="Times New Roman" w:eastAsia="方正小标宋_GBK" w:cs="Times New Roman"/>
                <w:color w:val="000000"/>
                <w:kern w:val="0"/>
                <w:sz w:val="36"/>
                <w:szCs w:val="36"/>
                <w:lang w:bidi="ar"/>
              </w:rPr>
            </w:pPr>
            <w:r>
              <w:rPr>
                <w:rFonts w:hint="default" w:ascii="Times New Roman" w:hAnsi="Times New Roman" w:eastAsia="方正小标宋_GBK" w:cs="Times New Roman"/>
                <w:color w:val="000000"/>
                <w:kern w:val="0"/>
                <w:sz w:val="36"/>
                <w:szCs w:val="36"/>
                <w:lang w:val="en-US" w:eastAsia="zh-CN" w:bidi="ar"/>
              </w:rPr>
              <w:t>万州区司法局(本级）</w:t>
            </w:r>
            <w:r>
              <w:rPr>
                <w:rFonts w:hint="default" w:ascii="Times New Roman" w:hAnsi="Times New Roman" w:eastAsia="方正小标宋_GBK" w:cs="Times New Roman"/>
                <w:color w:val="000000"/>
                <w:kern w:val="0"/>
                <w:sz w:val="36"/>
                <w:szCs w:val="36"/>
                <w:lang w:bidi="ar"/>
              </w:rPr>
              <w:t>202</w:t>
            </w:r>
            <w:r>
              <w:rPr>
                <w:rFonts w:hint="default" w:ascii="Times New Roman" w:hAnsi="Times New Roman" w:eastAsia="方正小标宋_GBK" w:cs="Times New Roman"/>
                <w:color w:val="000000"/>
                <w:kern w:val="0"/>
                <w:sz w:val="36"/>
                <w:szCs w:val="36"/>
                <w:lang w:val="en-US" w:eastAsia="zh-CN" w:bidi="ar"/>
              </w:rPr>
              <w:t>3</w:t>
            </w:r>
            <w:r>
              <w:rPr>
                <w:rFonts w:hint="default" w:ascii="Times New Roman" w:hAnsi="Times New Roman" w:eastAsia="方正小标宋_GBK" w:cs="Times New Roman"/>
                <w:color w:val="000000"/>
                <w:kern w:val="0"/>
                <w:sz w:val="36"/>
                <w:szCs w:val="36"/>
                <w:lang w:bidi="ar"/>
              </w:rPr>
              <w:t>年度</w:t>
            </w:r>
            <w:r>
              <w:rPr>
                <w:rFonts w:hint="default" w:ascii="Times New Roman" w:hAnsi="Times New Roman" w:eastAsia="方正小标宋_GBK" w:cs="Times New Roman"/>
                <w:color w:val="000000"/>
                <w:kern w:val="0"/>
                <w:sz w:val="36"/>
                <w:szCs w:val="36"/>
                <w:lang w:eastAsia="zh-CN" w:bidi="ar"/>
              </w:rPr>
              <w:t>一般性</w:t>
            </w:r>
            <w:r>
              <w:rPr>
                <w:rFonts w:hint="default" w:ascii="Times New Roman" w:hAnsi="Times New Roman" w:eastAsia="方正小标宋_GBK" w:cs="Times New Roman"/>
                <w:color w:val="000000"/>
                <w:kern w:val="0"/>
                <w:sz w:val="36"/>
                <w:szCs w:val="36"/>
                <w:lang w:bidi="ar"/>
              </w:rPr>
              <w:t>项目支出</w:t>
            </w:r>
          </w:p>
          <w:p>
            <w:pPr>
              <w:widowControl/>
              <w:jc w:val="center"/>
              <w:textAlignment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kern w:val="0"/>
                <w:sz w:val="36"/>
                <w:szCs w:val="36"/>
                <w:lang w:bidi="ar"/>
              </w:rPr>
              <w:t>绩效自评表</w:t>
            </w:r>
          </w:p>
        </w:tc>
      </w:tr>
      <w:tr>
        <w:tblPrEx>
          <w:tblCellMar>
            <w:top w:w="0" w:type="dxa"/>
            <w:left w:w="108" w:type="dxa"/>
            <w:bottom w:w="0" w:type="dxa"/>
            <w:right w:w="108" w:type="dxa"/>
          </w:tblCellMar>
        </w:tblPrEx>
        <w:trPr>
          <w:trHeight w:val="600" w:hRule="atLeast"/>
        </w:trPr>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序号</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项目名称</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指标名称</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指标性质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指标值</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计量单位</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指标权重</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全年完成值</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指标得分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说明</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方正黑体_GBK" w:cs="Times New Roman"/>
                <w:color w:val="000000"/>
                <w:sz w:val="22"/>
              </w:rPr>
            </w:pPr>
            <w:r>
              <w:rPr>
                <w:rFonts w:hint="default" w:ascii="Times New Roman" w:hAnsi="Times New Roman" w:eastAsia="方正黑体_GBK" w:cs="Times New Roman"/>
                <w:color w:val="000000"/>
                <w:kern w:val="0"/>
                <w:sz w:val="22"/>
                <w:lang w:bidi="ar"/>
              </w:rPr>
              <w:t>自评得分</w:t>
            </w:r>
          </w:p>
        </w:tc>
      </w:tr>
      <w:tr>
        <w:tblPrEx>
          <w:tblCellMar>
            <w:top w:w="0" w:type="dxa"/>
            <w:left w:w="108" w:type="dxa"/>
            <w:bottom w:w="0" w:type="dxa"/>
            <w:right w:w="108" w:type="dxa"/>
          </w:tblCellMar>
        </w:tblPrEx>
        <w:trPr>
          <w:trHeight w:val="432" w:hRule="atLeast"/>
        </w:trPr>
        <w:tc>
          <w:tcPr>
            <w:tcW w:w="600" w:type="dxa"/>
            <w:vMerge w:val="restart"/>
            <w:tcBorders>
              <w:top w:val="single" w:color="000000" w:sz="4" w:space="0"/>
              <w:left w:val="single" w:color="000000" w:sz="4" w:space="0"/>
              <w:right w:val="single" w:color="000000" w:sz="4" w:space="0"/>
            </w:tcBorders>
            <w:noWrap/>
            <w:vAlign w:val="center"/>
          </w:tcPr>
          <w:p>
            <w:pPr>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1</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r>
              <w:rPr>
                <w:rFonts w:hint="default" w:ascii="Times New Roman" w:hAnsi="Times New Roman" w:cs="Times New Roman"/>
                <w:color w:val="000000"/>
                <w:sz w:val="22"/>
              </w:rPr>
              <w:t>基层司法业务（政法转移支付）</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4"/>
                <w:lang w:val="en-US" w:eastAsia="zh-CN" w:bidi="ar-SA"/>
              </w:rPr>
            </w:pPr>
            <w:r>
              <w:rPr>
                <w:rFonts w:hint="default" w:ascii="Times New Roman" w:hAnsi="Times New Roman" w:cs="Times New Roman"/>
                <w:color w:val="000000"/>
                <w:sz w:val="22"/>
                <w:lang w:eastAsia="zh-CN"/>
              </w:rPr>
              <w:t>年度预算执行率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4"/>
                <w:lang w:val="en-US" w:eastAsia="zh-CN" w:bidi="ar-SA"/>
              </w:rPr>
            </w:pPr>
            <w:r>
              <w:rPr>
                <w:rFonts w:hint="default" w:ascii="Times New Roman" w:hAnsi="Times New Roman" w:cs="Times New Roman"/>
                <w:color w:val="000000"/>
                <w:sz w:val="22"/>
                <w:lang w:val="en-US" w:eastAsia="zh-CN"/>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4"/>
                <w:lang w:val="en-US" w:eastAsia="zh-CN" w:bidi="ar-SA"/>
              </w:rPr>
            </w:pPr>
            <w:r>
              <w:rPr>
                <w:rFonts w:hint="default" w:ascii="Times New Roman" w:hAnsi="Times New Roman" w:cs="Times New Roman"/>
                <w:color w:val="000000"/>
                <w:sz w:val="22"/>
                <w:lang w:val="en-US" w:eastAsia="zh-CN"/>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4"/>
                <w:lang w:val="en-US" w:eastAsia="zh-CN" w:bidi="ar-SA"/>
              </w:rPr>
            </w:pPr>
            <w:r>
              <w:rPr>
                <w:rFonts w:hint="default" w:ascii="Times New Roman" w:hAnsi="Times New Roman" w:cs="Times New Roman"/>
                <w:color w:val="000000"/>
                <w:sz w:val="22"/>
                <w:lang w:val="en-US" w:eastAsia="zh-CN"/>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4"/>
                <w:lang w:val="en-US" w:eastAsia="zh-CN" w:bidi="ar-SA"/>
              </w:rPr>
            </w:pPr>
            <w:r>
              <w:rPr>
                <w:rFonts w:hint="default" w:ascii="Times New Roman" w:hAnsi="Times New Roman" w:cs="Times New Roman"/>
                <w:color w:val="000000"/>
                <w:sz w:val="22"/>
                <w:lang w:val="en-US" w:eastAsia="zh-CN"/>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100</w:t>
            </w: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rFonts w:hint="default" w:ascii="Times New Roman" w:hAnsi="Times New Roman" w:cs="Times New Roman"/>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保障机构运行数量</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53</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个</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53</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rFonts w:hint="default" w:ascii="Times New Roman" w:hAnsi="Times New Roman" w:cs="Times New Roman"/>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人民调解成功率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99.24</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rFonts w:hint="default" w:ascii="Times New Roman" w:hAnsi="Times New Roman" w:cs="Times New Roman"/>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乡镇街道覆盖率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30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30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rFonts w:hint="default" w:ascii="Times New Roman" w:hAnsi="Times New Roman" w:cs="Times New Roman"/>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司法公信力</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90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分</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97.7</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r>
      <w:tr>
        <w:tblPrEx>
          <w:tblCellMar>
            <w:top w:w="0" w:type="dxa"/>
            <w:left w:w="108" w:type="dxa"/>
            <w:bottom w:w="0" w:type="dxa"/>
            <w:right w:w="108" w:type="dxa"/>
          </w:tblCellMar>
        </w:tblPrEx>
        <w:trPr>
          <w:trHeight w:val="432" w:hRule="atLeast"/>
        </w:trPr>
        <w:tc>
          <w:tcPr>
            <w:tcW w:w="600" w:type="dxa"/>
            <w:vMerge w:val="restart"/>
            <w:tcBorders>
              <w:top w:val="single" w:color="000000" w:sz="4" w:space="0"/>
              <w:left w:val="single" w:color="000000" w:sz="4" w:space="0"/>
              <w:right w:val="single" w:color="000000" w:sz="4" w:space="0"/>
            </w:tcBorders>
            <w:noWrap/>
            <w:vAlign w:val="center"/>
          </w:tcPr>
          <w:p>
            <w:pPr>
              <w:jc w:val="center"/>
              <w:textAlignment w:val="center"/>
              <w:rPr>
                <w:rFonts w:hint="default" w:ascii="Times New Roman" w:hAnsi="Times New Roman" w:cs="Times New Roman"/>
                <w:color w:val="000000"/>
                <w:sz w:val="22"/>
              </w:rPr>
            </w:pPr>
            <w:r>
              <w:rPr>
                <w:rFonts w:hint="default" w:ascii="Times New Roman" w:hAnsi="Times New Roman" w:cs="Times New Roman"/>
                <w:color w:val="000000"/>
                <w:kern w:val="0"/>
                <w:sz w:val="22"/>
                <w:lang w:bidi="ar"/>
              </w:rPr>
              <w:t>2</w:t>
            </w:r>
          </w:p>
        </w:tc>
        <w:tc>
          <w:tcPr>
            <w:tcW w:w="75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4"/>
                <w:lang w:val="en-US" w:eastAsia="zh-CN" w:bidi="ar-SA"/>
              </w:rPr>
            </w:pPr>
            <w:r>
              <w:rPr>
                <w:rFonts w:hint="default" w:ascii="Times New Roman" w:hAnsi="Times New Roman" w:cs="Times New Roman"/>
                <w:color w:val="000000"/>
                <w:sz w:val="22"/>
                <w:lang w:eastAsia="zh-CN"/>
              </w:rPr>
              <w:t>年度预算执行率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4"/>
                <w:lang w:val="en-US" w:eastAsia="zh-CN" w:bidi="ar-SA"/>
              </w:rPr>
            </w:pPr>
            <w:r>
              <w:rPr>
                <w:rFonts w:hint="default" w:ascii="Times New Roman" w:hAnsi="Times New Roman" w:cs="Times New Roman"/>
                <w:color w:val="000000"/>
                <w:sz w:val="22"/>
                <w:lang w:val="en-US" w:eastAsia="zh-CN"/>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4"/>
                <w:lang w:val="en-US" w:eastAsia="zh-CN" w:bidi="ar-SA"/>
              </w:rPr>
            </w:pPr>
            <w:r>
              <w:rPr>
                <w:rFonts w:hint="default" w:ascii="Times New Roman" w:hAnsi="Times New Roman" w:cs="Times New Roman"/>
                <w:color w:val="000000"/>
                <w:sz w:val="22"/>
                <w:lang w:val="en-US" w:eastAsia="zh-CN"/>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4"/>
                <w:lang w:val="en-US" w:eastAsia="zh-CN" w:bidi="ar-SA"/>
              </w:rPr>
            </w:pPr>
            <w:r>
              <w:rPr>
                <w:rFonts w:hint="default" w:ascii="Times New Roman" w:hAnsi="Times New Roman" w:cs="Times New Roman"/>
                <w:color w:val="000000"/>
                <w:sz w:val="22"/>
                <w:lang w:val="en-US" w:eastAsia="zh-CN"/>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szCs w:val="24"/>
                <w:lang w:val="en-US" w:eastAsia="zh-CN" w:bidi="ar-SA"/>
              </w:rPr>
            </w:pPr>
            <w:r>
              <w:rPr>
                <w:rFonts w:hint="default" w:ascii="Times New Roman" w:hAnsi="Times New Roman" w:cs="Times New Roman"/>
                <w:color w:val="000000"/>
                <w:sz w:val="22"/>
                <w:lang w:val="en-US" w:eastAsia="zh-CN"/>
              </w:rPr>
              <w:t>10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780" w:type="dxa"/>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color w:val="000000"/>
                <w:sz w:val="22"/>
                <w:lang w:val="en-US" w:eastAsia="zh-CN"/>
              </w:rPr>
            </w:pPr>
            <w:r>
              <w:rPr>
                <w:rFonts w:hint="default" w:ascii="Times New Roman" w:hAnsi="Times New Roman" w:cs="Times New Roman"/>
                <w:color w:val="000000"/>
                <w:sz w:val="22"/>
                <w:lang w:val="en-US" w:eastAsia="zh-CN"/>
              </w:rPr>
              <w:t>100</w:t>
            </w: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rFonts w:hint="default" w:ascii="Times New Roman" w:hAnsi="Times New Roman" w:cs="Times New Roman"/>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办理法律援助案件数量</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1500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件</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50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1762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rFonts w:hint="default" w:ascii="Times New Roman" w:hAnsi="Times New Roman" w:cs="Times New Roman"/>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司法公信力</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95</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分</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97.7</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r>
      <w:tr>
        <w:tblPrEx>
          <w:tblCellMar>
            <w:top w:w="0" w:type="dxa"/>
            <w:left w:w="108" w:type="dxa"/>
            <w:bottom w:w="0" w:type="dxa"/>
            <w:right w:w="108" w:type="dxa"/>
          </w:tblCellMar>
        </w:tblPrEx>
        <w:trPr>
          <w:trHeight w:val="432" w:hRule="atLeast"/>
        </w:trPr>
        <w:tc>
          <w:tcPr>
            <w:tcW w:w="600" w:type="dxa"/>
            <w:vMerge w:val="continue"/>
            <w:tcBorders>
              <w:left w:val="single" w:color="000000" w:sz="4" w:space="0"/>
              <w:right w:val="single" w:color="000000" w:sz="4" w:space="0"/>
            </w:tcBorders>
            <w:noWrap/>
            <w:vAlign w:val="center"/>
          </w:tcPr>
          <w:p>
            <w:pPr>
              <w:jc w:val="center"/>
              <w:textAlignment w:val="center"/>
              <w:rPr>
                <w:rFonts w:hint="default" w:ascii="Times New Roman" w:hAnsi="Times New Roman" w:cs="Times New Roman"/>
                <w:color w:val="000000"/>
                <w:sz w:val="22"/>
              </w:rPr>
            </w:pPr>
          </w:p>
        </w:tc>
        <w:tc>
          <w:tcPr>
            <w:tcW w:w="7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法律服务专线接通率</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20" w:firstLineChars="100"/>
              <w:jc w:val="center"/>
              <w:textAlignment w:val="center"/>
              <w:rPr>
                <w:rFonts w:hint="default" w:ascii="Times New Roman" w:hAnsi="Times New Roman" w:cs="Times New Roman"/>
                <w:color w:val="000000"/>
                <w:sz w:val="22"/>
              </w:rPr>
            </w:pPr>
            <w:r>
              <w:rPr>
                <w:rFonts w:hint="default" w:ascii="Times New Roman" w:hAnsi="Times New Roman" w:eastAsia="宋体" w:cs="Times New Roman"/>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c>
          <w:tcPr>
            <w:tcW w:w="78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color w:val="000000"/>
                <w:sz w:val="22"/>
              </w:rPr>
            </w:pPr>
          </w:p>
        </w:tc>
      </w:tr>
    </w:tbl>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w:t>
      </w:r>
      <w:r>
        <w:rPr>
          <w:rFonts w:hint="default" w:ascii="Times New Roman" w:hAnsi="Times New Roman" w:eastAsia="楷体" w:cs="Times New Roman"/>
          <w:b/>
          <w:bCs/>
          <w:sz w:val="32"/>
          <w:szCs w:val="32"/>
          <w:shd w:val="clear" w:color="auto" w:fill="FFFFFF"/>
          <w:lang w:eastAsia="zh-CN"/>
        </w:rPr>
        <w:t>部门</w:t>
      </w:r>
      <w:r>
        <w:rPr>
          <w:rFonts w:hint="default" w:ascii="Times New Roman" w:hAnsi="Times New Roman" w:eastAsia="楷体" w:cs="Times New Roman"/>
          <w:b/>
          <w:bCs/>
          <w:sz w:val="32"/>
          <w:szCs w:val="32"/>
          <w:shd w:val="clear" w:color="auto" w:fill="FFFFFF"/>
        </w:rPr>
        <w:t>绩效评价情况</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b w:val="0"/>
          <w:bCs w:val="0"/>
          <w:sz w:val="32"/>
          <w:szCs w:val="32"/>
          <w:highlight w:val="none"/>
          <w:shd w:val="clear" w:color="auto" w:fill="FFFFFF"/>
        </w:rPr>
        <w:t>我</w:t>
      </w:r>
      <w:r>
        <w:rPr>
          <w:rFonts w:hint="default" w:ascii="Times New Roman" w:hAnsi="Times New Roman" w:eastAsia="方正仿宋_GBK" w:cs="Times New Roman"/>
          <w:b w:val="0"/>
          <w:bCs w:val="0"/>
          <w:sz w:val="32"/>
          <w:szCs w:val="32"/>
          <w:highlight w:val="none"/>
          <w:shd w:val="clear" w:color="auto" w:fill="FFFFFF"/>
          <w:lang w:val="en-US" w:eastAsia="zh-CN"/>
        </w:rPr>
        <w:t>单位</w:t>
      </w:r>
      <w:r>
        <w:rPr>
          <w:rFonts w:hint="default" w:ascii="Times New Roman" w:hAnsi="Times New Roman" w:eastAsia="方正仿宋_GBK" w:cs="Times New Roman"/>
          <w:b w:val="0"/>
          <w:bCs w:val="0"/>
          <w:sz w:val="32"/>
          <w:szCs w:val="32"/>
          <w:highlight w:val="none"/>
          <w:shd w:val="clear" w:color="auto" w:fill="FFFFFF"/>
        </w:rPr>
        <w:t>未组织开展绩效评价。</w:t>
      </w:r>
    </w:p>
    <w:p>
      <w:pPr>
        <w:pStyle w:val="11"/>
        <w:numPr>
          <w:ilvl w:val="0"/>
          <w:numId w:val="3"/>
        </w:numPr>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财政绩效评价情况</w:t>
      </w:r>
    </w:p>
    <w:p>
      <w:pPr>
        <w:pStyle w:val="11"/>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方正仿宋_GBK" w:cs="Times New Roman"/>
          <w:b w:val="0"/>
          <w:bCs w:val="0"/>
          <w:sz w:val="32"/>
          <w:szCs w:val="32"/>
          <w:highlight w:val="none"/>
          <w:shd w:val="clear" w:color="auto" w:fill="FFFFFF"/>
          <w:lang w:eastAsia="zh-CN"/>
        </w:rPr>
        <w:t>区</w:t>
      </w:r>
      <w:r>
        <w:rPr>
          <w:rFonts w:hint="default" w:ascii="Times New Roman" w:hAnsi="Times New Roman" w:eastAsia="方正仿宋_GBK" w:cs="Times New Roman"/>
          <w:b w:val="0"/>
          <w:bCs w:val="0"/>
          <w:sz w:val="32"/>
          <w:szCs w:val="32"/>
          <w:highlight w:val="none"/>
          <w:shd w:val="clear" w:color="auto" w:fill="FFFFFF"/>
        </w:rPr>
        <w:t>财政局未委托第三方对我</w:t>
      </w:r>
      <w:r>
        <w:rPr>
          <w:rFonts w:hint="default" w:ascii="Times New Roman" w:hAnsi="Times New Roman" w:eastAsia="方正仿宋_GBK" w:cs="Times New Roman"/>
          <w:b w:val="0"/>
          <w:bCs w:val="0"/>
          <w:sz w:val="32"/>
          <w:szCs w:val="32"/>
          <w:highlight w:val="none"/>
          <w:shd w:val="clear" w:color="auto" w:fill="FFFFFF"/>
          <w:lang w:val="en-US" w:eastAsia="zh-CN"/>
        </w:rPr>
        <w:t>单位</w:t>
      </w:r>
      <w:r>
        <w:rPr>
          <w:rFonts w:hint="default" w:ascii="Times New Roman" w:hAnsi="Times New Roman" w:eastAsia="方正仿宋_GBK" w:cs="Times New Roman"/>
          <w:b w:val="0"/>
          <w:bCs w:val="0"/>
          <w:sz w:val="32"/>
          <w:szCs w:val="32"/>
          <w:highlight w:val="none"/>
          <w:shd w:val="clear" w:color="auto" w:fill="FFFFFF"/>
        </w:rPr>
        <w:t>开展绩效评价</w:t>
      </w:r>
      <w:r>
        <w:rPr>
          <w:rFonts w:hint="default" w:ascii="Times New Roman" w:hAnsi="Times New Roman" w:eastAsia="方正仿宋_GBK" w:cs="Times New Roman"/>
          <w:b w:val="0"/>
          <w:bCs w:val="0"/>
          <w:sz w:val="32"/>
          <w:szCs w:val="32"/>
          <w:highlight w:val="none"/>
          <w:shd w:val="clear" w:color="auto" w:fill="FFFFFF"/>
          <w:lang w:eastAsia="zh-CN"/>
        </w:rPr>
        <w:t>。</w:t>
      </w:r>
    </w:p>
    <w:p>
      <w:pPr>
        <w:pStyle w:val="6"/>
        <w:shd w:val="clear" w:color="auto" w:fill="FFFFFF"/>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六、专业名词解释</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snapToGrid w:val="0"/>
        <w:spacing w:before="0" w:beforeAutospacing="0" w:after="0" w:afterAutospacing="0" w:line="600" w:lineRule="exact"/>
        <w:ind w:firstLine="642"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黑体" w:cs="Times New Roman"/>
          <w:sz w:val="32"/>
          <w:szCs w:val="32"/>
          <w:shd w:val="clear" w:color="auto" w:fill="FFFFFF"/>
        </w:rPr>
        <w:t>七、决算公开联系方式及信息反馈渠道</w:t>
      </w:r>
    </w:p>
    <w:p>
      <w:pPr>
        <w:pStyle w:val="11"/>
        <w:autoSpaceDE w:val="0"/>
        <w:ind w:firstLine="0" w:firstLineChars="0"/>
        <w:rPr>
          <w:rStyle w:val="10"/>
          <w:rFonts w:hint="default" w:ascii="Times New Roman" w:hAnsi="Times New Roman" w:eastAsia="方正仿宋_GBK" w:cs="Times New Roman"/>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val="en-US" w:eastAsia="zh-CN"/>
        </w:rPr>
        <w:t>023-58223050</w:t>
      </w:r>
    </w:p>
    <w:p>
      <w:pPr>
        <w:rPr>
          <w:rFonts w:hint="default" w:ascii="Times New Roman" w:hAnsi="Times New Roman" w:cs="Times New Roman"/>
          <w:sz w:val="21"/>
          <w:szCs w:val="21"/>
        </w:rPr>
      </w:pPr>
    </w:p>
    <w:tbl>
      <w:tblPr>
        <w:tblStyle w:val="7"/>
        <w:tblW w:w="15393" w:type="dxa"/>
        <w:tblInd w:w="0" w:type="dxa"/>
        <w:tblLayout w:type="fixed"/>
        <w:tblCellMar>
          <w:top w:w="0" w:type="dxa"/>
          <w:left w:w="0" w:type="dxa"/>
          <w:bottom w:w="0" w:type="dxa"/>
          <w:right w:w="0" w:type="dxa"/>
        </w:tblCellMar>
      </w:tblPr>
      <w:tblGrid>
        <w:gridCol w:w="5122"/>
        <w:gridCol w:w="2020"/>
        <w:gridCol w:w="4809"/>
        <w:gridCol w:w="3442"/>
      </w:tblGrid>
      <w:tr>
        <w:tblPrEx>
          <w:tblCellMar>
            <w:top w:w="0" w:type="dxa"/>
            <w:left w:w="0" w:type="dxa"/>
            <w:bottom w:w="0" w:type="dxa"/>
            <w:right w:w="0" w:type="dxa"/>
          </w:tblCellMar>
        </w:tblPrEx>
        <w:trPr>
          <w:trHeight w:val="232" w:hRule="atLeast"/>
        </w:trPr>
        <w:tc>
          <w:tcPr>
            <w:tcW w:w="15393"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512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020"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8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714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重庆市万州区司法局（本级）</w:t>
            </w:r>
          </w:p>
        </w:tc>
        <w:tc>
          <w:tcPr>
            <w:tcW w:w="48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344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71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8251"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202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344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5,441.32</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一、一般公共服务支出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二、政府性基金预算财政拨款收入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二、外交支出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三、国有资本经营预算财政拨款收入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三、国防支出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四、上级补助收入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四、公共安全支出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4,289.91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五、事业收入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五、教育支出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六、经营收入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六、科学技术支出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七、附属单位上缴收入</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七、文化旅游体育与传媒支出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八、其他收入</w:t>
            </w:r>
          </w:p>
        </w:tc>
        <w:tc>
          <w:tcPr>
            <w:tcW w:w="2020" w:type="dxa"/>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55.60</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八、社会保障和就业支出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752.46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九、卫生健康支出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190.93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十、节能环保支出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十一、城乡社区支出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十二、农林水支出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十三、交通运输支出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十四、资源勘探工业信息等支出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十五、商业服务业等支出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十六、金融支出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十七、援助其他地区支出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十八、自然资源海洋气象等支出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十九、住房保障支出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240.09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二十、粮油物资储备支出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二十一、国有资本经营预算支出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二十二、灾害防治及应急管理支出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二十三、其他支出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ascii="Times New Roman" w:hAnsi="Times New Roman" w:cs="Times New Roman"/>
                <w:b/>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二十四、债务还本支出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二十五、债务付息支出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ascii="Times New Roman" w:hAnsi="Times New Roman" w:cs="Times New Roman"/>
                <w:color w:val="000000"/>
                <w:sz w:val="20"/>
                <w:szCs w:val="20"/>
              </w:rPr>
            </w:pP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ascii="Times New Roman" w:hAnsi="Times New Roman" w:cs="Times New Roman"/>
                <w:color w:val="000000"/>
                <w:sz w:val="20"/>
                <w:szCs w:val="20"/>
              </w:rPr>
            </w:pP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二十六、抗疫特别国债安排的支出</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5,496.92</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5,496.92</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使用非财政拨款结余和专用结余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结余分配</w:t>
            </w:r>
          </w:p>
        </w:tc>
        <w:tc>
          <w:tcPr>
            <w:tcW w:w="3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年初结转和结余</w:t>
            </w:r>
          </w:p>
        </w:tc>
        <w:tc>
          <w:tcPr>
            <w:tcW w:w="20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年末结转和结余</w:t>
            </w:r>
          </w:p>
        </w:tc>
        <w:tc>
          <w:tcPr>
            <w:tcW w:w="344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5122"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5,496.92</w:t>
            </w:r>
            <w:r>
              <w:rPr>
                <w:rFonts w:hint="default" w:ascii="Times New Roman" w:hAnsi="Times New Roman" w:cs="Times New Roman"/>
                <w:color w:val="000000"/>
                <w:sz w:val="20"/>
                <w:u w:color="auto"/>
              </w:rPr>
              <w:t xml:space="preserve"> </w:t>
            </w:r>
          </w:p>
        </w:tc>
        <w:tc>
          <w:tcPr>
            <w:tcW w:w="4809"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44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5,496.92</w:t>
            </w:r>
            <w:r>
              <w:rPr>
                <w:rFonts w:hint="default" w:ascii="Times New Roman" w:hAnsi="Times New Roman" w:cs="Times New Roman"/>
                <w:color w:val="000000"/>
                <w:sz w:val="20"/>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tblPrEx>
          <w:tblCellMar>
            <w:top w:w="0" w:type="dxa"/>
            <w:left w:w="0" w:type="dxa"/>
            <w:bottom w:w="0" w:type="dxa"/>
            <w:right w:w="0" w:type="dxa"/>
          </w:tblCellMar>
        </w:tblPrEx>
        <w:trPr>
          <w:trHeight w:val="641" w:hRule="atLeast"/>
        </w:trPr>
        <w:tc>
          <w:tcPr>
            <w:tcW w:w="15378"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610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sz w:val="20"/>
                <w:u w:color="auto"/>
              </w:rPr>
              <w:t>重庆市万州区司法局（本级）</w:t>
            </w: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610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33"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3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46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4873"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9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3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46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70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171"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70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171"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873"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5,496.92</w:t>
            </w: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5,441.32</w:t>
            </w: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2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3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4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55.60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4,289.91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4,234.31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55.60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4,289.91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4,234.31</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55.60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2,957.44</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2,957.44</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2040604</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基层司法业务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191.88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191.88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普法宣传</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251.11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251.11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律师管理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85.38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85.38</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2040607</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公共法律服务</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国家统一法律职业资格考试</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56.57</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40.17</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社区矫正</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186.40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186.40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法治建设</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75.83</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75.83</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2040613</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信息化建设</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93.00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93.00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其他司法支出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135.65</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96.45</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39.20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752.46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752.46</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748.73</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748.73</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36.29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36.29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298.39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298.39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161.36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161.36</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252.70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252.70</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43.52</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43.52</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23.54</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23.54</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70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1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240.09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240.09</w:t>
            </w: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78" w:type="dxa"/>
        <w:tblInd w:w="0" w:type="dxa"/>
        <w:tblLayout w:type="fixed"/>
        <w:tblCellMar>
          <w:top w:w="0" w:type="dxa"/>
          <w:left w:w="0" w:type="dxa"/>
          <w:bottom w:w="0" w:type="dxa"/>
          <w:right w:w="0" w:type="dxa"/>
        </w:tblCellMar>
      </w:tblPr>
      <w:tblGrid>
        <w:gridCol w:w="1803"/>
        <w:gridCol w:w="3355"/>
        <w:gridCol w:w="1701"/>
        <w:gridCol w:w="1701"/>
        <w:gridCol w:w="1701"/>
        <w:gridCol w:w="1685"/>
        <w:gridCol w:w="1685"/>
        <w:gridCol w:w="1747"/>
      </w:tblGrid>
      <w:tr>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85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 xml:space="preserve">重庆市万州区司法局（本级）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685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8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47"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8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74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803"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355"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803"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55"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8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51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5,496.92</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4,140.91</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1,356.01</w:t>
            </w: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4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4,289.91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2,957.44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1,332.47</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4,289.91</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2,957.44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1,332.47</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2,957.44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2,957.44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98.56</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2040604</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基层司法业务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191.88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191.88</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普法宣传</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251.11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251.11</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律师管理</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85.38</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85.38</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2040607</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公共法律服务</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158.09</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国家统一法律职业资格考试</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56.57</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56.57</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社区矫正</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186.40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186.40</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法治建设</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75.83</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75.83</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2040613</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信息化建设</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93.00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93.00</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其他司法支出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135.65</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135.65</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752.46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752.46</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748.73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748.73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36.29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36.29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298.39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298.39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161.36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161.36</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252.70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252.70</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3.73</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43.52</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43.52</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23.54</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23.54</w:t>
            </w: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8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240.09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240.09</w:t>
            </w:r>
            <w:r>
              <w:rPr>
                <w:rFonts w:hint="default" w:ascii="Times New Roman" w:hAnsi="Times New Roman" w:cs="Times New Roman"/>
                <w:color w:val="000000"/>
                <w:sz w:val="20"/>
                <w:u w:color="auto"/>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6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重庆市万州区司法局（本级）</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5,441.32</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4,234.31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4,234.31</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752.46</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752.46</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190.93</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190.93</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23.54</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23.54</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240.09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240.09</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5,441.32</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5,441.32</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5,441.32</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5,441.32</w:t>
            </w:r>
            <w:r>
              <w:rPr>
                <w:rFonts w:hint="default" w:ascii="Times New Roman" w:hAnsi="Times New Roman" w:cs="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5,441.32</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5,441.32</w:t>
            </w:r>
            <w:r>
              <w:rPr>
                <w:rFonts w:hint="default" w:ascii="Times New Roman" w:hAnsi="Times New Roman" w:cs="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857"/>
        <w:gridCol w:w="3549"/>
        <w:gridCol w:w="3319"/>
        <w:gridCol w:w="3319"/>
        <w:gridCol w:w="3334"/>
      </w:tblGrid>
      <w:tr>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72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重庆市万州区司法局（本级）</w:t>
            </w: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872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1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5406"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72"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857"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4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1857"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4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1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5406"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5,441.32</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4,140.91</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1,300.41</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4,234.31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2,957.44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1,276.87</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4,234.31</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2,957.44</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1,276.87</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2,957.44</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2,957.44</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98.56</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98.56</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2040604</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基层司法业务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191.88</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191.88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普法宣传</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251.11</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251.11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律师管理</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85.38</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85.38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2040607</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公共法律服务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158.09</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158.09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国家统一法律职业资格考试</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40.17</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社区矫正</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186.40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186.40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法治建设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75.83</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75.83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2040613</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信息化建设</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93.00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93.00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其他司法支出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96.45</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96.45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752.46</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752.46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748.73</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748.73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事业单位离退休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36.29</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36.29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298.39</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298.39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161.36</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161.36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252.70</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252.70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3.73</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2089999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3.73</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3.73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190.93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147.41</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43.52</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43.52</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23.54</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23.54</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23.54</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240.09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85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240.09</w:t>
            </w:r>
            <w:r>
              <w:rPr>
                <w:rFonts w:hint="default" w:ascii="Times New Roman" w:hAnsi="Times New Roman" w:cs="Times New Roman"/>
                <w:color w:val="000000"/>
                <w:sz w:val="20"/>
                <w:u w:color="auto"/>
              </w:rPr>
              <w:t xml:space="preserve"> </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240.09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5557" w:type="dxa"/>
            <w:gridSpan w:val="4"/>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重庆市万州区司法局（本级）</w:t>
            </w: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90" w:hRule="atLeast"/>
        </w:trPr>
        <w:tc>
          <w:tcPr>
            <w:tcW w:w="5557" w:type="dxa"/>
            <w:gridSpan w:val="4"/>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3"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4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2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3,292.24</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464.83</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698.70</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65.55</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751.63</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19.79</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965.87</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1.29</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298.39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8.26</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161.36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58.05</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147.41</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3.56</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3.73</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10.65</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240.09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20.54</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25.06</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383.85</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10.90</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7.52</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36.29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2.09</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50.75</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253.29</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43.52</w:t>
            </w: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53.21</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37.42</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38.66</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127.34</w:t>
            </w: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334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3,676.09</w:t>
            </w:r>
            <w:r>
              <w:rPr>
                <w:rFonts w:hint="default" w:ascii="Times New Roman" w:hAnsi="Times New Roman" w:cs="Times New Roman"/>
                <w:color w:val="000000"/>
                <w:sz w:val="18"/>
                <w:u w:color="auto"/>
              </w:rPr>
              <w:t xml:space="preserve"> </w:t>
            </w:r>
          </w:p>
        </w:tc>
        <w:tc>
          <w:tcPr>
            <w:tcW w:w="8750"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464.83</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854"/>
        <w:gridCol w:w="3088"/>
        <w:gridCol w:w="1707"/>
        <w:gridCol w:w="1707"/>
        <w:gridCol w:w="1707"/>
        <w:gridCol w:w="1707"/>
        <w:gridCol w:w="1772"/>
        <w:gridCol w:w="1836"/>
      </w:tblGrid>
      <w:tr>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49"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重庆市万州区司法局（本级）</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4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85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8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185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8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7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942"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18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78" w:type="dxa"/>
        <w:tblInd w:w="0" w:type="dxa"/>
        <w:tblLayout w:type="fixed"/>
        <w:tblCellMar>
          <w:top w:w="0" w:type="dxa"/>
          <w:left w:w="0" w:type="dxa"/>
          <w:bottom w:w="0" w:type="dxa"/>
          <w:right w:w="0" w:type="dxa"/>
        </w:tblCellMar>
      </w:tblPr>
      <w:tblGrid>
        <w:gridCol w:w="1882"/>
        <w:gridCol w:w="3060"/>
        <w:gridCol w:w="3276"/>
        <w:gridCol w:w="200"/>
        <w:gridCol w:w="3475"/>
        <w:gridCol w:w="77"/>
        <w:gridCol w:w="3408"/>
      </w:tblGrid>
      <w:tr>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21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重庆市万州区司法局（本级）</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821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36" w:type="dxa"/>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188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6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5"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188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6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5"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49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000" w:type="dxa"/>
        <w:tblInd w:w="0" w:type="dxa"/>
        <w:tblLayout w:type="fixed"/>
        <w:tblCellMar>
          <w:top w:w="0" w:type="dxa"/>
          <w:left w:w="170" w:type="dxa"/>
          <w:bottom w:w="0" w:type="dxa"/>
          <w:right w:w="170" w:type="dxa"/>
        </w:tblCellMar>
      </w:tblPr>
      <w:tblGrid>
        <w:gridCol w:w="4041"/>
        <w:gridCol w:w="2166"/>
        <w:gridCol w:w="2115"/>
        <w:gridCol w:w="4524"/>
        <w:gridCol w:w="2154"/>
      </w:tblGrid>
      <w:tr>
        <w:tblPrEx>
          <w:tblCellMar>
            <w:top w:w="0" w:type="dxa"/>
            <w:left w:w="170" w:type="dxa"/>
            <w:bottom w:w="0" w:type="dxa"/>
            <w:right w:w="170" w:type="dxa"/>
          </w:tblCellMar>
        </w:tblPrEx>
        <w:trPr>
          <w:trHeight w:val="343" w:hRule="atLeast"/>
        </w:trPr>
        <w:tc>
          <w:tcPr>
            <w:tcW w:w="15000" w:type="dxa"/>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机构运行信息表</w:t>
            </w:r>
          </w:p>
        </w:tc>
      </w:tr>
      <w:tr>
        <w:tblPrEx>
          <w:tblCellMar>
            <w:top w:w="0" w:type="dxa"/>
            <w:left w:w="170" w:type="dxa"/>
            <w:bottom w:w="0" w:type="dxa"/>
            <w:right w:w="170" w:type="dxa"/>
          </w:tblCellMar>
        </w:tblPrEx>
        <w:trPr>
          <w:trHeight w:val="244" w:hRule="atLeast"/>
        </w:trPr>
        <w:tc>
          <w:tcPr>
            <w:tcW w:w="4041"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6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sz w:val="20"/>
                <w:szCs w:val="20"/>
              </w:rPr>
            </w:pPr>
          </w:p>
        </w:tc>
        <w:tc>
          <w:tcPr>
            <w:tcW w:w="211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524" w:type="dxa"/>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5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公开09表</w:t>
            </w:r>
          </w:p>
        </w:tc>
      </w:tr>
      <w:tr>
        <w:tblPrEx>
          <w:tblCellMar>
            <w:top w:w="0" w:type="dxa"/>
            <w:left w:w="170" w:type="dxa"/>
            <w:bottom w:w="0" w:type="dxa"/>
            <w:right w:w="170" w:type="dxa"/>
          </w:tblCellMar>
        </w:tblPrEx>
        <w:trPr>
          <w:trHeight w:val="244" w:hRule="atLeast"/>
        </w:trPr>
        <w:tc>
          <w:tcPr>
            <w:tcW w:w="6207"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公开单位</w:t>
            </w:r>
            <w:r>
              <w:rPr>
                <w:rFonts w:hint="default" w:ascii="Times New Roman" w:hAnsi="Times New Roman" w:cs="Times New Roman"/>
                <w:color w:val="000000"/>
                <w:sz w:val="20"/>
                <w:szCs w:val="20"/>
              </w:rPr>
              <w:t xml:space="preserve">： </w:t>
            </w:r>
            <w:r>
              <w:rPr>
                <w:rFonts w:hint="default" w:ascii="Times New Roman" w:hAnsi="Times New Roman" w:cs="Times New Roman"/>
                <w:color w:val="000000"/>
                <w:sz w:val="20"/>
                <w:u w:color="auto"/>
              </w:rPr>
              <w:t>重庆市万州区司法局（本级）</w:t>
            </w:r>
          </w:p>
        </w:tc>
        <w:tc>
          <w:tcPr>
            <w:tcW w:w="211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sz w:val="20"/>
                <w:szCs w:val="20"/>
              </w:rPr>
            </w:pPr>
          </w:p>
        </w:tc>
        <w:tc>
          <w:tcPr>
            <w:tcW w:w="452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sz w:val="20"/>
                <w:szCs w:val="20"/>
              </w:rPr>
            </w:pPr>
          </w:p>
        </w:tc>
        <w:tc>
          <w:tcPr>
            <w:tcW w:w="215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2166"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预算数</w:t>
            </w:r>
          </w:p>
        </w:tc>
        <w:tc>
          <w:tcPr>
            <w:tcW w:w="2115"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项  目</w:t>
            </w:r>
          </w:p>
        </w:tc>
        <w:tc>
          <w:tcPr>
            <w:tcW w:w="215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6"/>
                <w:szCs w:val="16"/>
              </w:rPr>
            </w:pPr>
            <w:r>
              <w:rPr>
                <w:rFonts w:hint="default" w:ascii="Times New Roman" w:hAnsi="Times New Roman" w:cs="Times New Roman"/>
                <w:b/>
                <w:color w:val="000000"/>
                <w:sz w:val="16"/>
                <w:szCs w:val="16"/>
              </w:rPr>
              <w:t>决算数</w:t>
            </w:r>
          </w:p>
        </w:tc>
      </w:tr>
      <w:tr>
        <w:tblPrEx>
          <w:tblCellMar>
            <w:top w:w="0" w:type="dxa"/>
            <w:left w:w="170" w:type="dxa"/>
            <w:bottom w:w="0" w:type="dxa"/>
            <w:right w:w="170" w:type="dxa"/>
          </w:tblCellMar>
        </w:tblPrEx>
        <w:trPr>
          <w:trHeight w:val="28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一、“三公”经费支出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四、机关运行经费</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464.83</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（一）支出合计</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40.75</w:t>
            </w: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40.75</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（一）行政单位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464.83</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（二）参照公务员法管理事业单位</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2．公务用车购置及运行维护费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38.66</w:t>
            </w: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38.66</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五、资产信息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（1）公务用车购置费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（一）车辆数合计（辆）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40</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（2）公务用车运行维护费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38.66</w:t>
            </w: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38.66</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1．副部（省）级及以上领导用车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2.09</w:t>
            </w:r>
            <w:r>
              <w:rPr>
                <w:rFonts w:hint="default" w:ascii="Times New Roman" w:hAnsi="Times New Roman" w:cs="Times New Roman"/>
                <w:color w:val="000000"/>
                <w:sz w:val="16"/>
                <w:u w:color="auto"/>
              </w:rPr>
              <w:t xml:space="preserve"> </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2.09</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2．主要领导干部用车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（1）国内接待费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2.09</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3．机要通信用车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4．应急保障用车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（2）国（境）外接待费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5．执法执勤用车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37</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（二）相关统计数</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6．特种专业技术用车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1．因公出国（境）团组数（个）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7．离退休干部用车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2．因公出国（境）人次数（人）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8．其他用车</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3．公务用车购置数（辆）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（二）单价100万元（含）以上设备（不含车辆）</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4．公务用车保有量（辆）</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40</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六、政府采购支出信息</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5．国内公务接待批次（个）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110</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（一）政府采购支出合计</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16.86</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1．政府采购货物支出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16.86</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6．国内公务接待人次（人）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587</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2．政府采购工程支出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其中：外事接待人次（人）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3．政府采购服务支出</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7．国（境）外公务接待批次（个）</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（二）政府采购授予中小企业合同金额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16.86</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92" w:hRule="atLeast"/>
        </w:trPr>
        <w:tc>
          <w:tcPr>
            <w:tcW w:w="4041" w:type="dxa"/>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8．国（境）外公务接待人次（人）</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 xml:space="preserve">        其中：授予小微企业合同金额</w:t>
            </w: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16.86</w:t>
            </w:r>
            <w:r>
              <w:rPr>
                <w:rFonts w:hint="default" w:ascii="Times New Roman" w:hAnsi="Times New Roman" w:cs="Times New Roman"/>
                <w:color w:val="000000"/>
                <w:sz w:val="16"/>
                <w:u w:color="auto"/>
              </w:rPr>
              <w:t xml:space="preserve"> </w:t>
            </w:r>
          </w:p>
        </w:tc>
      </w:tr>
      <w:tr>
        <w:tblPrEx>
          <w:tblCellMar>
            <w:top w:w="0" w:type="dxa"/>
            <w:left w:w="170" w:type="dxa"/>
            <w:bottom w:w="0" w:type="dxa"/>
            <w:right w:w="170" w:type="dxa"/>
          </w:tblCellMar>
        </w:tblPrEx>
        <w:trPr>
          <w:trHeight w:val="286"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二、会议费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10.90</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16"/>
                <w:szCs w:val="16"/>
              </w:rPr>
            </w:pPr>
          </w:p>
        </w:tc>
      </w:tr>
      <w:tr>
        <w:tblPrEx>
          <w:tblCellMar>
            <w:top w:w="0" w:type="dxa"/>
            <w:left w:w="170" w:type="dxa"/>
            <w:bottom w:w="0" w:type="dxa"/>
            <w:right w:w="170" w:type="dxa"/>
          </w:tblCellMar>
        </w:tblPrEx>
        <w:trPr>
          <w:trHeight w:val="389" w:hRule="atLeast"/>
        </w:trPr>
        <w:tc>
          <w:tcPr>
            <w:tcW w:w="4041"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三、培训费</w:t>
            </w:r>
          </w:p>
        </w:tc>
        <w:tc>
          <w:tcPr>
            <w:tcW w:w="216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w:t>
            </w:r>
          </w:p>
        </w:tc>
        <w:tc>
          <w:tcPr>
            <w:tcW w:w="21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textAlignment w:val="bottom"/>
              <w:rPr>
                <w:rFonts w:hint="default" w:ascii="Times New Roman" w:hAnsi="Times New Roman" w:cs="Times New Roman"/>
                <w:color w:val="000000"/>
                <w:sz w:val="16"/>
                <w:szCs w:val="16"/>
              </w:rPr>
            </w:pPr>
            <w:r>
              <w:rPr>
                <w:rFonts w:hint="default" w:ascii="Times New Roman" w:hAnsi="Times New Roman" w:cs="Times New Roman"/>
                <w:color w:val="000000"/>
                <w:sz w:val="16"/>
                <w:szCs w:val="16"/>
              </w:rPr>
              <w:t>12.61</w:t>
            </w:r>
            <w:r>
              <w:rPr>
                <w:rFonts w:hint="default" w:ascii="Times New Roman" w:hAnsi="Times New Roman" w:cs="Times New Roman"/>
                <w:color w:val="000000"/>
                <w:sz w:val="16"/>
                <w:u w:color="auto"/>
              </w:rPr>
              <w:t xml:space="preserve"> </w:t>
            </w:r>
          </w:p>
        </w:tc>
        <w:tc>
          <w:tcPr>
            <w:tcW w:w="4524"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215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67212"/>
    <w:multiLevelType w:val="singleLevel"/>
    <w:tmpl w:val="AB267212"/>
    <w:lvl w:ilvl="0" w:tentative="0">
      <w:start w:val="3"/>
      <w:numFmt w:val="chineseCounting"/>
      <w:suff w:val="nothing"/>
      <w:lvlText w:val="（%1）"/>
      <w:lvlJc w:val="left"/>
      <w:rPr>
        <w:rFonts w:hint="eastAsia"/>
      </w:rPr>
    </w:lvl>
  </w:abstractNum>
  <w:abstractNum w:abstractNumId="1">
    <w:nsid w:val="C5339A02"/>
    <w:multiLevelType w:val="singleLevel"/>
    <w:tmpl w:val="C5339A02"/>
    <w:lvl w:ilvl="0" w:tentative="0">
      <w:start w:val="5"/>
      <w:numFmt w:val="chineseCounting"/>
      <w:suff w:val="nothing"/>
      <w:lvlText w:val="%1、"/>
      <w:lvlJc w:val="left"/>
      <w:rPr>
        <w:rFonts w:hint="eastAsia"/>
      </w:rPr>
    </w:lvl>
  </w:abstractNum>
  <w:abstractNum w:abstractNumId="2">
    <w:nsid w:val="46CAB972"/>
    <w:multiLevelType w:val="singleLevel"/>
    <w:tmpl w:val="46CAB972"/>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1D3BB7"/>
    <w:rsid w:val="002B254B"/>
    <w:rsid w:val="00466C9B"/>
    <w:rsid w:val="0047082C"/>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2CE20A6"/>
    <w:rsid w:val="03B87EA0"/>
    <w:rsid w:val="03E3214F"/>
    <w:rsid w:val="03E3327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DD1ABA"/>
    <w:rsid w:val="0A3317EA"/>
    <w:rsid w:val="0A5C4B69"/>
    <w:rsid w:val="0A86124A"/>
    <w:rsid w:val="0AB54CC0"/>
    <w:rsid w:val="0B9335CE"/>
    <w:rsid w:val="0BF2311A"/>
    <w:rsid w:val="0BFE349C"/>
    <w:rsid w:val="0C7927C4"/>
    <w:rsid w:val="0C9B098C"/>
    <w:rsid w:val="0D673E11"/>
    <w:rsid w:val="0DDA54E4"/>
    <w:rsid w:val="0E3A5F83"/>
    <w:rsid w:val="0F836721"/>
    <w:rsid w:val="0FA25D96"/>
    <w:rsid w:val="107B59E5"/>
    <w:rsid w:val="10EC0126"/>
    <w:rsid w:val="10F70B9A"/>
    <w:rsid w:val="111445C7"/>
    <w:rsid w:val="114278C6"/>
    <w:rsid w:val="1158083A"/>
    <w:rsid w:val="11643A4B"/>
    <w:rsid w:val="11D6298A"/>
    <w:rsid w:val="11ED0F98"/>
    <w:rsid w:val="11F03528"/>
    <w:rsid w:val="12C921C4"/>
    <w:rsid w:val="1382453F"/>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862D73"/>
    <w:rsid w:val="1B6F15B6"/>
    <w:rsid w:val="1BAA2EDC"/>
    <w:rsid w:val="1C3A2FE7"/>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4F7B01"/>
    <w:rsid w:val="21556F04"/>
    <w:rsid w:val="22403BD3"/>
    <w:rsid w:val="24B92327"/>
    <w:rsid w:val="24C14514"/>
    <w:rsid w:val="25211F87"/>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CFEE78D"/>
    <w:rsid w:val="2DFC2728"/>
    <w:rsid w:val="2FC26017"/>
    <w:rsid w:val="2FCA4B37"/>
    <w:rsid w:val="2FD75D6E"/>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7D1A43"/>
    <w:rsid w:val="358C217E"/>
    <w:rsid w:val="35C32ECA"/>
    <w:rsid w:val="36C9128A"/>
    <w:rsid w:val="37841E99"/>
    <w:rsid w:val="37BF1123"/>
    <w:rsid w:val="37ED28BE"/>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C9A2399"/>
    <w:rsid w:val="3D2757A1"/>
    <w:rsid w:val="3D3D4FC4"/>
    <w:rsid w:val="3DDF3AB1"/>
    <w:rsid w:val="3E1D0952"/>
    <w:rsid w:val="3E42660A"/>
    <w:rsid w:val="3E7555B1"/>
    <w:rsid w:val="3E787ED9"/>
    <w:rsid w:val="3F032E93"/>
    <w:rsid w:val="3F0527E5"/>
    <w:rsid w:val="3F694D83"/>
    <w:rsid w:val="3F885DCC"/>
    <w:rsid w:val="3FCD675E"/>
    <w:rsid w:val="4004000C"/>
    <w:rsid w:val="40BD5482"/>
    <w:rsid w:val="410B5932"/>
    <w:rsid w:val="411B6CE5"/>
    <w:rsid w:val="412070D7"/>
    <w:rsid w:val="41314E40"/>
    <w:rsid w:val="41E0734B"/>
    <w:rsid w:val="426C1EA8"/>
    <w:rsid w:val="42736402"/>
    <w:rsid w:val="42E86A87"/>
    <w:rsid w:val="43307B09"/>
    <w:rsid w:val="439A3EB9"/>
    <w:rsid w:val="43BB152F"/>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BF8409A"/>
    <w:rsid w:val="4DAC4ACA"/>
    <w:rsid w:val="4DBE01D2"/>
    <w:rsid w:val="4E5D0C6D"/>
    <w:rsid w:val="4E7E0D88"/>
    <w:rsid w:val="4F0C6BA3"/>
    <w:rsid w:val="4F186D58"/>
    <w:rsid w:val="50F06B6E"/>
    <w:rsid w:val="51D21804"/>
    <w:rsid w:val="52234D33"/>
    <w:rsid w:val="522F6E0C"/>
    <w:rsid w:val="52463BA1"/>
    <w:rsid w:val="52F163D4"/>
    <w:rsid w:val="531A2DB4"/>
    <w:rsid w:val="53974076"/>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136589"/>
    <w:rsid w:val="5842572D"/>
    <w:rsid w:val="5A3B59D6"/>
    <w:rsid w:val="5AD134D8"/>
    <w:rsid w:val="5C263CE4"/>
    <w:rsid w:val="5C5D2777"/>
    <w:rsid w:val="5CF66BF3"/>
    <w:rsid w:val="5D290C69"/>
    <w:rsid w:val="5F2D4A41"/>
    <w:rsid w:val="604C0CBB"/>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39121C"/>
    <w:rsid w:val="6C560CAE"/>
    <w:rsid w:val="6C576495"/>
    <w:rsid w:val="6D903FF5"/>
    <w:rsid w:val="6DA955B8"/>
    <w:rsid w:val="6DE346AB"/>
    <w:rsid w:val="6DE5391A"/>
    <w:rsid w:val="6EFD1324"/>
    <w:rsid w:val="6F03311F"/>
    <w:rsid w:val="6F5A53AC"/>
    <w:rsid w:val="6F8270C2"/>
    <w:rsid w:val="6FAC003D"/>
    <w:rsid w:val="6FE55E12"/>
    <w:rsid w:val="6FFB2E76"/>
    <w:rsid w:val="708F6F7F"/>
    <w:rsid w:val="70D94BD3"/>
    <w:rsid w:val="71C34D91"/>
    <w:rsid w:val="7291522C"/>
    <w:rsid w:val="72CF5B72"/>
    <w:rsid w:val="72DB435C"/>
    <w:rsid w:val="72E2613A"/>
    <w:rsid w:val="72F771F4"/>
    <w:rsid w:val="73934AD2"/>
    <w:rsid w:val="739E4F2E"/>
    <w:rsid w:val="750837F0"/>
    <w:rsid w:val="754758CF"/>
    <w:rsid w:val="764F62AB"/>
    <w:rsid w:val="765800FB"/>
    <w:rsid w:val="765C45EC"/>
    <w:rsid w:val="768A7619"/>
    <w:rsid w:val="772E1EBA"/>
    <w:rsid w:val="780873C5"/>
    <w:rsid w:val="781926BC"/>
    <w:rsid w:val="796D60A4"/>
    <w:rsid w:val="79A031D5"/>
    <w:rsid w:val="7A1525F7"/>
    <w:rsid w:val="7B420052"/>
    <w:rsid w:val="7BD06A28"/>
    <w:rsid w:val="7C123BAF"/>
    <w:rsid w:val="7C3A7C0B"/>
    <w:rsid w:val="7C5248E4"/>
    <w:rsid w:val="7C566698"/>
    <w:rsid w:val="7C5866A3"/>
    <w:rsid w:val="7D7406BB"/>
    <w:rsid w:val="7DE94331"/>
    <w:rsid w:val="7E0F2F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4001</Words>
  <Characters>22811</Characters>
  <Lines>190</Lines>
  <Paragraphs>53</Paragraphs>
  <TotalTime>26</TotalTime>
  <ScaleCrop>false</ScaleCrop>
  <LinksUpToDate>false</LinksUpToDate>
  <CharactersWithSpaces>26759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user</cp:lastModifiedBy>
  <dcterms:modified xsi:type="dcterms:W3CDTF">2024-11-07T10:01:36Z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BB46EABDBB2749749395447164B066B3_12</vt:lpwstr>
  </property>
</Properties>
</file>