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重庆市万州区乡村振兴服务中心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Fonts w:hint="default" w:ascii="黑体" w:hAnsi="黑体" w:eastAsia="黑体" w:cs="黑体"/>
          <w:sz w:val="32"/>
          <w:szCs w:val="32"/>
        </w:rPr>
      </w:pPr>
      <w:r>
        <w:rPr>
          <w:rStyle w:val="10"/>
          <w:rFonts w:hint="eastAsia" w:ascii="方正黑体_GBK" w:hAnsi="方正黑体_GBK" w:eastAsia="方正黑体_GBK" w:cs="方正黑体_GBK"/>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Fonts w:hint="eastAsia" w:ascii="方正楷体_GBK" w:hAnsi="方正楷体_GBK" w:eastAsia="方正楷体_GBK" w:cs="方正楷体_GBK"/>
          <w:sz w:val="32"/>
          <w:szCs w:val="32"/>
        </w:rPr>
      </w:pPr>
      <w:r>
        <w:rPr>
          <w:rStyle w:val="10"/>
          <w:rFonts w:hint="eastAsia" w:ascii="方正楷体_GBK" w:hAnsi="方正楷体_GBK" w:eastAsia="方正楷体_GBK" w:cs="方正楷体_GBK"/>
          <w:sz w:val="32"/>
          <w:szCs w:val="32"/>
          <w:shd w:val="clear" w:color="auto" w:fill="FFFFFF"/>
        </w:rPr>
        <w:t>（一）职能职责</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仿宋_GB2312"/>
          <w:sz w:val="32"/>
        </w:rPr>
      </w:pPr>
      <w:r>
        <w:rPr>
          <w:rFonts w:hint="eastAsia" w:ascii="Times New Roman" w:hAnsi="Times New Roman" w:eastAsia="方正仿宋_GBK" w:cs="仿宋_GB2312"/>
          <w:sz w:val="32"/>
        </w:rPr>
        <w:t>1.贯彻执行乡村振兴有关政策和法律法规。</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仿宋_GB2312"/>
          <w:sz w:val="32"/>
        </w:rPr>
      </w:pPr>
      <w:r>
        <w:rPr>
          <w:rFonts w:hint="eastAsia" w:ascii="Times New Roman" w:hAnsi="Times New Roman" w:eastAsia="方正仿宋_GBK" w:cs="仿宋_GB2312"/>
          <w:sz w:val="32"/>
        </w:rPr>
        <w:t>2.承担防止返贫动态监测和帮扶事务性工作。</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仿宋_GB2312"/>
          <w:sz w:val="32"/>
        </w:rPr>
      </w:pPr>
      <w:r>
        <w:rPr>
          <w:rFonts w:hint="eastAsia" w:ascii="Times New Roman" w:hAnsi="Times New Roman" w:eastAsia="方正仿宋_GBK" w:cs="仿宋_GB2312"/>
          <w:sz w:val="32"/>
        </w:rPr>
        <w:t>3.承担国家及市级防止返贫监测信息系统、大数据监测平台的数据采集、统计、管理、维护等事务性工作。</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仿宋_GB2312"/>
          <w:sz w:val="32"/>
        </w:rPr>
      </w:pPr>
      <w:r>
        <w:rPr>
          <w:rFonts w:hint="eastAsia" w:ascii="Times New Roman" w:hAnsi="Times New Roman" w:eastAsia="方正仿宋_GBK" w:cs="仿宋_GB2312"/>
          <w:sz w:val="32"/>
        </w:rPr>
        <w:t>4.承担乡村振兴信息员管理及培训事务性工作。</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仿宋_GB2312"/>
          <w:sz w:val="32"/>
        </w:rPr>
      </w:pPr>
      <w:r>
        <w:rPr>
          <w:rFonts w:hint="eastAsia" w:ascii="Times New Roman" w:hAnsi="Times New Roman" w:eastAsia="方正仿宋_GBK" w:cs="仿宋_GB2312"/>
          <w:sz w:val="32"/>
        </w:rPr>
        <w:t>5.组织开展巩固脱贫成果和乡村振兴政策业务培训，承担有关脱贫人口、农村劳动力就业创业技能培训及管理事务性工作。</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仿宋_GB2312"/>
          <w:sz w:val="32"/>
        </w:rPr>
      </w:pPr>
      <w:r>
        <w:rPr>
          <w:rFonts w:hint="eastAsia" w:ascii="Times New Roman" w:hAnsi="Times New Roman" w:eastAsia="方正仿宋_GBK" w:cs="仿宋_GB2312"/>
          <w:sz w:val="32"/>
        </w:rPr>
        <w:t>6.协助承担乡村建设行动及乡村治理事务性工作。</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仿宋_GB2312"/>
          <w:sz w:val="32"/>
        </w:rPr>
      </w:pPr>
      <w:r>
        <w:rPr>
          <w:rFonts w:hint="eastAsia" w:ascii="Times New Roman" w:hAnsi="Times New Roman" w:eastAsia="方正仿宋_GBK" w:cs="仿宋_GB2312"/>
          <w:sz w:val="32"/>
        </w:rPr>
        <w:t>7.完成区委、区政府和乡村振兴局交办的其他任务。</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Style w:val="10"/>
          <w:rFonts w:hint="default" w:ascii="方正楷体_GBK" w:hAnsi="方正楷体_GBK" w:eastAsia="方正楷体_GBK" w:cs="方正楷体_GBK"/>
          <w:sz w:val="32"/>
          <w:szCs w:val="32"/>
          <w:shd w:val="clear" w:color="auto" w:fill="FFFFFF"/>
        </w:rPr>
      </w:pPr>
      <w:r>
        <w:rPr>
          <w:rStyle w:val="10"/>
          <w:rFonts w:hint="eastAsia" w:ascii="方正楷体_GBK" w:hAnsi="方正楷体_GBK" w:eastAsia="方正楷体_GBK" w:cs="方正楷体_GBK"/>
          <w:sz w:val="32"/>
          <w:szCs w:val="32"/>
          <w:shd w:val="clear" w:color="auto" w:fill="FFFFFF"/>
        </w:rPr>
        <w:t>（二）机构设置</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仿宋_GB2312"/>
          <w:sz w:val="32"/>
        </w:rPr>
      </w:pPr>
      <w:r>
        <w:rPr>
          <w:rFonts w:hint="eastAsia" w:ascii="Times New Roman" w:hAnsi="Times New Roman" w:eastAsia="方正仿宋_GBK" w:cs="仿宋_GB2312"/>
          <w:sz w:val="32"/>
        </w:rPr>
        <w:t>根据万州委编委发〔2022〕17号文件，整合重庆市万州区扶贫款开发培训中心、重庆市万州区政策研究中心，组建为重庆市万州区乡村振兴服务中心，为区乡村振兴局管理的全额拨款事业单位，类别划分为公益一类，机构规格为正科级。</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仿宋_GB2312"/>
          <w:sz w:val="32"/>
        </w:rPr>
      </w:pPr>
      <w:r>
        <w:rPr>
          <w:rFonts w:hint="eastAsia" w:ascii="Times New Roman" w:hAnsi="Times New Roman" w:eastAsia="方正仿宋_GBK" w:cs="仿宋_GB2312"/>
          <w:sz w:val="32"/>
        </w:rPr>
        <w:t>重庆市万州区乡村振兴服务中心编制数为22人，截至2023年末，本单位实有人数14名。</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仿宋_GB2312"/>
          <w:sz w:val="32"/>
          <w:lang w:val="en-US" w:eastAsia="zh-CN"/>
        </w:rPr>
      </w:pPr>
      <w:r>
        <w:rPr>
          <w:rFonts w:hint="eastAsia" w:ascii="Times New Roman" w:hAnsi="Times New Roman" w:eastAsia="方正仿宋_GBK" w:cs="仿宋_GB2312"/>
          <w:sz w:val="32"/>
          <w:lang w:val="en-US" w:eastAsia="zh-CN"/>
        </w:rPr>
        <w:t>重庆市万州区乡村振兴服务中心为2023年新成立单位，2022年度未编报决算，故无上年数据对比情况。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Style w:val="10"/>
          <w:rFonts w:hint="default" w:ascii="方正黑体_GBK" w:hAnsi="方正黑体_GBK" w:eastAsia="方正黑体_GBK" w:cs="方正黑体_GBK"/>
          <w:sz w:val="32"/>
          <w:szCs w:val="32"/>
          <w:shd w:val="clear" w:color="auto" w:fill="FFFFFF"/>
        </w:rPr>
      </w:pPr>
      <w:r>
        <w:rPr>
          <w:rStyle w:val="10"/>
          <w:rFonts w:hint="eastAsia" w:ascii="方正黑体_GBK" w:hAnsi="方正黑体_GBK" w:eastAsia="方正黑体_GBK" w:cs="方正黑体_GBK"/>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Style w:val="10"/>
          <w:rFonts w:hint="eastAsia" w:ascii="方正楷体_GBK" w:hAnsi="方正楷体_GBK" w:eastAsia="方正楷体_GBK" w:cs="方正楷体_GBK"/>
          <w:sz w:val="32"/>
          <w:szCs w:val="32"/>
          <w:shd w:val="clear" w:color="auto" w:fill="FFFFFF"/>
        </w:rPr>
      </w:pPr>
      <w:r>
        <w:rPr>
          <w:rStyle w:val="10"/>
          <w:rFonts w:hint="eastAsia" w:ascii="方正楷体_GBK" w:hAnsi="方正楷体_GBK" w:eastAsia="方正楷体_GBK" w:cs="方正楷体_GBK"/>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ascii="方正仿宋_GBK" w:hAnsi="方正仿宋_GBK" w:eastAsia="方正仿宋_GBK" w:cs="方正仿宋_GBK"/>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2023年度收入总计364.31万元，支出总计</w:t>
      </w:r>
      <w:r>
        <w:rPr>
          <w:rFonts w:hint="default" w:ascii="Times New Roman" w:hAnsi="Times New Roman" w:eastAsia="方正仿宋_GBK" w:cs="Times New Roman"/>
          <w:sz w:val="32"/>
          <w:szCs w:val="32"/>
        </w:rPr>
        <w:t>364.31</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2023年度收入合计364.31万</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364.31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364.31</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364.31</w:t>
      </w:r>
      <w:r>
        <w:rPr>
          <w:rFonts w:hint="default" w:ascii="Times New Roman" w:hAnsi="Times New Roman" w:eastAsia="方正仿宋_GBK" w:cs="Times New Roman"/>
          <w:sz w:val="32"/>
          <w:szCs w:val="32"/>
          <w:shd w:val="clear" w:color="auto" w:fill="FFFFFF"/>
        </w:rPr>
        <w:t>万元，占100.0%；项目支出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万元，占0.0%；经营支出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Style w:val="10"/>
          <w:rFonts w:hint="eastAsia" w:ascii="方正楷体_GBK" w:hAnsi="方正楷体_GBK" w:eastAsia="方正楷体_GBK" w:cs="方正楷体_GBK"/>
          <w:sz w:val="32"/>
          <w:szCs w:val="32"/>
          <w:shd w:val="clear" w:color="auto" w:fill="FFFFFF"/>
        </w:rPr>
      </w:pPr>
      <w:r>
        <w:rPr>
          <w:rStyle w:val="10"/>
          <w:rFonts w:hint="eastAsia" w:ascii="方正楷体_GBK" w:hAnsi="方正楷体_GBK" w:eastAsia="方正楷体_GBK" w:cs="方正楷体_GBK"/>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2023年度财政拨款收、支总计364.31万元。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Style w:val="10"/>
          <w:rFonts w:hint="eastAsia" w:ascii="方正楷体_GBK" w:hAnsi="方正楷体_GBK" w:eastAsia="方正楷体_GBK" w:cs="方正楷体_GBK"/>
          <w:sz w:val="32"/>
          <w:szCs w:val="32"/>
          <w:shd w:val="clear" w:color="auto" w:fill="FFFFFF"/>
        </w:rPr>
      </w:pPr>
      <w:r>
        <w:rPr>
          <w:rStyle w:val="10"/>
          <w:rFonts w:hint="eastAsia" w:ascii="方正楷体_GBK" w:hAnsi="方正楷体_GBK" w:eastAsia="方正楷体_GBK" w:cs="方正楷体_GBK"/>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364.31</w:t>
      </w:r>
      <w:r>
        <w:rPr>
          <w:rFonts w:hint="default" w:ascii="Times New Roman" w:hAnsi="Times New Roman" w:eastAsia="方正仿宋_GBK" w:cs="Times New Roman"/>
          <w:sz w:val="32"/>
          <w:szCs w:val="32"/>
          <w:shd w:val="clear" w:color="auto" w:fill="FFFFFF"/>
        </w:rPr>
        <w:t>万元。较年初预算数增加33.72万元，增长10.2%。主要原因是</w:t>
      </w:r>
      <w:bookmarkStart w:id="0" w:name="OLE_LINK1"/>
      <w:r>
        <w:rPr>
          <w:rFonts w:hint="default" w:ascii="Times New Roman" w:hAnsi="Times New Roman" w:eastAsia="方正仿宋_GBK" w:cs="Times New Roman"/>
          <w:color w:val="auto"/>
          <w:sz w:val="32"/>
          <w:szCs w:val="32"/>
          <w:shd w:val="clear" w:color="auto" w:fill="FFFFFF"/>
          <w:lang w:eastAsia="zh-CN"/>
        </w:rPr>
        <w:t>预算追加超额绩效等人员经费</w:t>
      </w:r>
      <w:bookmarkEnd w:id="0"/>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364.31</w:t>
      </w:r>
      <w:r>
        <w:rPr>
          <w:rFonts w:hint="default" w:ascii="Times New Roman" w:hAnsi="Times New Roman" w:eastAsia="方正仿宋_GBK" w:cs="Times New Roman"/>
          <w:sz w:val="32"/>
          <w:szCs w:val="32"/>
          <w:shd w:val="clear" w:color="auto" w:fill="FFFFFF"/>
        </w:rPr>
        <w:t>万元。较年初预算数增加33.72万元，增长10.2%。主要原因是</w:t>
      </w:r>
      <w:bookmarkStart w:id="1" w:name="OLE_LINK2"/>
      <w:r>
        <w:rPr>
          <w:rFonts w:hint="default" w:ascii="Times New Roman" w:hAnsi="Times New Roman" w:eastAsia="方正仿宋_GBK" w:cs="Times New Roman"/>
          <w:color w:val="auto"/>
          <w:sz w:val="32"/>
          <w:szCs w:val="32"/>
          <w:shd w:val="clear" w:color="auto" w:fill="FFFFFF"/>
          <w:lang w:eastAsia="zh-CN"/>
        </w:rPr>
        <w:t>超额绩效等人员经费</w:t>
      </w:r>
      <w:bookmarkEnd w:id="1"/>
      <w:r>
        <w:rPr>
          <w:rFonts w:hint="default" w:ascii="Times New Roman" w:hAnsi="Times New Roman" w:eastAsia="方正仿宋_GBK" w:cs="Times New Roman"/>
          <w:color w:val="auto"/>
          <w:sz w:val="32"/>
          <w:szCs w:val="32"/>
          <w:shd w:val="clear" w:color="auto" w:fill="FFFFFF"/>
          <w:lang w:eastAsia="zh-CN"/>
        </w:rPr>
        <w:t>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106.41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29.2</w:t>
      </w:r>
      <w:r>
        <w:rPr>
          <w:rFonts w:hint="default" w:ascii="Times New Roman" w:hAnsi="Times New Roman" w:eastAsia="方正仿宋_GBK" w:cs="Times New Roman"/>
          <w:sz w:val="32"/>
          <w:szCs w:val="32"/>
          <w:shd w:val="clear" w:color="auto" w:fill="FFFFFF"/>
        </w:rPr>
        <w:t>%，较年初预算数增加2.71万元，增长2.6%，主要原因是</w:t>
      </w:r>
      <w:r>
        <w:rPr>
          <w:rFonts w:hint="default" w:ascii="Times New Roman" w:hAnsi="Times New Roman" w:eastAsia="方正仿宋_GBK" w:cs="Times New Roman"/>
          <w:kern w:val="0"/>
          <w:sz w:val="32"/>
          <w:szCs w:val="32"/>
        </w:rPr>
        <w:t>机关事业养老保险及职业年金</w:t>
      </w:r>
      <w:r>
        <w:rPr>
          <w:rFonts w:hint="default" w:ascii="Times New Roman" w:hAnsi="Times New Roman" w:eastAsia="方正仿宋_GBK" w:cs="Times New Roman"/>
          <w:kern w:val="0"/>
          <w:sz w:val="32"/>
          <w:szCs w:val="32"/>
          <w:lang w:eastAsia="zh-CN"/>
        </w:rPr>
        <w:t>增加</w:t>
      </w:r>
      <w:r>
        <w:rPr>
          <w:rFonts w:hint="default" w:ascii="Times New Roman" w:hAnsi="Times New Roman" w:eastAsia="方正仿宋_GBK" w:cs="Times New Roman"/>
          <w:kern w:val="0"/>
          <w:sz w:val="32"/>
          <w:szCs w:val="32"/>
          <w:lang w:val="en-US" w:eastAsia="zh-CN"/>
        </w:rPr>
        <w:t>2.71</w:t>
      </w:r>
      <w:r>
        <w:rPr>
          <w:rFonts w:hint="default" w:ascii="Times New Roman" w:hAnsi="Times New Roman" w:eastAsia="方正仿宋_GBK" w:cs="Times New Roman"/>
          <w:kern w:val="0"/>
          <w:sz w:val="32"/>
          <w:szCs w:val="32"/>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18.81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5.</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shd w:val="clear" w:color="auto" w:fill="FFFFFF"/>
        </w:rPr>
        <w:t>%，较年初预算数无增减。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225.97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62.0</w:t>
      </w:r>
      <w:r>
        <w:rPr>
          <w:rFonts w:hint="default" w:ascii="Times New Roman" w:hAnsi="Times New Roman" w:eastAsia="方正仿宋_GBK" w:cs="Times New Roman"/>
          <w:sz w:val="32"/>
          <w:szCs w:val="32"/>
          <w:shd w:val="clear" w:color="auto" w:fill="FFFFFF"/>
        </w:rPr>
        <w:t>%，较年初预算数增加31.02万元，增长15.9%，主要原因是</w:t>
      </w:r>
      <w:r>
        <w:rPr>
          <w:rFonts w:hint="default" w:ascii="Times New Roman" w:hAnsi="Times New Roman" w:eastAsia="方正仿宋_GBK" w:cs="Times New Roman"/>
          <w:color w:val="auto"/>
          <w:sz w:val="32"/>
          <w:szCs w:val="32"/>
          <w:shd w:val="clear" w:color="auto" w:fill="FFFFFF"/>
          <w:lang w:eastAsia="zh-CN"/>
        </w:rPr>
        <w:t>超额绩效等人员经费增加。</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住房保障支出13.12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3.6</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Style w:val="10"/>
          <w:rFonts w:hint="eastAsia" w:ascii="方正楷体_GBK" w:hAnsi="方正楷体_GBK" w:eastAsia="方正楷体_GBK" w:cs="方正楷体_GBK"/>
          <w:sz w:val="32"/>
          <w:szCs w:val="32"/>
          <w:shd w:val="clear" w:color="auto" w:fill="FFFFFF"/>
        </w:rPr>
      </w:pPr>
      <w:r>
        <w:rPr>
          <w:rStyle w:val="10"/>
          <w:rFonts w:hint="eastAsia" w:ascii="方正楷体_GBK" w:hAnsi="方正楷体_GBK" w:eastAsia="方正楷体_GBK" w:cs="方正楷体_GBK"/>
          <w:sz w:val="32"/>
          <w:szCs w:val="32"/>
          <w:shd w:val="clear" w:color="auto" w:fill="FFFFFF"/>
        </w:rPr>
        <w:t>（四）一般公共预算财政拨款基本支出决算情况说明</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364.31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341.27</w:t>
      </w:r>
      <w:r>
        <w:rPr>
          <w:rFonts w:hint="default" w:ascii="Times New Roman" w:hAnsi="Times New Roman" w:eastAsia="方正仿宋_GBK" w:cs="Times New Roman"/>
          <w:sz w:val="32"/>
          <w:szCs w:val="32"/>
          <w:shd w:val="clear" w:color="auto" w:fill="FFFFFF"/>
        </w:rPr>
        <w:t>万元，人员经费用途主要包括</w:t>
      </w:r>
      <w:r>
        <w:rPr>
          <w:rFonts w:hint="default" w:ascii="Times New Roman" w:hAnsi="Times New Roman" w:eastAsia="方正仿宋_GBK" w:cs="Times New Roman"/>
          <w:sz w:val="32"/>
          <w:szCs w:val="32"/>
          <w:shd w:val="clear" w:color="auto" w:fill="FFFFFF"/>
          <w:lang w:eastAsia="zh-CN"/>
        </w:rPr>
        <w:t>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 、代缴社会保险费、其他个人和家庭的补助支出</w:t>
      </w:r>
      <w:r>
        <w:rPr>
          <w:rFonts w:hint="default" w:ascii="Times New Roman" w:hAnsi="Times New Roman" w:eastAsia="方正仿宋_GBK" w:cs="Times New Roman"/>
          <w:color w:val="auto"/>
          <w:sz w:val="32"/>
          <w:szCs w:val="32"/>
          <w:shd w:val="clear" w:color="auto" w:fill="FFFFFF"/>
        </w:rPr>
        <w:t>。公</w:t>
      </w:r>
      <w:r>
        <w:rPr>
          <w:rFonts w:hint="default" w:ascii="Times New Roman" w:hAnsi="Times New Roman" w:eastAsia="方正仿宋_GBK" w:cs="Times New Roman"/>
          <w:sz w:val="32"/>
          <w:szCs w:val="32"/>
          <w:shd w:val="clear" w:color="auto" w:fill="FFFFFF"/>
        </w:rPr>
        <w:t>用经费</w:t>
      </w:r>
      <w:r>
        <w:rPr>
          <w:rFonts w:hint="default" w:ascii="Times New Roman" w:hAnsi="Times New Roman" w:eastAsia="方正仿宋_GBK" w:cs="Times New Roman"/>
          <w:sz w:val="32"/>
          <w:szCs w:val="32"/>
        </w:rPr>
        <w:t>23.04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bCs/>
          <w:kern w:val="0"/>
          <w:sz w:val="32"/>
          <w:szCs w:val="32"/>
        </w:rPr>
        <w:t>机关运行经费主要用于开支于办公费、印刷费、电费、水费、邮电费、物业管理费、差旅费、维修（护）费、租赁费、会议费、培训费、公务接待费、劳务费、工会经费、福利费、公务车运行维护费、其他交通费、其他商品服务支出等。</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Style w:val="10"/>
          <w:rFonts w:hint="eastAsia" w:ascii="方正楷体_GBK" w:hAnsi="方正楷体_GBK" w:eastAsia="方正楷体_GBK" w:cs="方正楷体_GBK"/>
          <w:sz w:val="32"/>
          <w:szCs w:val="32"/>
          <w:shd w:val="clear" w:color="auto" w:fill="FFFFFF"/>
        </w:rPr>
      </w:pPr>
      <w:r>
        <w:rPr>
          <w:rStyle w:val="10"/>
          <w:rFonts w:hint="eastAsia" w:ascii="方正楷体_GBK" w:hAnsi="方正楷体_GBK" w:eastAsia="方正楷体_GBK" w:cs="方正楷体_GBK"/>
          <w:sz w:val="32"/>
          <w:szCs w:val="32"/>
          <w:shd w:val="clear" w:color="auto" w:fill="FFFFFF"/>
          <w:lang w:eastAsia="zh-CN"/>
        </w:rPr>
        <w:t>（五）</w:t>
      </w:r>
      <w:r>
        <w:rPr>
          <w:rStyle w:val="10"/>
          <w:rFonts w:hint="eastAsia" w:ascii="方正楷体_GBK" w:hAnsi="方正楷体_GBK" w:eastAsia="方正楷体_GBK" w:cs="方正楷体_GBK"/>
          <w:sz w:val="32"/>
          <w:szCs w:val="32"/>
          <w:shd w:val="clear" w:color="auto" w:fill="FFFFFF"/>
        </w:rPr>
        <w:t>政府性基金预算收支决算情况说明</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eastAsia="zh-CN"/>
        </w:rPr>
        <w:t>本单位</w:t>
      </w:r>
      <w:r>
        <w:rPr>
          <w:rFonts w:hint="default" w:ascii="Times New Roman" w:hAnsi="Times New Roman" w:eastAsia="方正仿宋_GBK" w:cs="Times New Roman"/>
          <w:b w:val="0"/>
          <w:bCs w:val="0"/>
          <w:sz w:val="32"/>
          <w:szCs w:val="32"/>
          <w:shd w:val="clear" w:color="auto" w:fill="FFFFFF"/>
          <w:lang w:val="en-US" w:eastAsia="zh-CN"/>
        </w:rPr>
        <w:t>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Style w:val="10"/>
          <w:rFonts w:hint="default" w:ascii="方正楷体_GBK" w:hAnsi="方正楷体_GBK" w:eastAsia="方正楷体_GBK" w:cs="方正楷体_GBK"/>
          <w:sz w:val="32"/>
          <w:szCs w:val="32"/>
          <w:shd w:val="clear" w:color="auto" w:fill="FFFFFF"/>
          <w:lang w:eastAsia="zh-CN"/>
        </w:rPr>
      </w:pPr>
      <w:r>
        <w:rPr>
          <w:rStyle w:val="10"/>
          <w:rFonts w:hint="eastAsia" w:ascii="方正楷体_GBK" w:hAnsi="方正楷体_GBK" w:eastAsia="方正楷体_GBK" w:cs="方正楷体_GBK"/>
          <w:sz w:val="32"/>
          <w:szCs w:val="32"/>
          <w:shd w:val="clear" w:color="auto" w:fill="FFFFFF"/>
          <w:lang w:eastAsia="zh-CN"/>
        </w:rPr>
        <w:t>（六）</w:t>
      </w:r>
      <w:r>
        <w:rPr>
          <w:rStyle w:val="10"/>
          <w:rFonts w:hint="default" w:ascii="方正楷体_GBK" w:hAnsi="方正楷体_GBK" w:eastAsia="方正楷体_GBK" w:cs="方正楷体_GBK"/>
          <w:sz w:val="32"/>
          <w:szCs w:val="32"/>
          <w:shd w:val="clear" w:color="auto" w:fill="FFFFFF"/>
          <w:lang w:eastAsia="zh-CN"/>
        </w:rPr>
        <w:t>国有资本经营预算财政拨款支出决算情况说明</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textAlignment w:val="auto"/>
        <w:rPr>
          <w:rStyle w:val="10"/>
          <w:rFonts w:hint="default" w:ascii="Times New Roman" w:hAnsi="Times New Roman" w:eastAsia="方正仿宋_GBK" w:cs="Times New Roman"/>
          <w:sz w:val="32"/>
          <w:szCs w:val="32"/>
          <w:highlight w:val="none"/>
          <w:shd w:val="clear" w:color="auto" w:fill="FFFF00"/>
          <w:lang w:val="en-US" w:eastAsia="zh-CN"/>
        </w:rPr>
      </w:pPr>
      <w:r>
        <w:rPr>
          <w:rFonts w:hint="default" w:ascii="Times New Roman" w:hAnsi="Times New Roman" w:eastAsia="方正仿宋_GBK" w:cs="Times New Roman"/>
          <w:b w:val="0"/>
          <w:bCs w:val="0"/>
          <w:sz w:val="32"/>
          <w:szCs w:val="32"/>
          <w:shd w:val="clear" w:color="auto" w:fill="FFFFFF"/>
          <w:lang w:eastAsia="zh-CN"/>
        </w:rPr>
        <w:t>本单位</w:t>
      </w:r>
      <w:r>
        <w:rPr>
          <w:rFonts w:hint="default" w:ascii="Times New Roman" w:hAnsi="Times New Roman" w:eastAsia="方正仿宋_GBK" w:cs="Times New Roman"/>
          <w:b w:val="0"/>
          <w:bCs w:val="0"/>
          <w:sz w:val="32"/>
          <w:szCs w:val="32"/>
          <w:shd w:val="clear" w:color="auto" w:fill="FFFFFF"/>
          <w:lang w:val="en-US" w:eastAsia="zh-CN"/>
        </w:rPr>
        <w:t>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Style w:val="10"/>
          <w:rFonts w:hint="default" w:ascii="方正黑体_GBK" w:hAnsi="方正黑体_GBK" w:eastAsia="方正黑体_GBK" w:cs="方正黑体_GBK"/>
          <w:sz w:val="32"/>
          <w:szCs w:val="32"/>
          <w:shd w:val="clear" w:color="auto" w:fill="FFFFFF"/>
        </w:rPr>
      </w:pPr>
      <w:r>
        <w:rPr>
          <w:rStyle w:val="10"/>
          <w:rFonts w:hint="eastAsia" w:ascii="方正黑体_GBK" w:hAnsi="方正黑体_GBK" w:eastAsia="方正黑体_GBK" w:cs="方正黑体_GBK"/>
          <w:sz w:val="32"/>
          <w:szCs w:val="32"/>
          <w:shd w:val="clear" w:color="auto" w:fill="FFFFFF"/>
        </w:rPr>
        <w:t>三、“三公”经费情况说明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Style w:val="10"/>
          <w:rFonts w:hint="eastAsia" w:ascii="方正楷体_GBK" w:hAnsi="方正楷体_GBK" w:eastAsia="方正楷体_GBK" w:cs="方正楷体_GBK"/>
          <w:sz w:val="32"/>
          <w:szCs w:val="32"/>
          <w:shd w:val="clear" w:color="auto" w:fill="FFFFFF"/>
          <w:lang w:eastAsia="zh-CN"/>
        </w:rPr>
      </w:pPr>
      <w:r>
        <w:rPr>
          <w:rStyle w:val="10"/>
          <w:rFonts w:hint="eastAsia" w:ascii="方正楷体_GBK" w:hAnsi="方正楷体_GBK" w:eastAsia="方正楷体_GBK" w:cs="方正楷体_GBK"/>
          <w:sz w:val="32"/>
          <w:szCs w:val="32"/>
          <w:shd w:val="clear" w:color="auto" w:fill="FFFFFF"/>
          <w:lang w:eastAsia="zh-CN"/>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2023年度</w:t>
      </w:r>
      <w:bookmarkStart w:id="2" w:name="OLE_LINK3"/>
      <w:r>
        <w:rPr>
          <w:rFonts w:hint="default" w:ascii="Times New Roman" w:hAnsi="Times New Roman" w:eastAsia="方正仿宋_GBK" w:cs="Times New Roman"/>
          <w:sz w:val="32"/>
          <w:szCs w:val="32"/>
          <w:shd w:val="clear" w:color="auto" w:fill="FFFFFF"/>
        </w:rPr>
        <w:t>“三公”经费支出</w:t>
      </w:r>
      <w:bookmarkEnd w:id="2"/>
      <w:r>
        <w:rPr>
          <w:rFonts w:hint="default" w:ascii="Times New Roman" w:hAnsi="Times New Roman" w:eastAsia="方正仿宋_GBK" w:cs="Times New Roman"/>
          <w:sz w:val="32"/>
          <w:szCs w:val="32"/>
          <w:shd w:val="clear" w:color="auto" w:fill="FFFFFF"/>
        </w:rPr>
        <w:t>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sz w:val="32"/>
          <w:szCs w:val="32"/>
          <w:shd w:val="clear" w:color="auto" w:fill="FFFFFF"/>
          <w:lang w:eastAsia="zh-CN"/>
        </w:rPr>
        <w:t>我单位无</w:t>
      </w:r>
      <w:r>
        <w:rPr>
          <w:rFonts w:hint="default" w:ascii="Times New Roman" w:hAnsi="Times New Roman" w:eastAsia="方正仿宋_GBK" w:cs="Times New Roman"/>
          <w:sz w:val="32"/>
          <w:szCs w:val="32"/>
          <w:shd w:val="clear" w:color="auto" w:fill="FFFFFF"/>
        </w:rPr>
        <w:t>“三公”经费</w:t>
      </w:r>
      <w:r>
        <w:rPr>
          <w:rFonts w:hint="default" w:ascii="Times New Roman" w:hAnsi="Times New Roman" w:eastAsia="方正仿宋_GBK" w:cs="Times New Roman"/>
          <w:sz w:val="32"/>
          <w:szCs w:val="32"/>
          <w:shd w:val="clear" w:color="auto" w:fill="FFFFFF"/>
          <w:lang w:eastAsia="zh-CN"/>
        </w:rPr>
        <w:t>预算</w:t>
      </w:r>
      <w:r>
        <w:rPr>
          <w:rFonts w:hint="default" w:ascii="Times New Roman" w:hAnsi="Times New Roman" w:eastAsia="方正仿宋_GBK" w:cs="Times New Roman"/>
          <w:sz w:val="32"/>
          <w:szCs w:val="32"/>
          <w:shd w:val="clear" w:color="auto" w:fill="FFFFFF"/>
        </w:rPr>
        <w:t>支</w:t>
      </w:r>
      <w:r>
        <w:rPr>
          <w:rFonts w:hint="default" w:ascii="Times New Roman" w:hAnsi="Times New Roman" w:eastAsia="方正仿宋_GBK" w:cs="Times New Roman"/>
          <w:color w:val="auto"/>
          <w:sz w:val="32"/>
          <w:szCs w:val="32"/>
          <w:shd w:val="clear" w:color="auto" w:fill="FFFFFF"/>
        </w:rPr>
        <w:t>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Style w:val="10"/>
          <w:rFonts w:hint="eastAsia" w:ascii="方正楷体_GBK" w:hAnsi="方正楷体_GBK" w:eastAsia="方正楷体_GBK" w:cs="方正楷体_GBK"/>
          <w:sz w:val="32"/>
          <w:szCs w:val="32"/>
          <w:shd w:val="clear" w:color="auto" w:fill="FFFFFF"/>
          <w:lang w:eastAsia="zh-CN"/>
        </w:rPr>
      </w:pPr>
      <w:r>
        <w:rPr>
          <w:rStyle w:val="10"/>
          <w:rFonts w:hint="eastAsia" w:ascii="方正楷体_GBK" w:hAnsi="方正楷体_GBK" w:eastAsia="方正楷体_GBK" w:cs="方正楷体_GBK"/>
          <w:sz w:val="32"/>
          <w:szCs w:val="32"/>
          <w:shd w:val="clear" w:color="auto" w:fill="FFFFFF"/>
          <w:lang w:eastAsia="zh-CN"/>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Style w:val="10"/>
          <w:rFonts w:hint="default" w:ascii="方正楷体_GBK" w:hAnsi="方正楷体_GBK" w:eastAsia="方正楷体_GBK" w:cs="方正楷体_GBK"/>
          <w:sz w:val="32"/>
          <w:szCs w:val="32"/>
          <w:shd w:val="clear" w:color="auto" w:fill="FFFFFF"/>
          <w:lang w:eastAsia="zh-CN"/>
        </w:rPr>
      </w:pPr>
      <w:r>
        <w:rPr>
          <w:rStyle w:val="10"/>
          <w:rFonts w:hint="default" w:ascii="方正楷体_GBK" w:hAnsi="方正楷体_GBK" w:eastAsia="方正楷体_GBK" w:cs="方正楷体_GBK"/>
          <w:sz w:val="32"/>
          <w:szCs w:val="32"/>
          <w:shd w:val="clear" w:color="auto" w:fill="FFFFFF"/>
          <w:lang w:eastAsia="zh-CN"/>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Style w:val="10"/>
          <w:rFonts w:hint="default" w:ascii="方正黑体_GBK" w:hAnsi="方正黑体_GBK" w:eastAsia="方正黑体_GBK" w:cs="方正黑体_GBK"/>
          <w:sz w:val="32"/>
          <w:szCs w:val="32"/>
          <w:shd w:val="clear" w:color="auto" w:fill="FFFFFF"/>
        </w:rPr>
      </w:pPr>
      <w:r>
        <w:rPr>
          <w:rStyle w:val="10"/>
          <w:rFonts w:hint="eastAsia" w:ascii="方正黑体_GBK" w:hAnsi="方正黑体_GBK" w:eastAsia="方正黑体_GBK" w:cs="方正黑体_GBK"/>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3" w:firstLineChars="200"/>
        <w:textAlignment w:val="auto"/>
        <w:rPr>
          <w:rFonts w:ascii="楷体" w:hAnsi="楷体" w:eastAsia="楷体" w:cs="楷体"/>
          <w:b/>
          <w:bCs/>
          <w:sz w:val="32"/>
          <w:szCs w:val="32"/>
          <w:shd w:val="clear" w:color="auto" w:fill="FFFFFF"/>
        </w:rPr>
      </w:pPr>
      <w:r>
        <w:rPr>
          <w:rStyle w:val="10"/>
          <w:rFonts w:hint="eastAsia" w:ascii="方正楷体_GBK" w:hAnsi="方正楷体_GBK" w:eastAsia="方正楷体_GBK" w:cs="方正楷体_GBK"/>
          <w:sz w:val="32"/>
          <w:szCs w:val="32"/>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本年度</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会议费支出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3" w:firstLineChars="200"/>
        <w:textAlignment w:val="auto"/>
        <w:rPr>
          <w:rStyle w:val="10"/>
          <w:rFonts w:hint="eastAsia" w:ascii="方正楷体_GBK" w:hAnsi="方正楷体_GBK" w:eastAsia="方正楷体_GBK" w:cs="方正楷体_GBK"/>
          <w:sz w:val="32"/>
          <w:szCs w:val="32"/>
          <w:shd w:val="clear" w:color="auto" w:fill="FFFFFF"/>
          <w:lang w:val="en-US" w:eastAsia="zh-CN" w:bidi="ar-SA"/>
        </w:rPr>
      </w:pPr>
      <w:r>
        <w:rPr>
          <w:rStyle w:val="10"/>
          <w:rFonts w:hint="eastAsia" w:ascii="方正楷体_GBK" w:hAnsi="方正楷体_GBK" w:eastAsia="方正楷体_GBK" w:cs="方正楷体_GBK"/>
          <w:sz w:val="32"/>
          <w:szCs w:val="32"/>
          <w:shd w:val="clear" w:color="auto" w:fill="FFFFFF"/>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default" w:ascii="方正楷体_GBK" w:hAnsi="方正楷体_GBK" w:eastAsia="方正楷体_GBK" w:cs="方正楷体_GBK"/>
          <w:sz w:val="32"/>
          <w:szCs w:val="32"/>
          <w:shd w:val="clear" w:color="auto" w:fill="FFFFFF"/>
          <w:lang w:val="en-US" w:eastAsia="zh-CN" w:bidi="ar-SA"/>
        </w:rPr>
      </w:pPr>
      <w:r>
        <w:rPr>
          <w:rStyle w:val="10"/>
          <w:rFonts w:hint="default" w:ascii="方正楷体_GBK" w:hAnsi="方正楷体_GBK" w:eastAsia="方正楷体_GBK" w:cs="方正楷体_GBK"/>
          <w:sz w:val="32"/>
          <w:szCs w:val="32"/>
          <w:shd w:val="clear" w:color="auto" w:fill="FFFFFF"/>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 xml:space="preserve"> %。</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Style w:val="10"/>
          <w:rFonts w:hint="default" w:ascii="方正黑体_GBK" w:hAnsi="方正黑体_GBK" w:eastAsia="方正黑体_GBK" w:cs="方正黑体_GBK"/>
          <w:sz w:val="32"/>
          <w:szCs w:val="32"/>
          <w:shd w:val="clear" w:color="auto" w:fill="FFFFFF"/>
        </w:rPr>
      </w:pPr>
      <w:r>
        <w:rPr>
          <w:rStyle w:val="10"/>
          <w:rFonts w:hint="eastAsia" w:ascii="方正黑体_GBK" w:hAnsi="方正黑体_GBK" w:eastAsia="方正黑体_GBK" w:cs="方正黑体_GBK"/>
          <w:sz w:val="32"/>
          <w:szCs w:val="32"/>
          <w:shd w:val="clear" w:color="auto" w:fill="FFFFFF"/>
          <w:lang w:eastAsia="zh-CN"/>
        </w:rPr>
        <w:t>五、</w:t>
      </w:r>
      <w:r>
        <w:rPr>
          <w:rStyle w:val="10"/>
          <w:rFonts w:hint="eastAsia" w:ascii="方正黑体_GBK" w:hAnsi="方正黑体_GBK" w:eastAsia="方正黑体_GBK" w:cs="方正黑体_GBK"/>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eastAsia" w:ascii="方正楷体_GBK" w:hAnsi="方正楷体_GBK" w:eastAsia="方正楷体_GBK" w:cs="方正楷体_GBK"/>
          <w:sz w:val="32"/>
          <w:szCs w:val="32"/>
          <w:shd w:val="clear" w:color="auto" w:fill="FFFFFF"/>
          <w:lang w:val="en-US" w:eastAsia="zh-CN" w:bidi="ar-SA"/>
        </w:rPr>
      </w:pPr>
      <w:r>
        <w:rPr>
          <w:rStyle w:val="10"/>
          <w:rFonts w:hint="eastAsia" w:ascii="方正楷体_GBK" w:hAnsi="方正楷体_GBK" w:eastAsia="方正楷体_GBK" w:cs="方正楷体_GBK"/>
          <w:sz w:val="32"/>
          <w:szCs w:val="32"/>
          <w:shd w:val="clear" w:color="auto" w:fill="FFFFFF"/>
          <w:lang w:val="en-US" w:eastAsia="zh-CN" w:bidi="ar-SA"/>
        </w:rPr>
        <w:t>（一）单位自评情况</w:t>
      </w:r>
    </w:p>
    <w:p>
      <w:pPr>
        <w:pStyle w:val="16"/>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60" w:lineRule="exact"/>
        <w:ind w:left="0" w:leftChars="0" w:firstLine="640" w:firstLineChars="200"/>
        <w:textAlignment w:val="auto"/>
        <w:rPr>
          <w:rFonts w:hint="default" w:ascii="Times New Roman" w:hAnsi="Times New Roman" w:eastAsia="方正仿宋_GBK" w:cs="Times New Roman"/>
          <w:kern w:val="0"/>
          <w:sz w:val="32"/>
          <w:szCs w:val="32"/>
          <w:lang w:val="en-US" w:eastAsia="zh-CN"/>
        </w:rPr>
      </w:pPr>
      <w:bookmarkStart w:id="3" w:name="OLE_LINK4"/>
      <w:r>
        <w:rPr>
          <w:rFonts w:hint="default" w:ascii="Times New Roman" w:hAnsi="Times New Roman" w:eastAsia="方正仿宋_GBK" w:cs="Times New Roman"/>
          <w:kern w:val="0"/>
          <w:sz w:val="32"/>
          <w:szCs w:val="32"/>
          <w:lang w:eastAsia="zh-CN"/>
        </w:rPr>
        <w:t>我单位</w:t>
      </w:r>
      <w:r>
        <w:rPr>
          <w:rFonts w:hint="default" w:ascii="Times New Roman" w:hAnsi="Times New Roman" w:eastAsia="方正仿宋_GBK" w:cs="Times New Roman"/>
          <w:kern w:val="0"/>
          <w:sz w:val="32"/>
          <w:szCs w:val="32"/>
          <w:lang w:val="en-US" w:eastAsia="zh-CN"/>
        </w:rPr>
        <w:t>2023年度无项目支出。</w:t>
      </w:r>
    </w:p>
    <w:bookmarkEnd w:id="3"/>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default" w:ascii="方正楷体_GBK" w:hAnsi="方正楷体_GBK" w:eastAsia="方正楷体_GBK" w:cs="方正楷体_GBK"/>
          <w:sz w:val="32"/>
          <w:szCs w:val="32"/>
          <w:shd w:val="clear" w:color="auto" w:fill="FFFFFF"/>
          <w:lang w:val="en-US" w:eastAsia="zh-CN" w:bidi="ar-SA"/>
        </w:rPr>
      </w:pPr>
      <w:r>
        <w:rPr>
          <w:rStyle w:val="10"/>
          <w:rFonts w:hint="eastAsia" w:ascii="方正楷体_GBK" w:hAnsi="方正楷体_GBK" w:eastAsia="方正楷体_GBK" w:cs="方正楷体_GBK"/>
          <w:sz w:val="32"/>
          <w:szCs w:val="32"/>
          <w:shd w:val="clear" w:color="auto" w:fill="FFFFFF"/>
          <w:lang w:val="en-US" w:eastAsia="zh-CN" w:bidi="ar-SA"/>
        </w:rPr>
        <w:t>（二）</w:t>
      </w:r>
      <w:r>
        <w:rPr>
          <w:rStyle w:val="10"/>
          <w:rFonts w:hint="default" w:ascii="方正楷体_GBK" w:hAnsi="方正楷体_GBK" w:eastAsia="方正楷体_GBK" w:cs="方正楷体_GBK"/>
          <w:sz w:val="32"/>
          <w:szCs w:val="32"/>
          <w:shd w:val="clear" w:color="auto" w:fill="FFFFFF"/>
          <w:lang w:val="en-US" w:eastAsia="zh-CN" w:bidi="ar-SA"/>
        </w:rPr>
        <w:t>绩效自评结果</w:t>
      </w:r>
    </w:p>
    <w:p>
      <w:pPr>
        <w:pStyle w:val="16"/>
        <w:keepNext w:val="0"/>
        <w:keepLines w:val="0"/>
        <w:pageBreakBefore w:val="0"/>
        <w:widowControl/>
        <w:numPr>
          <w:ilvl w:val="0"/>
          <w:numId w:val="0"/>
        </w:numPr>
        <w:tabs>
          <w:tab w:val="center" w:pos="4153"/>
          <w:tab w:val="left" w:pos="7275"/>
        </w:tabs>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eastAsia="zh-CN"/>
        </w:rPr>
        <w:t>我单位</w:t>
      </w:r>
      <w:r>
        <w:rPr>
          <w:rFonts w:hint="default" w:ascii="Times New Roman" w:hAnsi="Times New Roman" w:eastAsia="方正仿宋_GBK" w:cs="Times New Roman"/>
          <w:b w:val="0"/>
          <w:bCs/>
          <w:kern w:val="0"/>
          <w:sz w:val="32"/>
          <w:szCs w:val="32"/>
          <w:lang w:val="en-US" w:eastAsia="zh-CN"/>
        </w:rPr>
        <w:t>2023年度未进行绩效自评。</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default" w:ascii="方正楷体_GBK" w:hAnsi="方正楷体_GBK" w:eastAsia="方正楷体_GBK" w:cs="方正楷体_GBK"/>
          <w:sz w:val="32"/>
          <w:szCs w:val="32"/>
          <w:shd w:val="clear" w:color="auto" w:fill="FFFFFF"/>
          <w:lang w:val="en-US" w:eastAsia="zh-CN" w:bidi="ar-SA"/>
        </w:rPr>
      </w:pPr>
      <w:r>
        <w:rPr>
          <w:rStyle w:val="10"/>
          <w:rFonts w:hint="eastAsia" w:ascii="方正楷体_GBK" w:hAnsi="方正楷体_GBK" w:eastAsia="方正楷体_GBK" w:cs="方正楷体_GBK"/>
          <w:sz w:val="32"/>
          <w:szCs w:val="32"/>
          <w:shd w:val="clear" w:color="auto" w:fill="FFFFFF"/>
          <w:lang w:val="en-US" w:eastAsia="zh-CN" w:bidi="ar-SA"/>
        </w:rPr>
        <w:t>（三）部门绩效评价情况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方正仿宋_GBK" w:hAnsi="方正仿宋_GBK" w:eastAsia="方正仿宋_GBK" w:cs="方正仿宋_GBK"/>
          <w:b w:val="0"/>
          <w:bCs w:val="0"/>
          <w:sz w:val="32"/>
          <w:szCs w:val="32"/>
          <w:highlight w:val="none"/>
          <w:shd w:val="clear" w:color="auto" w:fill="FFFFFF"/>
        </w:rPr>
      </w:pPr>
      <w:r>
        <w:rPr>
          <w:rFonts w:hint="eastAsia" w:ascii="方正仿宋_GBK" w:hAnsi="方正仿宋_GBK" w:eastAsia="方正仿宋_GBK" w:cs="方正仿宋_GBK"/>
          <w:b w:val="0"/>
          <w:bCs w:val="0"/>
          <w:sz w:val="32"/>
          <w:szCs w:val="32"/>
          <w:highlight w:val="none"/>
          <w:shd w:val="clear" w:color="auto" w:fill="FFFFFF"/>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default" w:ascii="方正楷体_GBK" w:hAnsi="方正楷体_GBK" w:eastAsia="方正楷体_GBK" w:cs="方正楷体_GBK"/>
          <w:sz w:val="32"/>
          <w:szCs w:val="32"/>
          <w:shd w:val="clear" w:color="auto" w:fill="FFFFFF"/>
          <w:lang w:val="en-US" w:eastAsia="zh-CN" w:bidi="ar-SA"/>
        </w:rPr>
      </w:pPr>
      <w:r>
        <w:rPr>
          <w:rStyle w:val="10"/>
          <w:rFonts w:hint="eastAsia" w:ascii="方正楷体_GBK" w:hAnsi="方正楷体_GBK" w:eastAsia="方正楷体_GBK" w:cs="方正楷体_GBK"/>
          <w:sz w:val="32"/>
          <w:szCs w:val="32"/>
          <w:shd w:val="clear" w:color="auto" w:fill="FFFFFF"/>
          <w:lang w:val="en-US" w:eastAsia="zh-CN" w:bidi="ar-SA"/>
        </w:rPr>
        <w:t>（四）财政绩效评价情况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highlight w:val="none"/>
          <w:shd w:val="clear" w:color="auto" w:fill="FFFFFF"/>
          <w:lang w:eastAsia="zh-CN"/>
        </w:rPr>
        <w:t>区</w:t>
      </w:r>
      <w:r>
        <w:rPr>
          <w:rFonts w:hint="eastAsia" w:ascii="方正仿宋_GBK" w:hAnsi="方正仿宋_GBK" w:eastAsia="方正仿宋_GBK" w:cs="方正仿宋_GBK"/>
          <w:b w:val="0"/>
          <w:bCs w:val="0"/>
          <w:sz w:val="32"/>
          <w:szCs w:val="32"/>
          <w:highlight w:val="none"/>
          <w:shd w:val="clear" w:color="auto" w:fill="FFFFFF"/>
        </w:rPr>
        <w:t>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Style w:val="10"/>
          <w:rFonts w:hint="default" w:ascii="方正黑体_GBK" w:hAnsi="方正黑体_GBK" w:eastAsia="方正黑体_GBK" w:cs="方正黑体_GBK"/>
          <w:sz w:val="32"/>
          <w:szCs w:val="32"/>
          <w:shd w:val="clear" w:color="auto" w:fill="FFFFFF"/>
        </w:rPr>
      </w:pPr>
      <w:r>
        <w:rPr>
          <w:rStyle w:val="10"/>
          <w:rFonts w:hint="eastAsia" w:ascii="方正黑体_GBK" w:hAnsi="方正黑体_GBK" w:eastAsia="方正黑体_GBK" w:cs="方正黑体_GBK"/>
          <w:sz w:val="32"/>
          <w:szCs w:val="32"/>
          <w:shd w:val="clear" w:color="auto" w:fill="FFFFFF"/>
        </w:rPr>
        <w:t> 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023-58569606</w:t>
      </w:r>
    </w:p>
    <w:p>
      <w:pPr>
        <w:rPr>
          <w:rFonts w:hint="default" w:cs="宋体"/>
          <w:sz w:val="21"/>
          <w:szCs w:val="21"/>
        </w:rPr>
      </w:pPr>
    </w:p>
    <w:tbl>
      <w:tblPr>
        <w:tblStyle w:val="7"/>
        <w:tblW w:w="15393" w:type="dxa"/>
        <w:tblInd w:w="0" w:type="dxa"/>
        <w:shd w:val="clear" w:color="auto" w:fill="auto"/>
        <w:tblLayout w:type="fixed"/>
        <w:tblCellMar>
          <w:top w:w="0" w:type="dxa"/>
          <w:left w:w="0" w:type="dxa"/>
          <w:bottom w:w="0" w:type="dxa"/>
          <w:right w:w="0" w:type="dxa"/>
        </w:tblCellMar>
      </w:tblPr>
      <w:tblGrid>
        <w:gridCol w:w="5122"/>
        <w:gridCol w:w="2020"/>
        <w:gridCol w:w="4809"/>
        <w:gridCol w:w="3442"/>
      </w:tblGrid>
      <w:tr>
        <w:tblPrEx>
          <w:shd w:val="clear" w:color="auto" w:fill="auto"/>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shd w:val="clear" w:color="auto" w:fill="auto"/>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重庆市万州区乡村振兴服务中心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364.31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106.41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18.81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225.97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13.12</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364.31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364.31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364.31</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364.31</w:t>
            </w:r>
            <w:r>
              <w:rPr>
                <w:color w:val="000000"/>
                <w:sz w:val="20"/>
                <w:u w:color="auto"/>
              </w:rPr>
              <w:t xml:space="preserve"> </w:t>
            </w:r>
          </w:p>
        </w:tc>
      </w:tr>
    </w:tbl>
    <w:p>
      <w:pPr>
        <w:spacing w:line="240" w:lineRule="exact"/>
        <w:rPr>
          <w:rFonts w:hint="eastAsia" w:eastAsia="宋体" w:cs="宋体"/>
          <w:sz w:val="20"/>
          <w:szCs w:val="20"/>
          <w:lang w:eastAsia="zh-CN"/>
        </w:rPr>
      </w:pPr>
      <w:r>
        <w:rPr>
          <w:rFonts w:cs="宋体"/>
          <w:sz w:val="20"/>
          <w:szCs w:val="20"/>
        </w:rPr>
        <w:t>备注：1.本表反映单位本年度的总收支和年末结转结余情况。</w:t>
      </w:r>
    </w:p>
    <w:p>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40" w:lineRule="exact"/>
        <w:rPr>
          <w:rFonts w:hint="eastAsia" w:eastAsia="宋体" w:cs="宋体"/>
          <w:sz w:val="20"/>
          <w:szCs w:val="20"/>
          <w:lang w:eastAsia="zh-CN"/>
        </w:rPr>
      </w:pPr>
    </w:p>
    <w:p>
      <w:pPr>
        <w:spacing w:line="240" w:lineRule="exact"/>
        <w:rPr>
          <w:rFonts w:hint="eastAsia" w:eastAsia="宋体" w:cs="宋体"/>
          <w:sz w:val="20"/>
          <w:szCs w:val="20"/>
          <w:lang w:eastAsia="zh-CN"/>
        </w:rPr>
      </w:pPr>
    </w:p>
    <w:tbl>
      <w:tblPr>
        <w:tblStyle w:val="7"/>
        <w:tblW w:w="15378" w:type="dxa"/>
        <w:tblInd w:w="0" w:type="dxa"/>
        <w:shd w:val="clear" w:color="auto" w:fill="auto"/>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重庆市万州区乡村振兴服务中心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25" w:hRule="atLeast"/>
        </w:trPr>
        <w:tc>
          <w:tcPr>
            <w:tcW w:w="487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12" w:hRule="atLeast"/>
        </w:trPr>
        <w:tc>
          <w:tcPr>
            <w:tcW w:w="170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364.31</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364.31</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225.97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225.97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eastAsia" w:eastAsia="宋体" w:cs="宋体"/>
          <w:sz w:val="20"/>
          <w:szCs w:val="20"/>
          <w:lang w:eastAsia="zh-CN"/>
        </w:rPr>
      </w:pPr>
      <w:r>
        <w:rPr>
          <w:rFonts w:cs="宋体"/>
          <w:sz w:val="20"/>
          <w:szCs w:val="20"/>
        </w:rPr>
        <w:t>备注：1.本表反映单位本年度取得的各项收入情况。</w:t>
      </w:r>
    </w:p>
    <w:p>
      <w:pPr>
        <w:ind w:left="598" w:leftChars="249" w:firstLine="0" w:firstLineChars="0"/>
        <w:rPr>
          <w:rFonts w:hint="default" w:cs="宋体"/>
          <w:sz w:val="20"/>
          <w:szCs w:val="20"/>
        </w:rPr>
      </w:pPr>
      <w:r>
        <w:rPr>
          <w:rFonts w:cs="宋体"/>
          <w:sz w:val="20"/>
          <w:szCs w:val="20"/>
        </w:rPr>
        <w:t>2.本套报表金额单位转换时可能存在尾数误差。</w:t>
      </w:r>
      <w:r>
        <w:rPr>
          <w:rFonts w:cs="宋体"/>
          <w:sz w:val="20"/>
          <w:szCs w:val="20"/>
        </w:rPr>
        <w:br w:type="page"/>
      </w:r>
    </w:p>
    <w:tbl>
      <w:tblPr>
        <w:tblStyle w:val="7"/>
        <w:tblW w:w="15378" w:type="dxa"/>
        <w:tblInd w:w="0" w:type="dxa"/>
        <w:shd w:val="clear" w:color="auto" w:fill="auto"/>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shd w:val="clear" w:color="auto" w:fill="auto"/>
          <w:tblCellMar>
            <w:top w:w="0" w:type="dxa"/>
            <w:left w:w="0" w:type="dxa"/>
            <w:bottom w:w="0" w:type="dxa"/>
            <w:right w:w="0" w:type="dxa"/>
          </w:tblCellMar>
        </w:tblPrEx>
        <w:trPr>
          <w:trHeight w:val="48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重庆市万州区乡村振兴服务中心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shd w:val="clear" w:color="auto" w:fill="auto"/>
          <w:tblCellMar>
            <w:top w:w="0" w:type="dxa"/>
            <w:left w:w="0" w:type="dxa"/>
            <w:bottom w:w="0" w:type="dxa"/>
            <w:right w:w="0" w:type="dxa"/>
          </w:tblCellMar>
        </w:tblPrEx>
        <w:trPr>
          <w:trHeight w:val="168" w:hRule="atLeast"/>
        </w:trPr>
        <w:tc>
          <w:tcPr>
            <w:tcW w:w="6859" w:type="dxa"/>
            <w:gridSpan w:val="3"/>
            <w:vMerge w:val="continue"/>
            <w:tcBorders>
              <w:left w:val="nil"/>
              <w:bottom w:val="single" w:color="auto" w:sz="4" w:space="0"/>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single" w:color="auto" w:sz="4" w:space="0"/>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single" w:color="auto" w:sz="4" w:space="0"/>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single" w:color="auto" w:sz="4" w:space="0"/>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single" w:color="auto" w:sz="4" w:space="0"/>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single" w:color="auto" w:sz="4" w:space="0"/>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13" w:hRule="atLeast"/>
        </w:trPr>
        <w:tc>
          <w:tcPr>
            <w:tcW w:w="515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12" w:hRule="atLeast"/>
        </w:trPr>
        <w:tc>
          <w:tcPr>
            <w:tcW w:w="1803"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6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6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74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1803"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3355" w:type="dxa"/>
            <w:vMerge w:val="continue"/>
            <w:tcBorders>
              <w:top w:val="single" w:color="auto" w:sz="4" w:space="0"/>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68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68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747"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1803"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3355" w:type="dxa"/>
            <w:vMerge w:val="continue"/>
            <w:tcBorders>
              <w:top w:val="single" w:color="auto" w:sz="4" w:space="0"/>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68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68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747"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12" w:hRule="atLeast"/>
        </w:trPr>
        <w:tc>
          <w:tcPr>
            <w:tcW w:w="1803"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3355" w:type="dxa"/>
            <w:vMerge w:val="continue"/>
            <w:tcBorders>
              <w:top w:val="single" w:color="auto" w:sz="4" w:space="0"/>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68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68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c>
          <w:tcPr>
            <w:tcW w:w="1747"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63" w:hRule="atLeast"/>
        </w:trPr>
        <w:tc>
          <w:tcPr>
            <w:tcW w:w="5158"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364.31</w:t>
            </w:r>
            <w:r>
              <w:rPr>
                <w:b/>
                <w:color w:val="000000"/>
                <w:sz w:val="20"/>
                <w:u w:color="auto"/>
              </w:rPr>
              <w:t xml:space="preserve"> </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364.31</w:t>
            </w:r>
            <w:r>
              <w:rPr>
                <w:b/>
                <w:color w:val="000000"/>
                <w:sz w:val="20"/>
                <w:u w:color="auto"/>
              </w:rPr>
              <w:t xml:space="preserve"> </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6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6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6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6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6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6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225.97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225.97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225.97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225.97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225.97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225.97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6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6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6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eastAsia" w:eastAsia="宋体" w:cs="宋体"/>
          <w:sz w:val="20"/>
          <w:szCs w:val="20"/>
          <w:lang w:eastAsia="zh-CN"/>
        </w:rPr>
      </w:pPr>
      <w:r>
        <w:rPr>
          <w:rFonts w:cs="宋体"/>
          <w:sz w:val="20"/>
          <w:szCs w:val="20"/>
        </w:rPr>
        <w:t>备注：1.本表反映单位本年度各项支出情况。</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shd w:val="clear" w:color="auto" w:fill="auto"/>
        <w:tblLayout w:type="fixed"/>
        <w:tblCellMar>
          <w:top w:w="0" w:type="dxa"/>
          <w:left w:w="0" w:type="dxa"/>
          <w:bottom w:w="0" w:type="dxa"/>
          <w:right w:w="0" w:type="dxa"/>
        </w:tblCellMar>
      </w:tblPr>
      <w:tblGrid>
        <w:gridCol w:w="2979"/>
        <w:gridCol w:w="1526"/>
        <w:gridCol w:w="3191"/>
        <w:gridCol w:w="1700"/>
        <w:gridCol w:w="1700"/>
        <w:gridCol w:w="1700"/>
        <w:gridCol w:w="1936"/>
      </w:tblGrid>
      <w:tr>
        <w:tblPrEx>
          <w:shd w:val="clear" w:color="auto" w:fill="auto"/>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shd w:val="clear" w:color="auto" w:fill="auto"/>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重庆市万州区乡村振兴服务中心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auto"/>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shd w:val="clear" w:color="auto" w:fill="auto"/>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shd w:val="clear" w:color="auto" w:fill="auto"/>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364.31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364.31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364.31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364.31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364.31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364.31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364.31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eastAsia" w:eastAsia="宋体" w:cs="宋体"/>
          <w:sz w:val="20"/>
          <w:szCs w:val="20"/>
          <w:lang w:eastAsia="zh-CN"/>
        </w:rPr>
      </w:pPr>
      <w:r>
        <w:rPr>
          <w:rFonts w:cs="宋体"/>
          <w:sz w:val="20"/>
          <w:szCs w:val="20"/>
        </w:rPr>
        <w:t>备注：1.本表反映单位本年度一般公共预算财政拨款、政府性基金预算财政拨款及国有资本经营预算财政拨款的总收支和年末结转结余情况。</w:t>
      </w:r>
    </w:p>
    <w:p>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40" w:lineRule="exact"/>
        <w:rPr>
          <w:rFonts w:hint="eastAsia" w:eastAsia="宋体" w:cs="宋体"/>
          <w:sz w:val="20"/>
          <w:szCs w:val="20"/>
          <w:lang w:eastAsia="zh-CN"/>
        </w:rPr>
      </w:pPr>
    </w:p>
    <w:p>
      <w:pPr>
        <w:spacing w:line="240" w:lineRule="exact"/>
        <w:rPr>
          <w:rFonts w:hint="default" w:cs="宋体"/>
          <w:sz w:val="20"/>
          <w:szCs w:val="20"/>
        </w:rPr>
      </w:pPr>
      <w:r>
        <w:rPr>
          <w:rFonts w:cs="宋体"/>
          <w:sz w:val="21"/>
          <w:szCs w:val="21"/>
        </w:rPr>
        <w:br w:type="page"/>
      </w:r>
    </w:p>
    <w:tbl>
      <w:tblPr>
        <w:tblStyle w:val="7"/>
        <w:tblW w:w="15378" w:type="dxa"/>
        <w:tblInd w:w="0" w:type="dxa"/>
        <w:shd w:val="clear" w:color="auto" w:fill="auto"/>
        <w:tblLayout w:type="fixed"/>
        <w:tblCellMar>
          <w:top w:w="0" w:type="dxa"/>
          <w:left w:w="0" w:type="dxa"/>
          <w:bottom w:w="0" w:type="dxa"/>
          <w:right w:w="0" w:type="dxa"/>
        </w:tblCellMar>
      </w:tblPr>
      <w:tblGrid>
        <w:gridCol w:w="1857"/>
        <w:gridCol w:w="3549"/>
        <w:gridCol w:w="3319"/>
        <w:gridCol w:w="3319"/>
        <w:gridCol w:w="3334"/>
      </w:tblGrid>
      <w:tr>
        <w:tblPrEx>
          <w:shd w:val="clear" w:color="auto" w:fill="auto"/>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重庆市万州区乡村振兴服务中心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364.31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364.31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106.41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106.08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79.84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79.84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18.81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18.81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18.81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18.81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225.97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225.97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225.97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225.97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225.97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225.97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eastAsia" w:eastAsia="宋体" w:cs="宋体"/>
          <w:sz w:val="20"/>
          <w:szCs w:val="20"/>
          <w:lang w:eastAsia="zh-CN"/>
        </w:rPr>
      </w:pPr>
      <w:r>
        <w:rPr>
          <w:rFonts w:cs="宋体"/>
          <w:sz w:val="20"/>
          <w:szCs w:val="20"/>
        </w:rPr>
        <w:t>备注：1.本表反映单位本年度一般公共预算财政拨款支出情况。</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eastAsia" w:eastAsia="宋体" w:cs="宋体"/>
          <w:sz w:val="20"/>
          <w:szCs w:val="20"/>
          <w:lang w:eastAsia="zh-CN"/>
        </w:rPr>
      </w:pPr>
    </w:p>
    <w:p>
      <w:pPr>
        <w:rPr>
          <w:rFonts w:hint="eastAsia" w:eastAsia="宋体" w:cs="宋体"/>
          <w:sz w:val="20"/>
          <w:szCs w:val="20"/>
          <w:lang w:eastAsia="zh-CN"/>
        </w:rPr>
      </w:pPr>
    </w:p>
    <w:p>
      <w:pPr>
        <w:ind w:firstLine="630" w:firstLineChars="300"/>
        <w:rPr>
          <w:rFonts w:hint="default" w:cs="宋体"/>
          <w:sz w:val="21"/>
          <w:szCs w:val="21"/>
        </w:rPr>
      </w:pPr>
      <w:r>
        <w:rPr>
          <w:rFonts w:cs="宋体"/>
          <w:sz w:val="21"/>
          <w:szCs w:val="21"/>
        </w:rPr>
        <w:br w:type="page"/>
      </w:r>
    </w:p>
    <w:tbl>
      <w:tblPr>
        <w:tblStyle w:val="7"/>
        <w:tblW w:w="15360" w:type="dxa"/>
        <w:tblInd w:w="0" w:type="dxa"/>
        <w:shd w:val="clear" w:color="auto" w:fill="auto"/>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shd w:val="clear" w:color="auto" w:fill="auto"/>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327" w:beforeLines="100" w:line="200" w:lineRule="exact"/>
              <w:textAlignment w:val="auto"/>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重庆市万州区乡村振兴服务中心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shd w:val="clear" w:color="auto" w:fill="auto"/>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shd w:val="clear" w:color="auto" w:fill="auto"/>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shd w:val="clear" w:color="auto" w:fill="auto"/>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249.70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61.57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131.11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91.57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79.84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341.27</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23.04</w:t>
            </w:r>
            <w:r>
              <w:rPr>
                <w:color w:val="000000"/>
                <w:sz w:val="18"/>
                <w:u w:color="auto"/>
              </w:rPr>
              <w:t xml:space="preserve"> </w:t>
            </w:r>
          </w:p>
        </w:tc>
      </w:tr>
    </w:tbl>
    <w:p>
      <w:pPr>
        <w:spacing w:line="280" w:lineRule="exact"/>
        <w:rPr>
          <w:rFonts w:hint="eastAsia" w:eastAsia="宋体" w:cs="宋体"/>
          <w:sz w:val="20"/>
          <w:szCs w:val="20"/>
          <w:lang w:eastAsia="zh-CN"/>
        </w:rPr>
      </w:pPr>
      <w:r>
        <w:rPr>
          <w:rFonts w:cs="宋体"/>
          <w:sz w:val="20"/>
          <w:szCs w:val="20"/>
        </w:rPr>
        <w:t>备注：1.本表反映单位本年度一般公共预算财政拨款基本支出明细情况。</w:t>
      </w:r>
    </w:p>
    <w:p>
      <w:pPr>
        <w:spacing w:line="28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80" w:lineRule="exact"/>
        <w:rPr>
          <w:rFonts w:hint="eastAsia" w:eastAsia="宋体" w:cs="宋体"/>
          <w:sz w:val="20"/>
          <w:szCs w:val="20"/>
          <w:lang w:eastAsia="zh-CN"/>
        </w:rPr>
      </w:pPr>
    </w:p>
    <w:p>
      <w:pPr>
        <w:spacing w:line="280" w:lineRule="exact"/>
        <w:rPr>
          <w:rFonts w:hint="default" w:cs="宋体"/>
          <w:sz w:val="20"/>
          <w:szCs w:val="20"/>
        </w:rPr>
      </w:pPr>
      <w:r>
        <w:rPr>
          <w:rFonts w:cs="宋体"/>
          <w:sz w:val="21"/>
          <w:szCs w:val="21"/>
        </w:rPr>
        <w:br w:type="page"/>
      </w:r>
    </w:p>
    <w:tbl>
      <w:tblPr>
        <w:tblStyle w:val="7"/>
        <w:tblW w:w="15378" w:type="dxa"/>
        <w:tblInd w:w="0" w:type="dxa"/>
        <w:shd w:val="clear" w:color="auto" w:fill="auto"/>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shd w:val="clear" w:color="auto" w:fill="auto"/>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重庆市万州区乡村振兴服务中心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shd w:val="clear" w:color="auto" w:fill="auto"/>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eastAsia" w:eastAsia="宋体" w:cs="宋体"/>
          <w:sz w:val="20"/>
          <w:szCs w:val="20"/>
          <w:lang w:eastAsia="zh-CN"/>
        </w:rPr>
      </w:pPr>
      <w:r>
        <w:rPr>
          <w:rFonts w:cs="宋体"/>
          <w:sz w:val="20"/>
          <w:szCs w:val="20"/>
        </w:rPr>
        <w:t>备注：本表反映单位本年度政府性基金预算财政拨款收入支出及结转和结余情况。本单位无政府性基金收支，故本表无数据。</w:t>
      </w:r>
    </w:p>
    <w:p>
      <w:pPr>
        <w:rPr>
          <w:rFonts w:hint="eastAsia" w:eastAsia="宋体" w:cs="宋体"/>
          <w:sz w:val="20"/>
          <w:szCs w:val="20"/>
          <w:lang w:eastAsia="zh-CN"/>
        </w:rPr>
      </w:pPr>
    </w:p>
    <w:p>
      <w:pPr>
        <w:rPr>
          <w:rFonts w:hint="eastAsia" w:eastAsia="宋体" w:cs="宋体"/>
          <w:sz w:val="20"/>
          <w:szCs w:val="20"/>
          <w:lang w:eastAsia="zh-CN"/>
        </w:rPr>
      </w:pPr>
    </w:p>
    <w:p>
      <w:pPr>
        <w:rPr>
          <w:rFonts w:hint="default" w:cs="宋体"/>
          <w:sz w:val="21"/>
          <w:szCs w:val="21"/>
        </w:rPr>
      </w:pPr>
      <w:r>
        <w:rPr>
          <w:rFonts w:cs="宋体"/>
          <w:sz w:val="21"/>
          <w:szCs w:val="21"/>
        </w:rPr>
        <w:br w:type="page"/>
      </w:r>
    </w:p>
    <w:tbl>
      <w:tblPr>
        <w:tblStyle w:val="7"/>
        <w:tblW w:w="15378" w:type="dxa"/>
        <w:tblInd w:w="0" w:type="dxa"/>
        <w:shd w:val="clear" w:color="auto" w:fill="auto"/>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shd w:val="clear" w:color="auto" w:fill="auto"/>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重庆市万州区乡村振兴服务中心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shd w:val="clear" w:color="auto" w:fill="auto"/>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eastAsia" w:eastAsia="宋体" w:cs="宋体"/>
          <w:sz w:val="20"/>
          <w:szCs w:val="20"/>
          <w:lang w:eastAsia="zh-CN"/>
        </w:rPr>
      </w:pPr>
      <w:r>
        <w:rPr>
          <w:rFonts w:cs="宋体"/>
          <w:sz w:val="20"/>
          <w:szCs w:val="20"/>
        </w:rPr>
        <w:t>备注：本表反映单位本年度国有资本经营预算财政拨款支出情况。本单位无国有资本经营收支，故本表无数据。</w:t>
      </w:r>
    </w:p>
    <w:p>
      <w:pPr>
        <w:rPr>
          <w:rFonts w:hint="eastAsia" w:eastAsia="宋体" w:cs="宋体"/>
          <w:sz w:val="20"/>
          <w:szCs w:val="20"/>
          <w:lang w:eastAsia="zh-CN"/>
        </w:rPr>
      </w:pPr>
    </w:p>
    <w:p>
      <w:pPr>
        <w:rPr>
          <w:rFonts w:hint="default" w:cs="宋体"/>
          <w:sz w:val="21"/>
          <w:szCs w:val="21"/>
        </w:rPr>
      </w:pPr>
      <w:r>
        <w:rPr>
          <w:rFonts w:hint="default" w:cs="宋体"/>
          <w:sz w:val="21"/>
          <w:szCs w:val="21"/>
        </w:rPr>
        <w:br w:type="page"/>
      </w:r>
    </w:p>
    <w:tbl>
      <w:tblPr>
        <w:tblStyle w:val="7"/>
        <w:tblW w:w="15000" w:type="dxa"/>
        <w:tblInd w:w="0" w:type="dxa"/>
        <w:shd w:val="clear" w:color="auto" w:fill="auto"/>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bookmarkStart w:id="4" w:name="_GoBack"/>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shd w:val="clear" w:color="auto" w:fill="auto"/>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重庆市万州区乡村振兴服务中心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shd w:val="clear" w:color="auto" w:fill="auto"/>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shd w:val="clear" w:color="auto" w:fill="auto"/>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bookmarkEnd w:id="4"/>
    </w:tbl>
    <w:p>
      <w:pPr>
        <w:rPr>
          <w:rFonts w:hint="eastAsia" w:eastAsia="宋体" w:cs="宋体"/>
          <w:sz w:val="20"/>
          <w:szCs w:val="20"/>
          <w:lang w:eastAsia="zh-CN"/>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eastAsia" w:eastAsia="宋体" w:cs="宋体"/>
          <w:sz w:val="20"/>
          <w:szCs w:val="20"/>
          <w:lang w:eastAsia="zh-CN"/>
        </w:rPr>
      </w:pPr>
    </w:p>
    <w:p>
      <w:pPr>
        <w:rPr>
          <w:rFonts w:hint="eastAsia" w:eastAsia="宋体" w:cs="宋体"/>
          <w:sz w:val="20"/>
          <w:szCs w:val="20"/>
          <w:lang w:eastAsia="zh-CN"/>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gxM2QxNWNiYTQzMDYwZjQxNGI4ZWE4OTFmNWQzOTMifQ=="/>
    <w:docVar w:name="KSO_WPS_MARK_KEY" w:val="6dc2c529-6734-473a-81c0-a0a63b9d9113"/>
  </w:docVars>
  <w:rsids>
    <w:rsidRoot w:val="00B03CCD"/>
    <w:rsid w:val="001D3BB7"/>
    <w:rsid w:val="002B254B"/>
    <w:rsid w:val="00466C9B"/>
    <w:rsid w:val="0047082C"/>
    <w:rsid w:val="00550ABE"/>
    <w:rsid w:val="00770383"/>
    <w:rsid w:val="007819D4"/>
    <w:rsid w:val="007B419D"/>
    <w:rsid w:val="007B7C4B"/>
    <w:rsid w:val="007D3D39"/>
    <w:rsid w:val="00994AF7"/>
    <w:rsid w:val="009B67B8"/>
    <w:rsid w:val="009D2B67"/>
    <w:rsid w:val="00A566F9"/>
    <w:rsid w:val="00AF2751"/>
    <w:rsid w:val="00B03CCD"/>
    <w:rsid w:val="00B373E7"/>
    <w:rsid w:val="00BE2B89"/>
    <w:rsid w:val="00C10E9E"/>
    <w:rsid w:val="00C20C3E"/>
    <w:rsid w:val="00F73F90"/>
    <w:rsid w:val="01474EBF"/>
    <w:rsid w:val="01C82D97"/>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1168AC"/>
    <w:rsid w:val="163A6CEE"/>
    <w:rsid w:val="173708E3"/>
    <w:rsid w:val="17C374FC"/>
    <w:rsid w:val="182E4AB6"/>
    <w:rsid w:val="189079DC"/>
    <w:rsid w:val="189B0D0B"/>
    <w:rsid w:val="18B43F7C"/>
    <w:rsid w:val="194A1770"/>
    <w:rsid w:val="19B906A4"/>
    <w:rsid w:val="1A862D7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9A0BAB"/>
    <w:rsid w:val="27B23302"/>
    <w:rsid w:val="27F7CC2F"/>
    <w:rsid w:val="29310A5F"/>
    <w:rsid w:val="29C37A35"/>
    <w:rsid w:val="2A076083"/>
    <w:rsid w:val="2A73162E"/>
    <w:rsid w:val="2B167953"/>
    <w:rsid w:val="2B200583"/>
    <w:rsid w:val="2B8209DE"/>
    <w:rsid w:val="2C636760"/>
    <w:rsid w:val="2C6762A3"/>
    <w:rsid w:val="2FCA4B37"/>
    <w:rsid w:val="2FE029D7"/>
    <w:rsid w:val="2FF06E00"/>
    <w:rsid w:val="30586FEC"/>
    <w:rsid w:val="315F0B22"/>
    <w:rsid w:val="319D36AC"/>
    <w:rsid w:val="31D84415"/>
    <w:rsid w:val="32285F6F"/>
    <w:rsid w:val="32770556"/>
    <w:rsid w:val="329C0913"/>
    <w:rsid w:val="32AA0460"/>
    <w:rsid w:val="3337290D"/>
    <w:rsid w:val="33E31118"/>
    <w:rsid w:val="33EF7674"/>
    <w:rsid w:val="342D7BC6"/>
    <w:rsid w:val="350916AD"/>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98010E"/>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2E0D65"/>
    <w:rsid w:val="754758CF"/>
    <w:rsid w:val="764F62AB"/>
    <w:rsid w:val="765C45EC"/>
    <w:rsid w:val="768A7619"/>
    <w:rsid w:val="772E1EBA"/>
    <w:rsid w:val="77EB4E00"/>
    <w:rsid w:val="77FFA4CE"/>
    <w:rsid w:val="781926BC"/>
    <w:rsid w:val="796D60A4"/>
    <w:rsid w:val="79A031D5"/>
    <w:rsid w:val="7A1525F7"/>
    <w:rsid w:val="7B420052"/>
    <w:rsid w:val="7BD06A28"/>
    <w:rsid w:val="7BD9BA63"/>
    <w:rsid w:val="7C123BAF"/>
    <w:rsid w:val="7C3A7C0B"/>
    <w:rsid w:val="7C5248E4"/>
    <w:rsid w:val="7C566698"/>
    <w:rsid w:val="7C5866A3"/>
    <w:rsid w:val="7D7406BB"/>
    <w:rsid w:val="7DE94331"/>
    <w:rsid w:val="7DFDFD71"/>
    <w:rsid w:val="7F446A19"/>
    <w:rsid w:val="7F7452B9"/>
    <w:rsid w:val="BDFF5305"/>
    <w:rsid w:val="BFF54CFB"/>
    <w:rsid w:val="FBBE8AA9"/>
    <w:rsid w:val="FF3F1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5854</Words>
  <Characters>6907</Characters>
  <Lines>190</Lines>
  <Paragraphs>53</Paragraphs>
  <TotalTime>26</TotalTime>
  <ScaleCrop>false</ScaleCrop>
  <LinksUpToDate>false</LinksUpToDate>
  <CharactersWithSpaces>7433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西柚</cp:lastModifiedBy>
  <dcterms:modified xsi:type="dcterms:W3CDTF">2024-11-08T07:19:17Z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BB46EABDBB2749749395447164B066B3_12</vt:lpwstr>
  </property>
</Properties>
</file>