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方正黑体_GBK"/>
          <w:spacing w:val="-6"/>
          <w:sz w:val="32"/>
          <w:szCs w:val="64"/>
        </w:rPr>
      </w:pPr>
    </w:p>
    <w:p>
      <w:pPr>
        <w:spacing w:line="520" w:lineRule="exact"/>
        <w:rPr>
          <w:rFonts w:hint="eastAsia" w:eastAsia="方正黑体_GBK"/>
          <w:w w:val="36"/>
          <w:sz w:val="32"/>
          <w:szCs w:val="150"/>
        </w:rPr>
      </w:pPr>
    </w:p>
    <w:p>
      <w:pPr>
        <w:spacing w:line="520" w:lineRule="exact"/>
        <w:rPr>
          <w:rFonts w:hint="eastAsia" w:eastAsia="方正黑体_GBK"/>
          <w:w w:val="36"/>
          <w:sz w:val="32"/>
          <w:szCs w:val="150"/>
        </w:rPr>
      </w:pPr>
    </w:p>
    <w:p>
      <w:pPr>
        <w:spacing w:line="640" w:lineRule="exact"/>
        <w:jc w:val="distribute"/>
        <w:rPr>
          <w:rFonts w:hint="eastAsia" w:eastAsia="方正大标宋简体"/>
          <w:w w:val="36"/>
          <w:sz w:val="150"/>
          <w:szCs w:val="150"/>
        </w:rPr>
      </w:pPr>
    </w:p>
    <w:p>
      <w:pPr>
        <w:spacing w:line="520" w:lineRule="exact"/>
        <w:rPr>
          <w:rFonts w:hint="eastAsia"/>
          <w:sz w:val="32"/>
          <w:szCs w:val="32"/>
        </w:rPr>
      </w:pPr>
    </w:p>
    <w:p>
      <w:pPr>
        <w:spacing w:line="520" w:lineRule="exact"/>
        <w:rPr>
          <w:rFonts w:hint="eastAsia"/>
          <w:sz w:val="32"/>
        </w:rPr>
      </w:pPr>
    </w:p>
    <w:p>
      <w:pPr>
        <w:spacing w:line="560" w:lineRule="exact"/>
        <w:rPr>
          <w:rFonts w:hint="eastAsia"/>
          <w:sz w:val="32"/>
        </w:rPr>
      </w:pPr>
    </w:p>
    <w:p>
      <w:pPr>
        <w:spacing w:line="580" w:lineRule="exact"/>
        <w:rPr>
          <w:rFonts w:hint="eastAsia"/>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万州区</w:t>
      </w:r>
      <w:r>
        <w:rPr>
          <w:rFonts w:hint="default" w:ascii="Times New Roman" w:hAnsi="Times New Roman" w:eastAsia="方正小标宋_GBK" w:cs="Times New Roman"/>
          <w:sz w:val="44"/>
          <w:szCs w:val="44"/>
        </w:rPr>
        <w:t>民政局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关于开展全</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rPr>
        <w:t>性社会团体202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小标宋_GBK" w:cs="Times New Roman"/>
          <w:sz w:val="44"/>
          <w:szCs w:val="44"/>
        </w:rPr>
        <w:t>检查工作的通知</w:t>
      </w:r>
    </w:p>
    <w:bookmarkEnd w:id="0"/>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万州民社管〔</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性社会团体业务主管</w:t>
      </w:r>
      <w:r>
        <w:rPr>
          <w:rFonts w:hint="default" w:ascii="Times New Roman" w:hAnsi="Times New Roman" w:eastAsia="方正仿宋_GBK" w:cs="Times New Roman"/>
          <w:sz w:val="32"/>
          <w:szCs w:val="32"/>
          <w:lang w:eastAsia="zh-CN"/>
        </w:rPr>
        <w:t>（指导）</w:t>
      </w:r>
      <w:r>
        <w:rPr>
          <w:rFonts w:hint="default" w:ascii="Times New Roman" w:hAnsi="Times New Roman" w:eastAsia="方正仿宋_GBK" w:cs="Times New Roman"/>
          <w:sz w:val="32"/>
          <w:szCs w:val="32"/>
        </w:rPr>
        <w:t>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根据《社会团体登记管理条例》等有关法规政策规定，重庆市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民政局将开展全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性社会团体2023年度检查（以下简称年检）。请各全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对照有关要求填报年检材料，确保所提交材料信息真实、准确、完整，于2024年4月5日前提交业务主管单位初审，并于5月31日前将业务主管单位出具初审意见的全部年检纸质材料报送我局（直接登记和已脱钩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性社会团体请直接将年检纸质材料报送我局）。请各业务主管</w:t>
      </w:r>
      <w:r>
        <w:rPr>
          <w:rFonts w:hint="default" w:ascii="Times New Roman" w:hAnsi="Times New Roman" w:eastAsia="方正仿宋_GBK" w:cs="Times New Roman"/>
          <w:sz w:val="32"/>
          <w:szCs w:val="32"/>
          <w:lang w:eastAsia="zh-CN"/>
        </w:rPr>
        <w:t>（指导）</w:t>
      </w:r>
      <w:r>
        <w:rPr>
          <w:rFonts w:hint="default" w:ascii="Times New Roman" w:hAnsi="Times New Roman" w:eastAsia="方正仿宋_GBK" w:cs="Times New Roman"/>
          <w:sz w:val="32"/>
          <w:szCs w:val="32"/>
        </w:rPr>
        <w:t>单位及时通知主管</w:t>
      </w:r>
      <w:r>
        <w:rPr>
          <w:rFonts w:hint="default" w:ascii="Times New Roman" w:hAnsi="Times New Roman" w:eastAsia="方正仿宋_GBK" w:cs="Times New Roman"/>
          <w:sz w:val="32"/>
          <w:szCs w:val="32"/>
          <w:lang w:eastAsia="zh-CN"/>
        </w:rPr>
        <w:t>（指导）</w:t>
      </w:r>
      <w:r>
        <w:rPr>
          <w:rFonts w:hint="default" w:ascii="Times New Roman" w:hAnsi="Times New Roman" w:eastAsia="方正仿宋_GBK" w:cs="Times New Roman"/>
          <w:sz w:val="32"/>
          <w:szCs w:val="32"/>
        </w:rPr>
        <w:t>的社会团体，指导、督促其按规定要求和期限填报年检材料，对社会团体填报的材料进行认真审查，并作出初审结论（合格、基本合格、不合格）。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接受年检是社会团体的法定义务，各业务主管</w:t>
      </w:r>
      <w:r>
        <w:rPr>
          <w:rFonts w:hint="default" w:ascii="Times New Roman" w:hAnsi="Times New Roman" w:eastAsia="方正仿宋_GBK" w:cs="Times New Roman"/>
          <w:sz w:val="32"/>
          <w:szCs w:val="32"/>
          <w:lang w:eastAsia="zh-CN"/>
        </w:rPr>
        <w:t>（指导）</w:t>
      </w:r>
      <w:r>
        <w:rPr>
          <w:rFonts w:hint="default" w:ascii="Times New Roman" w:hAnsi="Times New Roman" w:eastAsia="方正仿宋_GBK" w:cs="Times New Roman"/>
          <w:sz w:val="32"/>
          <w:szCs w:val="32"/>
        </w:rPr>
        <w:t>单位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2023年度年检结论。对虚假填报及未按时报送年检材料的社会团体，我局将依法依规予以严肃处理（具体年检事项须知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性社会团体2023年度检查事项须知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2.参加2023年度检查社会团体名单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5"/>
        <w:rPr>
          <w:rFonts w:hint="default"/>
          <w:lang w:val="en-US" w:eastAsia="zh-C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民政局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                           2024年3月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keepNext w:val="0"/>
        <w:keepLines w:val="0"/>
        <w:widowControl/>
        <w:suppressLineNumbers w:val="0"/>
        <w:jc w:val="left"/>
      </w:pPr>
      <w:r>
        <w:rPr>
          <w:rFonts w:hint="default" w:ascii="Times New Roman" w:hAnsi="Times New Roman" w:eastAsia="方正仿宋_GBK" w:cs="Times New Roman"/>
          <w:sz w:val="32"/>
          <w:szCs w:val="32"/>
        </w:rPr>
        <w:t> </w:t>
      </w: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r>
        <w:rPr>
          <w:rFonts w:hint="default" w:ascii="Times New Roman" w:hAnsi="Times New Roman" w:eastAsia="宋体" w:cs="Times New Roman"/>
          <w:i w:val="0"/>
          <w:iCs w:val="0"/>
          <w:caps w:val="0"/>
          <w:color w:val="000000"/>
          <w:spacing w:val="0"/>
          <w:kern w:val="0"/>
          <w:sz w:val="31"/>
          <w:szCs w:val="31"/>
          <w:lang w:val="en-US" w:eastAsia="zh-CN" w:bidi="ar"/>
        </w:rPr>
        <w:t> </w:t>
      </w:r>
    </w:p>
    <w:p>
      <w:pPr>
        <w:rPr>
          <w:rFonts w:hint="eastAsia" w:ascii="方正黑体_GBK" w:hAnsi="方正黑体_GBK" w:eastAsia="方正黑体_GBK" w:cs="方正黑体_GBK"/>
          <w:sz w:val="32"/>
          <w:szCs w:val="32"/>
        </w:rPr>
      </w:pPr>
    </w:p>
    <w:p>
      <w:pPr>
        <w:pStyle w:val="2"/>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p>
    <w:p>
      <w:pPr>
        <w:pStyle w:val="2"/>
        <w:rPr>
          <w:rFonts w:hint="eastAsia"/>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rPr>
        <w:t>性社会团体2023年度检查事项须知</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一、年检范围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凡2023年6月30日前经</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民政局批准登记成立的全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性社会团体，均应参加本次年检。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二、年检主要内容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年检，主要是对社会团体2023年度遵守宪法和法规政策、党建工作、履行法人治理、机构管理、人事和财务管理、业务活动、收费情况、评比表彰、承接政府职能转移和购买服务、参与乡村振兴等年度专项工作完成情况、信息公开、涉外活动、自身存在的风险隐患及防范化解措施等方面事项进行检查，具体内容详见《社会团体年度工作报告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三、年检填报时限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日起，各社会团体即可登录重庆市民政局公众信息网进行网上填报年度工作报告书，4月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日前须完成网上填报，并将符合条件的全部材料报经业务主管单位初审后报送我局（直接登记和已脱钩的全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性社会团体请直接将年检材料报送我局）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月1日关闭网上年检填报通道。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四、年检材料填报要求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社会团体应按以下程序和要求完成年检材料的填写和报送工作。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（一）年度工作报告书。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团体登录“重庆市民政局公众信息网”（网址：https://mzj.cq.gov.cn）→在首页左下部“我要办”中点击“社会组织年检”→进入“‘渝快办’统一身份认证系统”进行登录→登录后自动跳转至“重庆民政综合业务管理平台”。进入“重庆民政综合业务管理平台”后，选择左侧“年检信息”并选定“2023年度检查任务”，点击“填写年检信息”，进行年检报告书填写（提交前可多次填写、修改并保存，提交后不可再进行修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业务主管单位的社会团体完成网上填报并提交数据后，将年度工作报告书双面打印成A4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年度报告书中“2023年承接政府职能、政府购买服务、政府补贴情况”及以后内容，只需要在系统中填写，不需要打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（二）《社会团体法人登记证书》副本原件；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（三）整改报告。</w:t>
      </w:r>
      <w:r>
        <w:rPr>
          <w:rFonts w:hint="default" w:ascii="Times New Roman" w:hAnsi="Times New Roman" w:eastAsia="方正仿宋_GBK" w:cs="Times New Roman"/>
          <w:sz w:val="32"/>
          <w:szCs w:val="32"/>
        </w:rPr>
        <w:t>2022年度年检结论为“基本合格”的社会团体，要按照责令改正通知书的要求报送整改报告。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（四）有下列情形之一的社会团体须提供相关年度财务审计报告原件一份：  </w:t>
      </w: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有财政性资金补助</w:t>
      </w:r>
      <w:r>
        <w:rPr>
          <w:rFonts w:hint="default" w:ascii="Times New Roman" w:hAnsi="Times New Roman" w:eastAsia="方正仿宋_GBK" w:cs="Times New Roman"/>
          <w:sz w:val="32"/>
          <w:szCs w:val="32"/>
          <w:lang w:val="en-US" w:eastAsia="zh-CN"/>
        </w:rPr>
        <w:t>或捐赠资金</w:t>
      </w:r>
      <w:r>
        <w:rPr>
          <w:rFonts w:hint="default" w:ascii="Times New Roman" w:hAnsi="Times New Roman" w:eastAsia="方正仿宋_GBK" w:cs="Times New Roman"/>
          <w:sz w:val="32"/>
          <w:szCs w:val="32"/>
          <w:lang w:eastAsia="zh-CN"/>
        </w:rPr>
        <w:t>的社会团体需提供注册</w:t>
      </w:r>
      <w:r>
        <w:rPr>
          <w:rFonts w:hint="default" w:ascii="Times New Roman" w:hAnsi="Times New Roman" w:eastAsia="方正仿宋_GBK" w:cs="Times New Roman"/>
          <w:sz w:val="32"/>
          <w:szCs w:val="32"/>
        </w:rPr>
        <w:t>会计师事务所</w:t>
      </w:r>
      <w:r>
        <w:rPr>
          <w:rFonts w:hint="default" w:ascii="Times New Roman" w:hAnsi="Times New Roman" w:eastAsia="方正仿宋_GBK" w:cs="Times New Roman"/>
          <w:sz w:val="32"/>
          <w:szCs w:val="32"/>
          <w:lang w:eastAsia="zh-CN"/>
        </w:rPr>
        <w:t>出具的</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年度财务审计报告一份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获得4A以上评估等级且在有效期内的社会团体，不需提供审计报告。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2.2023年6月30日前成立的（首次参加年检），须提供2023年度财务审计报告</w:t>
      </w:r>
      <w:r>
        <w:rPr>
          <w:rFonts w:hint="default" w:ascii="Times New Roman" w:hAnsi="Times New Roman" w:eastAsia="方正仿宋_GBK" w:cs="Times New Roman"/>
          <w:sz w:val="32"/>
          <w:szCs w:val="32"/>
          <w:lang w:eastAsia="zh-CN"/>
        </w:rPr>
        <w:t>和人民银行核准的《开户许可证》复印件</w:t>
      </w:r>
      <w:r>
        <w:rPr>
          <w:rFonts w:hint="default" w:ascii="Times New Roman" w:hAnsi="Times New Roman" w:eastAsia="方正仿宋_GBK" w:cs="Times New Roman"/>
          <w:sz w:val="32"/>
          <w:szCs w:val="32"/>
          <w:lang w:val="en-US" w:eastAsia="zh-CN"/>
        </w:rPr>
        <w:t>1份</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3.2022年度年检结论为“基本合格”的社会团体，须提供2023年度财务审计报告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未参加2022年度年检的社会团体，须提供2022、2023年度财务审计报告，未参加2021、2022年度年检的社会团体须提供2021、2022和2023年度财务审计报告。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）纸质材料报送。</w:t>
      </w:r>
      <w:r>
        <w:rPr>
          <w:rFonts w:hint="default" w:ascii="Times New Roman" w:hAnsi="Times New Roman" w:eastAsia="方正仿宋_GBK" w:cs="Times New Roman"/>
          <w:sz w:val="32"/>
          <w:szCs w:val="32"/>
        </w:rPr>
        <w:t>社会团体将年度工作报告书准备齐全后，连同《社会团体法人登记证书（副本）》原件、上年度年检问题整改报告和其他应当提交的材料，报送至</w:t>
      </w:r>
      <w:r>
        <w:rPr>
          <w:rFonts w:hint="default" w:ascii="Times New Roman" w:hAnsi="Times New Roman" w:eastAsia="方正仿宋_GBK" w:cs="Times New Roman"/>
          <w:sz w:val="32"/>
          <w:szCs w:val="32"/>
          <w:lang w:eastAsia="zh-CN"/>
        </w:rPr>
        <w:t>区民政局社会组织管理科（</w:t>
      </w:r>
      <w:r>
        <w:rPr>
          <w:rFonts w:hint="default" w:ascii="Times New Roman" w:hAnsi="Times New Roman" w:eastAsia="方正仿宋_GBK" w:cs="Times New Roman"/>
          <w:sz w:val="32"/>
          <w:szCs w:val="32"/>
          <w:lang w:val="en-US" w:eastAsia="zh-CN"/>
        </w:rPr>
        <w:t>218室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。报送纸质材料的截止时间为2024年5月31日。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五、年检方式和结论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依据《社会团体登记管理条例》等法规政策规定，对社会团体报送的纸质文本年检材料进行审核，并结合抽查审计、实地检查和其他问题线索核实情况，综合研究确定2023年度年检结论。社会团体年检结论分为“合格”“基本合格”“不合格”。社会团体在提交年检材料前，对存在的违规事项已经自查自纠、主动先行整改的，年检时可以从轻或减轻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（一）社会团体内部管理规范，严格按照章程进行内部治理和开展活动，未发现存在违反社会团体登记管理有关法规政策规定的行为，年检结论确定为合格。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（二）社会团体有下列情形，情节较轻的，年检结论确定为基本合格；情节严重，影响恶劣的，年检结论确定为不合格：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1.未按规定建立党组织或开展党建工作的；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2.未按照规定办理变更登记、备案手续或章程核准，未按要求将党的建设和社会主义核心价值观写入章程的；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3.2023年度未按照章程规定召开会员（代表）大会、理事会、常务理事会，或理事会、常务理事会设置比例不合理的；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4.无特殊情况，未按章程规定按期换届的；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5.负责人未按规定履行报批手续，或负责人少于三人、超龄、超届任职的；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6.2023年度未正常开展业务活动或超出章程规定的宗旨和业务范围开展活动的；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7.未按规定设立或者管理办事机构、分支机构、代表机构、实体机构的；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8.会费标准不符合有关规定的；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9.存在违法违规收费行为的；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11.违反规定开展评比达标表彰活动的；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12.会员数未达到法定最低数量、或无固定办公住所、或无专兼职工作人员、或净资产低于注册资金等不具备法律法规规定社会团体法人基本条件的；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13.年度工作报告书隐瞒真实情况，弄虚作假的；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14.未按时报送符合要求的年检材料的；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15.拒不接受或者不按照规定接受登记管理机关监督检查的；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16.受到相关部门通报批评或处罚的；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17.牵头成立非法社会组织或与非法社会组织开展活动的；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18.未遵守非营利活动准则的；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（四）社会团体年检结论将在“</w:t>
      </w:r>
      <w:r>
        <w:rPr>
          <w:rFonts w:hint="default" w:ascii="Times New Roman" w:hAnsi="Times New Roman" w:eastAsia="方正仿宋_GBK" w:cs="Times New Roman"/>
          <w:sz w:val="32"/>
          <w:szCs w:val="32"/>
          <w:lang w:eastAsia="zh-CN"/>
        </w:rPr>
        <w:t>重庆市万州区人民政府</w:t>
      </w:r>
      <w:r>
        <w:rPr>
          <w:rFonts w:hint="default" w:ascii="Times New Roman" w:hAnsi="Times New Roman" w:eastAsia="方正仿宋_GBK" w:cs="Times New Roman"/>
          <w:sz w:val="32"/>
          <w:szCs w:val="32"/>
        </w:rPr>
        <w:t>”官网进行公告，请各社会团体及时关注。同时，对年检不合格</w:t>
      </w:r>
      <w:r>
        <w:rPr>
          <w:rFonts w:hint="default" w:ascii="Times New Roman" w:hAnsi="Times New Roman" w:eastAsia="方正仿宋_GBK" w:cs="Times New Roman"/>
          <w:sz w:val="32"/>
          <w:szCs w:val="32"/>
          <w:lang w:eastAsia="zh-CN"/>
        </w:rPr>
        <w:t>及不按规定</w:t>
      </w:r>
      <w:r>
        <w:rPr>
          <w:rFonts w:hint="default" w:ascii="Times New Roman" w:hAnsi="Times New Roman" w:eastAsia="方正仿宋_GBK" w:cs="Times New Roman"/>
          <w:sz w:val="32"/>
          <w:szCs w:val="32"/>
        </w:rPr>
        <w:t>参加年检的社会团体依法给予行政处罚。  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（一）我局</w:t>
      </w:r>
      <w:r>
        <w:rPr>
          <w:rFonts w:hint="default" w:ascii="Times New Roman" w:hAnsi="Times New Roman" w:eastAsia="方正仿宋_GBK" w:cs="Times New Roman"/>
          <w:sz w:val="32"/>
          <w:szCs w:val="32"/>
          <w:lang w:eastAsia="zh-CN"/>
        </w:rPr>
        <w:t>今年</w:t>
      </w:r>
      <w:r>
        <w:rPr>
          <w:rFonts w:hint="default" w:ascii="Times New Roman" w:hAnsi="Times New Roman" w:eastAsia="方正仿宋_GBK" w:cs="Times New Roman"/>
          <w:sz w:val="32"/>
          <w:szCs w:val="32"/>
        </w:rPr>
        <w:t>已取消年检网上初审环节，</w:t>
      </w:r>
      <w:r>
        <w:rPr>
          <w:rFonts w:hint="default" w:ascii="Times New Roman" w:hAnsi="Times New Roman" w:eastAsia="方正仿宋_GBK" w:cs="Times New Roman"/>
          <w:sz w:val="32"/>
          <w:szCs w:val="32"/>
          <w:lang w:eastAsia="zh-CN"/>
        </w:rPr>
        <w:t>请各社会团体严格按照登记管理条例和章程规定填报，</w:t>
      </w:r>
      <w:r>
        <w:rPr>
          <w:rFonts w:hint="default" w:ascii="Times New Roman" w:hAnsi="Times New Roman" w:eastAsia="方正仿宋_GBK" w:cs="Times New Roman"/>
          <w:sz w:val="32"/>
          <w:szCs w:val="32"/>
        </w:rPr>
        <w:t>以社会团体提交材料作为年检结论的基准材料。参检社会团体应如实填报年检材料，确保所提交材料的真实、准确、完整。如网上填报内容与纸质报送材料不一致，将作为虚假填报情况处理。请各社会团体务必按规定要求和时限报送年检材料，待我局审核并加盖年检结论印章后，办结本次年检。凡未按规定报送年检材料的社会团体，将被视为“拒不接受或不按照规定接受监督检查”，并列入社会组织异常名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（二）行业协会商会应按规定将年度工作报告向全体会员公开，接受会员的监督。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（三）社会团体在参加年检过程中遇到有关问题，可通过以下方式咨询：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1.年检工作报告书填报咨询：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电话：023-</w:t>
      </w:r>
      <w:r>
        <w:rPr>
          <w:rFonts w:hint="default" w:ascii="Times New Roman" w:hAnsi="Times New Roman" w:eastAsia="方正仿宋_GBK" w:cs="Times New Roman"/>
          <w:sz w:val="32"/>
          <w:szCs w:val="32"/>
          <w:lang w:val="en-US" w:eastAsia="zh-CN"/>
        </w:rPr>
        <w:t>58256395</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冯</w:t>
      </w:r>
      <w:r>
        <w:rPr>
          <w:rFonts w:hint="default" w:ascii="Times New Roman" w:hAnsi="Times New Roman" w:eastAsia="方正仿宋_GBK" w:cs="Times New Roman"/>
          <w:sz w:val="32"/>
          <w:szCs w:val="32"/>
          <w:lang w:val="en-US" w:eastAsia="zh-CN"/>
        </w:rPr>
        <w:t xml:space="preserve">  娅     刘  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.网上填报系统操作问题咨询：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电话：023-89188101，联系人：张中豪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仿宋_GBK" w:cs="Times New Roma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参加2023年度检查社会团体名单</w:t>
      </w:r>
    </w:p>
    <w:tbl>
      <w:tblPr>
        <w:tblStyle w:val="10"/>
        <w:tblW w:w="8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498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blHead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序号</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单位名称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业务主管（指导）单位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重庆市万州区冬泳协会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区文化旅游委（47个）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重庆市万州区桥牌协会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重庆市万州区老年人体育协会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重庆市万州区木兰拳协会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重庆市万州区直属机关老年人体育协会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重庆市万州区球迷协会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重庆市万州区信鸽协会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重庆市万州区武术协会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重庆市万州区钓鱼协会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重庆市万州区篮球协会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重庆市万州区穿行者户外运动协会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重庆市万州区体育总会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重庆市万州区门球协会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重庆市万州区象棋协会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重庆市万州区乒乓球协会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重庆市万州区网球协会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重庆市万州区杨式太极拳研究会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重庆市万州区体育舞蹈协会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重庆市万州区汽车运动协会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重庆市万州区踢毽跳绳协会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重庆市万州区扑克协会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重庆市万州区乒乓球爱好者联合会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重庆市万州区羽毛球协会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重庆市万州区太白老年登山协会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重庆市万州区老年诗书画研究会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重庆市万州区收藏协会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重庆市万州区老年摄影协会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重庆市万州区奇石协会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重庆市万州区三峡空竹协会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重庆市万州区围棋协会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重庆市万州区铁人三项运动协会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重庆市万州工艺美术家协会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重庆市万州区民俗文化艺术研究会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重庆市万州区旗袍文化协会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重庆市万州区电子键盘协会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重庆市万州国际舞蹈协会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重庆市万州区平湖流星球协会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重庆市万州区文化和旅游协会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重庆市万州区船艇运动协会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重庆市万州区马拉松运动协会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重庆市万州区足球协会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重庆市万州区桨板运动协会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重庆市万州区跆拳道协会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重庆市万州区排球协会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重庆市万州区健身气功协会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重庆市万州区国际象棋协会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重庆市万州区平湖健身操协会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重庆市万州区建筑业协会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区住房城乡建委（7个）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重庆市万州区勘察设计协会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重庆市万州区城市建设档案协会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重庆市万州区建设工程造价协会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重庆市万州区物业管理协会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重庆市万州房地产经纪协会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重庆市万州区房地产业协会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重庆市万州区环境卫生协会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重庆市万州区曲艺家协会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区文联（16个）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重庆市万州区杂技家协会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重庆市万州区摄影家协会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重庆市万州区作家协会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重庆市万州何其芳研究会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重庆市万州新体诗歌研究会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重庆市万州区书法家协会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重庆市万州区音乐家协会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重庆市万州区舞蹈家协会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重庆市万州区民间文艺家协会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重庆市万州区美术家协会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重庆市万州区硬笔书法家协会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重庆市万州区民乐协会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重庆市万州区戏剧家协会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重庆市万州区书法教育研究会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重庆市万州区电影电视艺术家协会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重庆市万州区传统文化促进会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区社科联（2个）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重庆市万州区税务学会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重庆市万州区温州商会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区工商联（6个）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重庆市万州区福建商会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重庆市万州区总商会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重庆市万州区青年商会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重庆市万州区湖北商会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重庆市万州区茶叶商会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重庆市万州区民营经济协会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区市场监管局（3个）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重庆市万州区广告协会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重庆市万州区电梯安全协会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重庆市万州区特种商品协会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区商务委（6个）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重庆市万州区餐饮协会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重庆市万州区住宿业协会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重庆市万州区烤鱼产业协会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重庆市万州区婚庆行业协会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重庆市万州区美容美发行业协会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重庆市万州区汽车维修行业协会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区交通局（4个）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重庆市万州区道路运输协会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重庆市万州区机动车驾驶培训行业协会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重庆市万州渝东航运协会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重庆市万州区机电行业协会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区经济信息委（2个）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重庆市万州区小微企业协会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重庆市万州区职业教育学会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区教委（4个）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重庆市万州区退(离)休教师协会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重庆市万州区教育学会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重庆市万州区旅游教育研究会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重庆市万州区社会工作协会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区民政局（6个）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重庆市万州区殡葬协会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重庆市万州区慈善会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重庆市万州区养老福利联合会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重庆市万州区社会组织促进会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重庆市万州区义务工作联合会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重庆市万州区爱鸟养鸟协会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区卫生健康委（7个）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重庆市万州区老年学学会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重庆市万州区医学会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重庆市万州区中医药学会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重庆市万州区民营医疗机构协会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重庆市万州区心理咨询师协会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111</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重庆市万州区托育服务行业协会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重庆市万州区自强残疾人协会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113</w:t>
            </w:r>
          </w:p>
        </w:tc>
        <w:tc>
          <w:tcPr>
            <w:tcW w:w="49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重庆三峡水利电力（集团）股份有限公司职工持股会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重庆市万州区二野军大校史研究会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区史志办（2个）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重庆市万州区西南服务团团史研究会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重庆市万州区革命传统教育协会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区委老干局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重庆市万州区水利学会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区水利局（2个）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重庆市万州区致富带头人联合会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重庆市万州区警察协会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区公安局（2个）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重庆市万州区法医学会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重庆市万州区花卉协会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重庆市万州区瀼渡镇果品专业协会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区农业农村委（12个）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重庆市万州区种子协会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重庆市万州区茶叶协会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重庆市万州区沼气协会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重庆市万州区土壤学会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重庆市万州区现代生态农牧联合会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重庆市万州区农业经理人促进会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重庆市万州区农机协会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重庆市万州区畜牧兽医学会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重庆市万州玫瑰香橙协会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重庆市万州粉黛脆李产业协会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重庆市万州区养蜂技术协会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重庆市万州(渝东)印刷业协会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区委宣传部（6个）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重庆市万州区出版物发行协会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重庆市万州区新闻工作者协会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重庆市万州三峡之子联合会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重庆市万州区互联网协会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重庆市万州区志愿者协会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重庆市万州区天主教爱国会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区委统战部（8个）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重庆市万州区佛教协会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重庆市万州区基督教三自爱国运动委员会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重庆市万州区清真寺管理委员会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重庆市万州区民族团结进步促进会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重庆市万州区光彩事业促进会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重庆市万州区党外知识分子联谊会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重庆市万州区新的社会阶层专业人士联合会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重庆市万州侨商联合会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区侨联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重庆市万州区烟花爆竹行业协会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区供销合作社（2个）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重庆市万州区农村合作经济组织联合会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重庆市万州区劳务经纪人协会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重庆市万州区内部审计协会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重庆市万州集邮协会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市邮政管理一分局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重庆市万州金融学会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人行万州分行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万州经济技术开发区老年协会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经开区管委会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重庆市万州区安全生产协会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重庆市万州区柠檬协会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区科协（14个）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重庆市万州心理学会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重庆市万州区老科学技术工作者协会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重庆市万州区青少年科技辅导员协会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重庆市万州区无花果协会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重庆市万州区山胡椒专业技术协会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163</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重庆市万州区青脆李专业技术协会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重庆市万州区铁峰乡猕猴桃专业技术协会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重庆市万州区反邪教协会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重庆市万州区佛手果专业技术协会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重庆市万州区农技协联合会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重庆市万州区中药材专业技术协会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重庆市万州区工程师协会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重庆市万州区无人机科技教育协会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重庆市万州区青年助学志愿者协会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共青团区委（3个）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重庆市万州区青年企业家协会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重庆市万州区青年志愿者协会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重庆市万州区财政会计学会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重庆市万州区统计学会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重庆市万州区规划和自然资源学会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重庆市万州区物流与采购联合会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区物流办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重庆市万州区武陵镇下中村桂圆专业技术协会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武陵镇政府（2个）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重庆市万州区武陵镇商会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重庆市万州区分水镇石碾养殖协会</w:t>
            </w:r>
          </w:p>
        </w:tc>
        <w:tc>
          <w:tcPr>
            <w:tcW w:w="2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分水镇政府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重庆市万州区走马镇商会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走马镇政府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重庆市万州区太龙镇龙滩村柑桔协会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太龙镇政府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183</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重庆市万州区长滩镇水蛭养殖协会</w:t>
            </w:r>
          </w:p>
        </w:tc>
        <w:tc>
          <w:tcPr>
            <w:tcW w:w="2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长滩镇政府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184</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重庆市万州区熊家镇早熟梨专业技术协会</w:t>
            </w:r>
          </w:p>
        </w:tc>
        <w:tc>
          <w:tcPr>
            <w:tcW w:w="2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熊家镇政府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重庆市万州区罗田镇蓝莓专业技术协会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罗田镇政府（2个）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重庆市万州罗田土鸡专业技术协会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重庆市万州区茨竹乡生态养猪专业技术协会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茨竹乡政府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188</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重庆市万州区高峰镇食用菌协会</w:t>
            </w:r>
          </w:p>
        </w:tc>
        <w:tc>
          <w:tcPr>
            <w:tcW w:w="2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高峰街道办事处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189</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重庆市万州区恒合土家族乡商会</w:t>
            </w:r>
          </w:p>
        </w:tc>
        <w:tc>
          <w:tcPr>
            <w:tcW w:w="25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恒合土家族乡政府（2个）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190</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重庆市万州区恒合乡村旅游促进会</w:t>
            </w:r>
          </w:p>
        </w:tc>
        <w:tc>
          <w:tcPr>
            <w:tcW w:w="25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191</w:t>
            </w:r>
          </w:p>
        </w:tc>
        <w:tc>
          <w:tcPr>
            <w:tcW w:w="4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重庆市万州区新田镇商会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新田镇政府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重庆市万州区龙驹镇乡村产业促进会</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龙驹镇政府（2个）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193</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重庆市万州区龙驹镇商会</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重庆市万州区信用协会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重庆市万州区高梁镇商会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高梁镇政府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重庆市万州区牌楼街道办事处商会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牌楼街道办事处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重庆市万州区周家坝街道商会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周家坝街道办事处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重庆市万州区陈家坝街道商会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陈家坝街道办事处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199</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重庆市万州区白羊镇商会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白羊镇政府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200</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重庆市万州区太安镇商会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太安镇政府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201</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重庆市万州区长岭镇商会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长岭镇政府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202</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重庆市万州区钟鼓楼街道商会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钟鼓楼街道办事处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重庆市万州区百安坝街道商会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百安坝街道办事处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重庆市万州区高笋塘街道商会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高笋塘街道办事处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重庆市万州区九池街道办事处商会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九池街道办事处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重庆市万州区龙都街道办事处商会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龙都街道办事处</w:t>
            </w:r>
          </w:p>
        </w:tc>
      </w:tr>
    </w:tbl>
    <w:p>
      <w:pPr>
        <w:rPr>
          <w:rFonts w:hint="default" w:ascii="Times New Roman" w:hAnsi="Times New Roman" w:eastAsia="方正仿宋_GBK" w:cs="Times New Roman"/>
          <w:sz w:val="24"/>
          <w:szCs w:val="24"/>
          <w:lang w:val="en-US" w:eastAsia="zh-CN"/>
        </w:rPr>
      </w:pPr>
    </w:p>
    <w:p>
      <w:pPr>
        <w:rPr>
          <w:rFonts w:hint="default" w:ascii="Times New Roman" w:hAnsi="Times New Roman" w:eastAsia="方正仿宋_GBK" w:cs="Times New Roman"/>
          <w:sz w:val="24"/>
          <w:szCs w:val="2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4919980</wp:posOffset>
              </wp:positionH>
              <wp:positionV relativeFrom="paragraph">
                <wp:posOffset>-67945</wp:posOffset>
              </wp:positionV>
              <wp:extent cx="821055" cy="3536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1055" cy="353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4pt;margin-top:-5.35pt;height:27.85pt;width:64.65pt;mso-position-horizontal-relative:margin;z-index:251659264;mso-width-relative:page;mso-height-relative:page;" filled="f" stroked="f" coordsize="21600,21600" o:gfxdata="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vxXBI2AAAAAoBAAAPAAAA&#10;AAAAAAEAIAAAADgAAABkcnMvZG93bnJldi54bWxQSwECFAAUAAAACACHTuJAYBXdvDgCAABhBAAA&#10;DgAAAAAAAAABACAAAAA9AQAAZHJzL2Uyb0RvYy54bWxQSwUGAAAAAAYABgBZAQAA5wU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jNmNzcxOTIxM2ExMGNjNjdmNzVhN2RkYTkyMTkifQ=="/>
  </w:docVars>
  <w:rsids>
    <w:rsidRoot w:val="33226EF8"/>
    <w:rsid w:val="131109C2"/>
    <w:rsid w:val="133C549C"/>
    <w:rsid w:val="1B33028B"/>
    <w:rsid w:val="28816096"/>
    <w:rsid w:val="2C1D17AC"/>
    <w:rsid w:val="2FFE9DF8"/>
    <w:rsid w:val="326952F1"/>
    <w:rsid w:val="33226EF8"/>
    <w:rsid w:val="3DF15DAF"/>
    <w:rsid w:val="4DD95EA0"/>
    <w:rsid w:val="52CE6249"/>
    <w:rsid w:val="640F7790"/>
    <w:rsid w:val="67F30337"/>
    <w:rsid w:val="FD7CC73C"/>
    <w:rsid w:val="FFF7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eastAsia="仿宋_GB2312" w:cs="仿宋_GB2312"/>
      <w:color w:val="000000"/>
      <w:sz w:val="24"/>
      <w:szCs w:val="24"/>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5">
    <w:name w:val="Body Text"/>
    <w:basedOn w:val="1"/>
    <w:next w:val="6"/>
    <w:qFormat/>
    <w:uiPriority w:val="0"/>
    <w:pPr>
      <w:spacing w:line="590" w:lineRule="exact"/>
    </w:pPr>
    <w:rPr>
      <w:rFonts w:ascii="方正仿宋_GBK" w:eastAsia="方正仿宋_GBK"/>
      <w:sz w:val="32"/>
    </w:rPr>
  </w:style>
  <w:style w:type="paragraph" w:customStyle="1" w:styleId="6">
    <w:name w:val="默认"/>
    <w:qFormat/>
    <w:uiPriority w:val="99"/>
    <w:rPr>
      <w:rFonts w:ascii="Helvetica" w:hAnsi="Helvetica" w:eastAsia="宋体"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2024-03-12T14:23:00Z</dcterms:created>
  <dc:creator>俏…佳…人</dc:creator>
  <cp:lastModifiedBy>mz01</cp:lastModifiedBy>
  <cp:lastPrinted>2024-03-14T09:39:00Z</cp:lastPrinted>
  <dcterms:modified xsi:type="dcterms:W3CDTF">2024-06-28T16:55:07Z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A3C12BCE78B0B07E6B7A7E66C695851D</vt:lpwstr>
  </property>
</Properties>
</file>