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40" w:lineRule="exact"/>
        <w:jc w:val="center"/>
        <w:outlineLvl w:val="0"/>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重庆市万州区国有铁峰山林场</w:t>
      </w:r>
    </w:p>
    <w:p>
      <w:pPr>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rPr>
        <w:t>202</w:t>
      </w:r>
      <w:r>
        <w:rPr>
          <w:rFonts w:hint="eastAsia" w:ascii="方正小标宋_GBK" w:hAnsi="方正小标宋_GBK" w:eastAsia="方正小标宋_GBK" w:cs="方正小标宋_GBK"/>
          <w:kern w:val="2"/>
          <w:sz w:val="44"/>
          <w:szCs w:val="44"/>
          <w:lang w:val="en-US" w:eastAsia="zh-CN"/>
        </w:rPr>
        <w:t>1</w:t>
      </w:r>
      <w:r>
        <w:rPr>
          <w:rFonts w:hint="eastAsia" w:ascii="方正小标宋_GBK" w:hAnsi="方正小标宋_GBK" w:eastAsia="方正小标宋_GBK" w:cs="方正小标宋_GBK"/>
          <w:kern w:val="2"/>
          <w:sz w:val="44"/>
          <w:szCs w:val="44"/>
        </w:rPr>
        <w:t>年度部门决算情况说明</w:t>
      </w:r>
    </w:p>
    <w:p>
      <w:pPr>
        <w:numPr>
          <w:ilvl w:val="0"/>
          <w:numId w:val="1"/>
        </w:numPr>
        <w:jc w:val="left"/>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部门基本情况</w:t>
      </w:r>
    </w:p>
    <w:p>
      <w:pPr>
        <w:numPr>
          <w:ilvl w:val="0"/>
          <w:numId w:val="0"/>
        </w:numPr>
        <w:jc w:val="left"/>
        <w:rPr>
          <w:rFonts w:hint="eastAsia" w:ascii="方正楷体_GBK" w:hAnsi="方正楷体_GBK" w:eastAsia="方正楷体_GBK" w:cs="方正楷体_GBK"/>
          <w:kern w:val="2"/>
          <w:sz w:val="32"/>
          <w:szCs w:val="32"/>
          <w:lang w:val="en-US" w:eastAsia="zh-CN"/>
        </w:rPr>
      </w:pPr>
      <w:r>
        <w:rPr>
          <w:rFonts w:hint="eastAsia" w:ascii="方正楷体_GBK" w:hAnsi="方正楷体_GBK" w:eastAsia="方正楷体_GBK" w:cs="方正楷体_GBK"/>
          <w:kern w:val="2"/>
          <w:sz w:val="32"/>
          <w:szCs w:val="32"/>
          <w:lang w:val="en-US" w:eastAsia="zh-CN"/>
        </w:rPr>
        <w:t>（一）职能职责</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培育和保护森林资源，负责林场内森林、湿地、自然保护区和野生动植物资源的保护管理，承担林场森林防火、有害生物防治等工作。具体职责任务为：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1、贯彻实施有关国有林场的法律、法规，参与编制国有林场发展规划。</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2、承担辖区内造林绿化和森林资源培育工作，保护和管理国有森林资源，开展森林资源动态监测，保护管理和合理利用辖区内林地资源。</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3、负责辖区内林业有害生物防治、森林防火、野生动植物保护与管理。</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4、负责林区内自然保护区、森林公园、湿地公园、地质公园的管理。</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5、受区林业局的委托，承担辖区内林业行政执法事务性工作。</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6、开展科学试验和技术创新，推广应用林业先进实用新技术。</w:t>
      </w:r>
    </w:p>
    <w:p>
      <w:pPr>
        <w:numPr>
          <w:ilvl w:val="0"/>
          <w:numId w:val="2"/>
        </w:numPr>
        <w:jc w:val="left"/>
        <w:rPr>
          <w:rFonts w:hint="eastAsia" w:ascii="方正楷体_GBK" w:hAnsi="方正楷体_GBK" w:eastAsia="方正楷体_GBK" w:cs="方正楷体_GBK"/>
          <w:kern w:val="2"/>
          <w:sz w:val="32"/>
          <w:szCs w:val="32"/>
          <w:lang w:val="en-US" w:eastAsia="zh-CN"/>
        </w:rPr>
      </w:pPr>
      <w:r>
        <w:rPr>
          <w:rFonts w:hint="eastAsia" w:ascii="方正楷体_GBK" w:hAnsi="方正楷体_GBK" w:eastAsia="方正楷体_GBK" w:cs="方正楷体_GBK"/>
          <w:kern w:val="2"/>
          <w:sz w:val="32"/>
          <w:szCs w:val="32"/>
          <w:lang w:val="en-US" w:eastAsia="zh-CN"/>
        </w:rPr>
        <w:t>机构设置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kern w:val="2"/>
          <w:sz w:val="32"/>
          <w:szCs w:val="32"/>
          <w:lang w:val="en-US" w:eastAsia="zh-CN"/>
        </w:rPr>
      </w:pPr>
      <w:r>
        <w:rPr>
          <w:rFonts w:hint="eastAsia" w:ascii="方正仿宋_GBK" w:hAnsi="方正仿宋_GBK" w:eastAsia="方正仿宋_GBK" w:cs="方正仿宋_GBK"/>
          <w:sz w:val="32"/>
          <w:szCs w:val="32"/>
        </w:rPr>
        <w:t>国有铁峰山林场内设办公室</w:t>
      </w:r>
      <w:r>
        <w:rPr>
          <w:rFonts w:hint="eastAsia" w:ascii="方正仿宋_GBK" w:hAnsi="方正仿宋_GBK" w:eastAsia="方正仿宋_GBK" w:cs="方正仿宋_GBK"/>
          <w:sz w:val="32"/>
          <w:szCs w:val="32"/>
          <w:lang w:eastAsia="zh-CN"/>
        </w:rPr>
        <w:t>（含财务室）</w:t>
      </w:r>
      <w:r>
        <w:rPr>
          <w:rFonts w:hint="eastAsia" w:ascii="方正仿宋_GBK" w:hAnsi="方正仿宋_GBK" w:eastAsia="方正仿宋_GBK" w:cs="方正仿宋_GBK"/>
          <w:sz w:val="32"/>
          <w:szCs w:val="32"/>
        </w:rPr>
        <w:t>、生产技术科、资源保护科、管护站、</w:t>
      </w:r>
      <w:r>
        <w:rPr>
          <w:rFonts w:hint="eastAsia" w:ascii="方正仿宋_GBK" w:hAnsi="方正仿宋_GBK" w:eastAsia="方正仿宋_GBK" w:cs="方正仿宋_GBK"/>
          <w:sz w:val="32"/>
          <w:szCs w:val="32"/>
          <w:lang w:eastAsia="zh-CN"/>
        </w:rPr>
        <w:t>增挂国家</w:t>
      </w:r>
      <w:r>
        <w:rPr>
          <w:rFonts w:hint="eastAsia" w:ascii="方正仿宋_GBK" w:hAnsi="方正仿宋_GBK" w:eastAsia="方正仿宋_GBK" w:cs="方正仿宋_GBK"/>
          <w:sz w:val="32"/>
          <w:szCs w:val="32"/>
        </w:rPr>
        <w:t>森林公园管理</w:t>
      </w:r>
      <w:r>
        <w:rPr>
          <w:rFonts w:hint="eastAsia" w:ascii="方正仿宋_GBK" w:hAnsi="方正仿宋_GBK" w:eastAsia="方正仿宋_GBK" w:cs="方正仿宋_GBK"/>
          <w:sz w:val="32"/>
          <w:szCs w:val="32"/>
          <w:lang w:eastAsia="zh-CN"/>
        </w:rPr>
        <w:t>中心牌子</w:t>
      </w:r>
      <w:r>
        <w:rPr>
          <w:rFonts w:hint="eastAsia" w:ascii="方正仿宋_GBK" w:hAnsi="方正仿宋_GBK" w:eastAsia="方正仿宋_GBK" w:cs="方正仿宋_GBK"/>
          <w:sz w:val="32"/>
          <w:szCs w:val="32"/>
        </w:rPr>
        <w:t>。</w:t>
      </w:r>
    </w:p>
    <w:p>
      <w:pPr>
        <w:numPr>
          <w:ilvl w:val="0"/>
          <w:numId w:val="2"/>
        </w:numPr>
        <w:jc w:val="left"/>
        <w:rPr>
          <w:rFonts w:hint="eastAsia" w:ascii="方正楷体_GBK" w:hAnsi="方正楷体_GBK" w:eastAsia="方正楷体_GBK" w:cs="方正楷体_GBK"/>
          <w:kern w:val="2"/>
          <w:sz w:val="32"/>
          <w:szCs w:val="32"/>
          <w:lang w:val="en-US" w:eastAsia="zh-CN"/>
        </w:rPr>
      </w:pPr>
      <w:r>
        <w:rPr>
          <w:rFonts w:hint="eastAsia" w:ascii="方正楷体_GBK" w:hAnsi="方正楷体_GBK" w:eastAsia="方正楷体_GBK" w:cs="方正楷体_GBK"/>
          <w:kern w:val="2"/>
          <w:sz w:val="32"/>
          <w:szCs w:val="32"/>
          <w:lang w:val="en-US" w:eastAsia="zh-CN"/>
        </w:rPr>
        <w:t>单位构成</w:t>
      </w:r>
    </w:p>
    <w:p>
      <w:pPr>
        <w:numPr>
          <w:ilvl w:val="0"/>
          <w:numId w:val="0"/>
        </w:num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纳入本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年度决算编制的二级预算单位</w:t>
      </w:r>
      <w:r>
        <w:rPr>
          <w:rFonts w:hint="eastAsia" w:ascii="方正仿宋_GBK" w:hAnsi="方正仿宋_GBK" w:eastAsia="方正仿宋_GBK" w:cs="方正仿宋_GBK"/>
          <w:sz w:val="32"/>
          <w:szCs w:val="32"/>
          <w:lang w:eastAsia="zh-CN"/>
        </w:rPr>
        <w:t>为万州区</w:t>
      </w:r>
      <w:r>
        <w:rPr>
          <w:rFonts w:hint="eastAsia" w:ascii="方正仿宋_GBK" w:hAnsi="方正仿宋_GBK" w:eastAsia="方正仿宋_GBK" w:cs="方正仿宋_GBK"/>
          <w:sz w:val="32"/>
          <w:szCs w:val="32"/>
        </w:rPr>
        <w:t>国有铁峰山林场。编办核实编制数为43人，目前在职</w:t>
      </w:r>
      <w:r>
        <w:rPr>
          <w:rFonts w:hint="eastAsia" w:ascii="方正仿宋_GBK" w:hAnsi="方正仿宋_GBK" w:eastAsia="方正仿宋_GBK" w:cs="方正仿宋_GBK"/>
          <w:sz w:val="32"/>
          <w:szCs w:val="32"/>
          <w:lang w:val="en-US" w:eastAsia="zh-CN"/>
        </w:rPr>
        <w:t>40</w:t>
      </w:r>
      <w:r>
        <w:rPr>
          <w:rFonts w:hint="eastAsia" w:ascii="方正仿宋_GBK" w:hAnsi="方正仿宋_GBK" w:eastAsia="方正仿宋_GBK" w:cs="方正仿宋_GBK"/>
          <w:sz w:val="32"/>
          <w:szCs w:val="32"/>
        </w:rPr>
        <w:t>人，退休</w:t>
      </w:r>
      <w:r>
        <w:rPr>
          <w:rFonts w:hint="eastAsia" w:ascii="方正仿宋_GBK" w:hAnsi="方正仿宋_GBK" w:eastAsia="方正仿宋_GBK" w:cs="方正仿宋_GBK"/>
          <w:sz w:val="32"/>
          <w:szCs w:val="32"/>
          <w:lang w:val="en-US" w:eastAsia="zh-CN"/>
        </w:rPr>
        <w:t>49</w:t>
      </w:r>
      <w:r>
        <w:rPr>
          <w:rFonts w:hint="eastAsia" w:ascii="方正仿宋_GBK" w:hAnsi="方正仿宋_GBK" w:eastAsia="方正仿宋_GBK" w:cs="方正仿宋_GBK"/>
          <w:sz w:val="32"/>
          <w:szCs w:val="32"/>
        </w:rPr>
        <w:t>人。</w:t>
      </w:r>
    </w:p>
    <w:p>
      <w:pPr>
        <w:numPr>
          <w:ilvl w:val="0"/>
          <w:numId w:val="0"/>
        </w:numPr>
        <w:jc w:val="lef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二、部门决算情况说明</w:t>
      </w:r>
    </w:p>
    <w:p>
      <w:pPr>
        <w:numPr>
          <w:ilvl w:val="0"/>
          <w:numId w:val="0"/>
        </w:numPr>
        <w:jc w:val="left"/>
        <w:rPr>
          <w:rStyle w:val="6"/>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sz w:val="32"/>
          <w:szCs w:val="32"/>
          <w:lang w:val="en-US" w:eastAsia="zh-CN"/>
        </w:rPr>
        <w:t>（一）</w:t>
      </w:r>
      <w:r>
        <w:rPr>
          <w:rStyle w:val="6"/>
          <w:rFonts w:hint="eastAsia" w:ascii="方正楷体_GBK" w:hAnsi="方正楷体_GBK" w:eastAsia="方正楷体_GBK" w:cs="方正楷体_GBK"/>
          <w:b w:val="0"/>
          <w:bCs w:val="0"/>
          <w:sz w:val="32"/>
          <w:szCs w:val="32"/>
        </w:rPr>
        <w:t>收入支出决算总体情况说明</w:t>
      </w:r>
    </w:p>
    <w:p>
      <w:pPr>
        <w:numPr>
          <w:ilvl w:val="0"/>
          <w:numId w:val="0"/>
        </w:numPr>
        <w:ind w:firstLine="640" w:firstLineChars="200"/>
        <w:jc w:val="left"/>
        <w:rPr>
          <w:rStyle w:val="6"/>
          <w:rFonts w:hint="eastAsia" w:ascii="方正仿宋_GBK" w:hAnsi="方正仿宋_GBK" w:eastAsia="方正仿宋_GBK" w:cs="方正仿宋_GBK"/>
          <w:b w:val="0"/>
          <w:bCs w:val="0"/>
          <w:sz w:val="32"/>
          <w:szCs w:val="32"/>
          <w:lang w:val="en-US" w:eastAsia="zh-CN"/>
        </w:rPr>
      </w:pPr>
      <w:r>
        <w:rPr>
          <w:rStyle w:val="6"/>
          <w:rFonts w:hint="eastAsia" w:ascii="方正仿宋_GBK" w:hAnsi="方正仿宋_GBK" w:eastAsia="方正仿宋_GBK" w:cs="方正仿宋_GBK"/>
          <w:b w:val="0"/>
          <w:bCs w:val="0"/>
          <w:sz w:val="32"/>
          <w:szCs w:val="32"/>
          <w:lang w:val="en-US" w:eastAsia="zh-CN"/>
        </w:rPr>
        <w:t>1.总体情况。2021年度收入总计1,598.61万元，支出总计1,598.61万元。收支较上年决算数增加1,193.90万元、增长295%，主要原因是增加了天保工程社会保险补助、铁峰山林场设施建设项目、国家森林公园森林防火工作经费、森林公园景观提升项目、国有林区基础设施设备维修更新项目。</w:t>
      </w:r>
    </w:p>
    <w:p>
      <w:pPr>
        <w:numPr>
          <w:ilvl w:val="0"/>
          <w:numId w:val="0"/>
        </w:numPr>
        <w:ind w:firstLine="640" w:firstLineChars="200"/>
        <w:jc w:val="left"/>
        <w:rPr>
          <w:rStyle w:val="6"/>
          <w:rFonts w:hint="eastAsia" w:ascii="方正仿宋_GBK" w:hAnsi="方正仿宋_GBK" w:eastAsia="方正仿宋_GBK" w:cs="方正仿宋_GBK"/>
          <w:b w:val="0"/>
          <w:bCs w:val="0"/>
          <w:sz w:val="32"/>
          <w:szCs w:val="32"/>
          <w:lang w:val="en-US" w:eastAsia="zh-CN"/>
        </w:rPr>
      </w:pPr>
      <w:r>
        <w:rPr>
          <w:rStyle w:val="6"/>
          <w:rFonts w:hint="eastAsia" w:ascii="方正仿宋_GBK" w:hAnsi="方正仿宋_GBK" w:eastAsia="方正仿宋_GBK" w:cs="方正仿宋_GBK"/>
          <w:b w:val="0"/>
          <w:bCs w:val="0"/>
          <w:sz w:val="32"/>
          <w:szCs w:val="32"/>
          <w:shd w:val="clear" w:fill="FFFFFF"/>
          <w:lang w:val="en-US"/>
        </w:rPr>
        <w:t>2.</w:t>
      </w:r>
      <w:r>
        <w:rPr>
          <w:rStyle w:val="6"/>
          <w:rFonts w:hint="eastAsia" w:ascii="方正仿宋_GBK" w:hAnsi="方正仿宋_GBK" w:eastAsia="方正仿宋_GBK" w:cs="方正仿宋_GBK"/>
          <w:b w:val="0"/>
          <w:bCs w:val="0"/>
          <w:sz w:val="32"/>
          <w:szCs w:val="32"/>
          <w:shd w:val="clear" w:fill="FFFFFF"/>
          <w:lang w:eastAsia="zh-CN"/>
        </w:rPr>
        <w:t>收入情况。</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年度收入合计</w:t>
      </w:r>
      <w:r>
        <w:rPr>
          <w:rFonts w:hint="eastAsia" w:ascii="方正仿宋_GBK" w:hAnsi="方正仿宋_GBK" w:eastAsia="方正仿宋_GBK" w:cs="方正仿宋_GBK"/>
          <w:sz w:val="32"/>
          <w:szCs w:val="32"/>
          <w:shd w:val="clear" w:fill="FFFFFF"/>
          <w:lang w:val="en-US"/>
        </w:rPr>
        <w:t>1,584.05</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523.71</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49.4%</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w:t>
      </w:r>
      <w:r>
        <w:rPr>
          <w:rFonts w:hint="eastAsia" w:ascii="方正仿宋_GBK" w:hAnsi="方正仿宋_GBK" w:eastAsia="方正仿宋_GBK" w:cs="方正仿宋_GBK"/>
          <w:sz w:val="32"/>
          <w:szCs w:val="32"/>
          <w:shd w:val="clear" w:fill="FFFFFF"/>
          <w:lang w:eastAsia="zh-CN"/>
        </w:rPr>
        <w:t>其中：财政拨款收入</w:t>
      </w:r>
      <w:r>
        <w:rPr>
          <w:rFonts w:hint="eastAsia" w:ascii="方正仿宋_GBK" w:hAnsi="方正仿宋_GBK" w:eastAsia="方正仿宋_GBK" w:cs="方正仿宋_GBK"/>
          <w:sz w:val="32"/>
          <w:szCs w:val="32"/>
          <w:shd w:val="clear" w:fill="FFFFFF"/>
          <w:lang w:val="en-US"/>
        </w:rPr>
        <w:t>1,584.05</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；事业收入</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；经营收入</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；其他收入</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。此外，使用非财政拨款结余</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万元，年初结转和结余</w:t>
      </w:r>
      <w:r>
        <w:rPr>
          <w:rFonts w:hint="eastAsia" w:ascii="方正仿宋_GBK" w:hAnsi="方正仿宋_GBK" w:eastAsia="方正仿宋_GBK" w:cs="方正仿宋_GBK"/>
          <w:sz w:val="32"/>
          <w:szCs w:val="32"/>
          <w:shd w:val="clear" w:fill="FFFFFF"/>
          <w:lang w:val="en-US"/>
        </w:rPr>
        <w:t>14.56</w:t>
      </w:r>
      <w:r>
        <w:rPr>
          <w:rFonts w:hint="eastAsia" w:ascii="方正仿宋_GBK" w:hAnsi="方正仿宋_GBK" w:eastAsia="方正仿宋_GBK" w:cs="方正仿宋_GBK"/>
          <w:sz w:val="32"/>
          <w:szCs w:val="32"/>
          <w:shd w:val="clear" w:fill="FFFFFF"/>
          <w:lang w:eastAsia="zh-CN"/>
        </w:rPr>
        <w:t>万元。</w:t>
      </w:r>
    </w:p>
    <w:p>
      <w:pPr>
        <w:ind w:firstLine="643" w:firstLineChars="200"/>
        <w:jc w:val="left"/>
        <w:rPr>
          <w:rFonts w:hint="eastAsia" w:ascii="方正仿宋_GBK" w:hAnsi="方正仿宋_GBK" w:eastAsia="方正仿宋_GBK" w:cs="方正仿宋_GBK"/>
          <w:sz w:val="32"/>
          <w:szCs w:val="32"/>
          <w:shd w:val="clear" w:fill="FFFFFF"/>
          <w:lang w:eastAsia="zh-CN"/>
        </w:rPr>
      </w:pPr>
      <w:r>
        <w:rPr>
          <w:rStyle w:val="6"/>
          <w:rFonts w:hint="eastAsia" w:ascii="方正仿宋_GBK" w:hAnsi="方正仿宋_GBK" w:eastAsia="方正仿宋_GBK" w:cs="方正仿宋_GBK"/>
          <w:sz w:val="32"/>
          <w:szCs w:val="32"/>
          <w:shd w:val="clear" w:fill="FFFFFF"/>
          <w:lang w:val="en-US"/>
        </w:rPr>
        <w:t xml:space="preserve"> </w:t>
      </w:r>
      <w:r>
        <w:rPr>
          <w:rStyle w:val="6"/>
          <w:rFonts w:hint="eastAsia" w:ascii="方正仿宋_GBK" w:hAnsi="方正仿宋_GBK" w:eastAsia="方正仿宋_GBK" w:cs="方正仿宋_GBK"/>
          <w:b w:val="0"/>
          <w:bCs w:val="0"/>
          <w:sz w:val="32"/>
          <w:szCs w:val="32"/>
          <w:shd w:val="clear" w:fill="FFFFFF"/>
          <w:lang w:val="en-US"/>
        </w:rPr>
        <w:t>3.</w:t>
      </w:r>
      <w:r>
        <w:rPr>
          <w:rStyle w:val="6"/>
          <w:rFonts w:hint="eastAsia" w:ascii="方正仿宋_GBK" w:hAnsi="方正仿宋_GBK" w:eastAsia="方正仿宋_GBK" w:cs="方正仿宋_GBK"/>
          <w:b w:val="0"/>
          <w:bCs w:val="0"/>
          <w:sz w:val="32"/>
          <w:szCs w:val="32"/>
          <w:shd w:val="clear" w:fill="FFFFFF"/>
          <w:lang w:eastAsia="zh-CN"/>
        </w:rPr>
        <w:t>支出情况。</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年度支出合计</w:t>
      </w:r>
      <w:r>
        <w:rPr>
          <w:rFonts w:hint="eastAsia" w:ascii="方正仿宋_GBK" w:hAnsi="方正仿宋_GBK" w:eastAsia="方正仿宋_GBK" w:cs="方正仿宋_GBK"/>
          <w:sz w:val="32"/>
          <w:szCs w:val="32"/>
          <w:shd w:val="clear" w:fill="FFFFFF"/>
          <w:lang w:val="en-US"/>
        </w:rPr>
        <w:t>1,598.61</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538.27</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50.8%</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增加了天保工程社会保险补助、铁峰山林场设施建设项目、国家森林公园森林防火工作经费、森林公园景观提升项目、国有林区基础设施设备维修更新项目等。</w:t>
      </w:r>
      <w:r>
        <w:rPr>
          <w:rFonts w:hint="eastAsia" w:ascii="方正仿宋_GBK" w:hAnsi="方正仿宋_GBK" w:eastAsia="方正仿宋_GBK" w:cs="方正仿宋_GBK"/>
          <w:sz w:val="32"/>
          <w:szCs w:val="32"/>
          <w:shd w:val="clear" w:fill="FFFFFF"/>
          <w:lang w:eastAsia="zh-CN"/>
        </w:rPr>
        <w:t>其中：基本支出</w:t>
      </w:r>
      <w:r>
        <w:rPr>
          <w:rFonts w:hint="eastAsia" w:ascii="方正仿宋_GBK" w:hAnsi="方正仿宋_GBK" w:eastAsia="方正仿宋_GBK" w:cs="方正仿宋_GBK"/>
          <w:sz w:val="32"/>
          <w:szCs w:val="32"/>
          <w:shd w:val="clear" w:fill="FFFFFF"/>
          <w:lang w:val="en-US"/>
        </w:rPr>
        <w:t>959.09</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60%</w:t>
      </w:r>
      <w:r>
        <w:rPr>
          <w:rFonts w:hint="eastAsia" w:ascii="方正仿宋_GBK" w:hAnsi="方正仿宋_GBK" w:eastAsia="方正仿宋_GBK" w:cs="方正仿宋_GBK"/>
          <w:sz w:val="32"/>
          <w:szCs w:val="32"/>
          <w:shd w:val="clear" w:fill="FFFFFF"/>
          <w:lang w:eastAsia="zh-CN"/>
        </w:rPr>
        <w:t>；项目支出</w:t>
      </w:r>
      <w:r>
        <w:rPr>
          <w:rFonts w:hint="eastAsia" w:ascii="方正仿宋_GBK" w:hAnsi="方正仿宋_GBK" w:eastAsia="方正仿宋_GBK" w:cs="方正仿宋_GBK"/>
          <w:sz w:val="32"/>
          <w:szCs w:val="32"/>
          <w:shd w:val="clear" w:fill="FFFFFF"/>
          <w:lang w:val="en-US"/>
        </w:rPr>
        <w:t>639.52</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40%</w:t>
      </w:r>
      <w:r>
        <w:rPr>
          <w:rFonts w:hint="eastAsia" w:ascii="方正仿宋_GBK" w:hAnsi="方正仿宋_GBK" w:eastAsia="方正仿宋_GBK" w:cs="方正仿宋_GBK"/>
          <w:sz w:val="32"/>
          <w:szCs w:val="32"/>
          <w:shd w:val="clear" w:fill="FFFFFF"/>
          <w:lang w:eastAsia="zh-CN"/>
        </w:rPr>
        <w:t>；经营支出</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eastAsia="zh-CN"/>
        </w:rPr>
        <w:t>。此外，结余分配</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w:t>
      </w:r>
    </w:p>
    <w:p>
      <w:pPr>
        <w:ind w:firstLine="640" w:firstLineChars="200"/>
        <w:jc w:val="left"/>
        <w:rPr>
          <w:rFonts w:hint="eastAsia" w:ascii="方正仿宋_GBK" w:hAnsi="方正仿宋_GBK" w:eastAsia="方正仿宋_GBK" w:cs="方正仿宋_GBK"/>
          <w:color w:val="FF0000"/>
          <w:sz w:val="32"/>
          <w:szCs w:val="32"/>
          <w:shd w:val="clear" w:fill="FFFFFF"/>
          <w:lang w:val="en-US" w:eastAsia="zh-CN"/>
        </w:rPr>
      </w:pPr>
      <w:r>
        <w:rPr>
          <w:rStyle w:val="6"/>
          <w:rFonts w:hint="eastAsia" w:ascii="方正仿宋_GBK" w:hAnsi="方正仿宋_GBK" w:eastAsia="方正仿宋_GBK" w:cs="方正仿宋_GBK"/>
          <w:b w:val="0"/>
          <w:bCs w:val="0"/>
          <w:sz w:val="32"/>
          <w:szCs w:val="32"/>
          <w:shd w:val="clear" w:fill="FFFFFF"/>
          <w:lang w:val="en-US"/>
        </w:rPr>
        <w:t>4.</w:t>
      </w:r>
      <w:r>
        <w:rPr>
          <w:rStyle w:val="6"/>
          <w:rFonts w:hint="eastAsia" w:ascii="方正仿宋_GBK" w:hAnsi="方正仿宋_GBK" w:eastAsia="方正仿宋_GBK" w:cs="方正仿宋_GBK"/>
          <w:b w:val="0"/>
          <w:bCs w:val="0"/>
          <w:sz w:val="32"/>
          <w:szCs w:val="32"/>
          <w:shd w:val="clear" w:fill="FFFFFF"/>
          <w:lang w:eastAsia="zh-CN"/>
        </w:rPr>
        <w:t>结转结余情况。</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年度年末结转和结余</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655.63</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，主要原因是按照新政府会计制度对口径进行了会计调整。</w:t>
      </w:r>
    </w:p>
    <w:p>
      <w:pPr>
        <w:numPr>
          <w:ilvl w:val="0"/>
          <w:numId w:val="0"/>
        </w:numPr>
        <w:jc w:val="left"/>
        <w:rPr>
          <w:rStyle w:val="6"/>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sz w:val="32"/>
          <w:szCs w:val="32"/>
          <w:lang w:val="en-US" w:eastAsia="zh-CN"/>
        </w:rPr>
        <w:t>（二）</w:t>
      </w:r>
      <w:r>
        <w:rPr>
          <w:rStyle w:val="6"/>
          <w:rFonts w:hint="eastAsia" w:ascii="方正楷体_GBK" w:hAnsi="方正楷体_GBK" w:eastAsia="方正楷体_GBK" w:cs="方正楷体_GBK"/>
          <w:b w:val="0"/>
          <w:bCs w:val="0"/>
          <w:sz w:val="32"/>
          <w:szCs w:val="32"/>
        </w:rPr>
        <w:t>财政拨款收入支出决算总体情况说明</w:t>
      </w:r>
    </w:p>
    <w:p>
      <w:pPr>
        <w:numPr>
          <w:ilvl w:val="0"/>
          <w:numId w:val="0"/>
        </w:numPr>
        <w:ind w:firstLine="640" w:firstLineChars="200"/>
        <w:jc w:val="left"/>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年度财政拨款收、支总计</w:t>
      </w:r>
      <w:r>
        <w:rPr>
          <w:rFonts w:hint="eastAsia" w:ascii="方正仿宋_GBK" w:hAnsi="方正仿宋_GBK" w:eastAsia="方正仿宋_GBK" w:cs="方正仿宋_GBK"/>
          <w:sz w:val="32"/>
          <w:szCs w:val="32"/>
          <w:shd w:val="clear" w:fill="FFFFFF"/>
          <w:lang w:val="en-US"/>
        </w:rPr>
        <w:t>1,598.61</w:t>
      </w:r>
      <w:r>
        <w:rPr>
          <w:rFonts w:hint="eastAsia" w:ascii="方正仿宋_GBK" w:hAnsi="方正仿宋_GBK" w:eastAsia="方正仿宋_GBK" w:cs="方正仿宋_GBK"/>
          <w:sz w:val="32"/>
          <w:szCs w:val="32"/>
          <w:shd w:val="clear" w:fill="FFFFFF"/>
          <w:lang w:eastAsia="zh-CN"/>
        </w:rPr>
        <w:t>万元。与</w:t>
      </w:r>
      <w:r>
        <w:rPr>
          <w:rFonts w:hint="eastAsia" w:ascii="方正仿宋_GBK" w:hAnsi="方正仿宋_GBK" w:eastAsia="方正仿宋_GBK" w:cs="方正仿宋_GBK"/>
          <w:sz w:val="32"/>
          <w:szCs w:val="32"/>
          <w:shd w:val="clear" w:fill="FFFFFF"/>
          <w:lang w:val="en-US"/>
        </w:rPr>
        <w:t>2020</w:t>
      </w:r>
      <w:r>
        <w:rPr>
          <w:rFonts w:hint="eastAsia" w:ascii="方正仿宋_GBK" w:hAnsi="方正仿宋_GBK" w:eastAsia="方正仿宋_GBK" w:cs="方正仿宋_GBK"/>
          <w:sz w:val="32"/>
          <w:szCs w:val="32"/>
          <w:shd w:val="clear" w:fill="FFFFFF"/>
          <w:lang w:eastAsia="zh-CN"/>
        </w:rPr>
        <w:t>年相比，财政拨款收、支总计各增加</w:t>
      </w:r>
      <w:r>
        <w:rPr>
          <w:rFonts w:hint="eastAsia" w:ascii="方正仿宋_GBK" w:hAnsi="方正仿宋_GBK" w:eastAsia="方正仿宋_GBK" w:cs="方正仿宋_GBK"/>
          <w:sz w:val="32"/>
          <w:szCs w:val="32"/>
          <w:shd w:val="clear" w:fill="FFFFFF"/>
          <w:lang w:val="en-US"/>
        </w:rPr>
        <w:t>538.27</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50.8%</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增加了天保工程社会保险补助、铁峰山林场设施建设项目、国家森林公园森林防火工作经费、森林公园景观提升项目、国有林区基础设施设备维修更新项目等。</w:t>
      </w:r>
    </w:p>
    <w:p>
      <w:pPr>
        <w:numPr>
          <w:ilvl w:val="0"/>
          <w:numId w:val="0"/>
        </w:numPr>
        <w:jc w:val="left"/>
        <w:rPr>
          <w:rStyle w:val="6"/>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sz w:val="32"/>
          <w:szCs w:val="32"/>
          <w:lang w:val="en-US" w:eastAsia="zh-CN"/>
        </w:rPr>
        <w:t>（三）</w:t>
      </w:r>
      <w:r>
        <w:rPr>
          <w:rStyle w:val="6"/>
          <w:rFonts w:hint="eastAsia" w:ascii="方正楷体_GBK" w:hAnsi="方正楷体_GBK" w:eastAsia="方正楷体_GBK" w:cs="方正楷体_GBK"/>
          <w:b w:val="0"/>
          <w:bCs w:val="0"/>
          <w:sz w:val="32"/>
          <w:szCs w:val="32"/>
          <w:shd w:val="clear" w:fill="FFFFFF"/>
          <w:lang w:eastAsia="zh-CN"/>
        </w:rPr>
        <w:t>一般公共预算财政拨款收入支出决算情况说明。</w:t>
      </w:r>
    </w:p>
    <w:p>
      <w:pPr>
        <w:numPr>
          <w:ilvl w:val="0"/>
          <w:numId w:val="0"/>
        </w:numPr>
        <w:ind w:firstLine="640" w:firstLineChars="200"/>
        <w:jc w:val="left"/>
        <w:rPr>
          <w:rFonts w:hint="eastAsia" w:ascii="方正仿宋_GBK" w:hAnsi="方正仿宋_GBK" w:eastAsia="方正仿宋_GBK" w:cs="方正仿宋_GBK"/>
          <w:sz w:val="32"/>
          <w:szCs w:val="32"/>
          <w:shd w:val="clear" w:fill="FFFFFF"/>
          <w:lang w:eastAsia="zh-CN"/>
        </w:rPr>
      </w:pPr>
      <w:r>
        <w:rPr>
          <w:rStyle w:val="6"/>
          <w:rFonts w:hint="eastAsia" w:ascii="方正仿宋_GBK" w:hAnsi="方正仿宋_GBK" w:eastAsia="方正仿宋_GBK" w:cs="方正仿宋_GBK"/>
          <w:b w:val="0"/>
          <w:bCs w:val="0"/>
          <w:sz w:val="32"/>
          <w:szCs w:val="32"/>
          <w:shd w:val="clear" w:fill="FFFFFF"/>
          <w:lang w:val="en-US"/>
        </w:rPr>
        <w:t>1.</w:t>
      </w:r>
      <w:r>
        <w:rPr>
          <w:rStyle w:val="6"/>
          <w:rFonts w:hint="eastAsia" w:ascii="方正仿宋_GBK" w:hAnsi="方正仿宋_GBK" w:eastAsia="方正仿宋_GBK" w:cs="方正仿宋_GBK"/>
          <w:b w:val="0"/>
          <w:bCs w:val="0"/>
          <w:sz w:val="32"/>
          <w:szCs w:val="32"/>
          <w:shd w:val="clear" w:fill="FFFFFF"/>
          <w:lang w:eastAsia="zh-CN"/>
        </w:rPr>
        <w:t>收入情况。</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年度一般公共预算财政拨款收入</w:t>
      </w:r>
      <w:r>
        <w:rPr>
          <w:rFonts w:hint="eastAsia" w:ascii="方正仿宋_GBK" w:hAnsi="方正仿宋_GBK" w:eastAsia="方正仿宋_GBK" w:cs="方正仿宋_GBK"/>
          <w:sz w:val="32"/>
          <w:szCs w:val="32"/>
          <w:shd w:val="clear" w:fill="FFFFFF"/>
          <w:lang w:val="en-US"/>
        </w:rPr>
        <w:t>1,584.05</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567.18</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55.8%</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928.14</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141.5%</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w:t>
      </w:r>
      <w:r>
        <w:rPr>
          <w:rFonts w:hint="eastAsia" w:ascii="方正仿宋_GBK" w:hAnsi="方正仿宋_GBK" w:eastAsia="方正仿宋_GBK" w:cs="方正仿宋_GBK"/>
          <w:sz w:val="32"/>
          <w:szCs w:val="32"/>
          <w:shd w:val="clear" w:fill="FFFFFF"/>
          <w:lang w:eastAsia="zh-CN"/>
        </w:rPr>
        <w:t>此外，年初财政拨款结转和结余</w:t>
      </w:r>
      <w:r>
        <w:rPr>
          <w:rFonts w:hint="eastAsia" w:ascii="方正仿宋_GBK" w:hAnsi="方正仿宋_GBK" w:eastAsia="方正仿宋_GBK" w:cs="方正仿宋_GBK"/>
          <w:sz w:val="32"/>
          <w:szCs w:val="32"/>
          <w:shd w:val="clear" w:fill="FFFFFF"/>
          <w:lang w:val="en-US"/>
        </w:rPr>
        <w:t>14.56</w:t>
      </w:r>
      <w:r>
        <w:rPr>
          <w:rFonts w:hint="eastAsia" w:ascii="方正仿宋_GBK" w:hAnsi="方正仿宋_GBK" w:eastAsia="方正仿宋_GBK" w:cs="方正仿宋_GBK"/>
          <w:sz w:val="32"/>
          <w:szCs w:val="32"/>
          <w:shd w:val="clear" w:fill="FFFFFF"/>
          <w:lang w:eastAsia="zh-CN"/>
        </w:rPr>
        <w:t>万元。</w:t>
      </w:r>
    </w:p>
    <w:p>
      <w:pPr>
        <w:numPr>
          <w:ilvl w:val="0"/>
          <w:numId w:val="0"/>
        </w:numPr>
        <w:ind w:firstLine="640" w:firstLineChars="200"/>
        <w:jc w:val="left"/>
        <w:rPr>
          <w:rFonts w:hint="eastAsia" w:ascii="方正仿宋_GBK" w:hAnsi="方正仿宋_GBK" w:eastAsia="方正仿宋_GBK" w:cs="方正仿宋_GBK"/>
          <w:color w:val="FF0000"/>
          <w:sz w:val="32"/>
          <w:szCs w:val="32"/>
          <w:shd w:val="clear" w:fill="FFFFFF"/>
          <w:lang w:eastAsia="zh-CN"/>
        </w:rPr>
      </w:pPr>
      <w:r>
        <w:rPr>
          <w:rStyle w:val="6"/>
          <w:rFonts w:hint="eastAsia" w:ascii="方正仿宋_GBK" w:hAnsi="方正仿宋_GBK" w:eastAsia="方正仿宋_GBK" w:cs="方正仿宋_GBK"/>
          <w:b w:val="0"/>
          <w:bCs w:val="0"/>
          <w:sz w:val="32"/>
          <w:szCs w:val="32"/>
          <w:shd w:val="clear" w:fill="FFFFFF"/>
          <w:lang w:val="en-US"/>
        </w:rPr>
        <w:t>2.</w:t>
      </w:r>
      <w:r>
        <w:rPr>
          <w:rStyle w:val="6"/>
          <w:rFonts w:hint="eastAsia" w:ascii="方正仿宋_GBK" w:hAnsi="方正仿宋_GBK" w:eastAsia="方正仿宋_GBK" w:cs="方正仿宋_GBK"/>
          <w:b w:val="0"/>
          <w:bCs w:val="0"/>
          <w:sz w:val="32"/>
          <w:szCs w:val="32"/>
          <w:shd w:val="clear" w:fill="FFFFFF"/>
          <w:lang w:eastAsia="zh-CN"/>
        </w:rPr>
        <w:t>支出情况。</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年度一般公共预算财政拨款支出</w:t>
      </w:r>
      <w:r>
        <w:rPr>
          <w:rFonts w:hint="eastAsia" w:ascii="方正仿宋_GBK" w:hAnsi="方正仿宋_GBK" w:eastAsia="方正仿宋_GBK" w:cs="方正仿宋_GBK"/>
          <w:sz w:val="32"/>
          <w:szCs w:val="32"/>
          <w:shd w:val="clear" w:fill="FFFFFF"/>
          <w:lang w:val="en-US"/>
        </w:rPr>
        <w:t>1,598.61</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581.74</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57.2%</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942.70</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143.7%</w:t>
      </w:r>
      <w:r>
        <w:rPr>
          <w:rFonts w:hint="eastAsia" w:ascii="方正仿宋_GBK" w:hAnsi="方正仿宋_GBK" w:eastAsia="方正仿宋_GBK" w:cs="方正仿宋_GBK"/>
          <w:sz w:val="32"/>
          <w:szCs w:val="32"/>
          <w:shd w:val="clear" w:fill="FFFFFF"/>
          <w:lang w:eastAsia="zh-CN"/>
        </w:rPr>
        <w:t>。主要原因是</w:t>
      </w:r>
      <w:r>
        <w:rPr>
          <w:rStyle w:val="6"/>
          <w:rFonts w:hint="eastAsia" w:ascii="方正仿宋_GBK" w:hAnsi="方正仿宋_GBK" w:eastAsia="方正仿宋_GBK" w:cs="方正仿宋_GBK"/>
          <w:b w:val="0"/>
          <w:bCs w:val="0"/>
          <w:sz w:val="32"/>
          <w:szCs w:val="32"/>
          <w:lang w:val="en-US" w:eastAsia="zh-CN"/>
        </w:rPr>
        <w:t>增加了天保工程社会保险补助、铁峰山林场设施建设项目、国家森林公园森林防火工作经费、森林公园景观提升项目、国有林区基础设施设备维修更新项目。</w:t>
      </w:r>
    </w:p>
    <w:p>
      <w:pPr>
        <w:numPr>
          <w:ilvl w:val="0"/>
          <w:numId w:val="0"/>
        </w:numPr>
        <w:ind w:firstLine="640" w:firstLineChars="200"/>
        <w:jc w:val="left"/>
        <w:rPr>
          <w:rFonts w:hint="eastAsia" w:ascii="方正仿宋_GBK" w:hAnsi="方正仿宋_GBK" w:eastAsia="方正仿宋_GBK" w:cs="方正仿宋_GBK"/>
          <w:color w:val="FF0000"/>
          <w:sz w:val="32"/>
          <w:szCs w:val="32"/>
          <w:shd w:val="clear" w:fill="FFFFFF"/>
          <w:lang w:eastAsia="zh-CN"/>
        </w:rPr>
      </w:pPr>
      <w:r>
        <w:rPr>
          <w:rStyle w:val="6"/>
          <w:rFonts w:hint="eastAsia" w:ascii="方正仿宋_GBK" w:hAnsi="方正仿宋_GBK" w:eastAsia="方正仿宋_GBK" w:cs="方正仿宋_GBK"/>
          <w:b w:val="0"/>
          <w:bCs w:val="0"/>
          <w:sz w:val="32"/>
          <w:szCs w:val="32"/>
          <w:shd w:val="clear" w:fill="FFFFFF"/>
          <w:lang w:val="en-US"/>
        </w:rPr>
        <w:t>3.</w:t>
      </w:r>
      <w:r>
        <w:rPr>
          <w:rStyle w:val="6"/>
          <w:rFonts w:hint="eastAsia" w:ascii="方正仿宋_GBK" w:hAnsi="方正仿宋_GBK" w:eastAsia="方正仿宋_GBK" w:cs="方正仿宋_GBK"/>
          <w:b w:val="0"/>
          <w:bCs w:val="0"/>
          <w:sz w:val="32"/>
          <w:szCs w:val="32"/>
          <w:shd w:val="clear" w:fill="FFFFFF"/>
          <w:lang w:eastAsia="zh-CN"/>
        </w:rPr>
        <w:t>结转结余情况。</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年度年末一般公共预算财政拨款结转和结余</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eastAsia="zh-CN"/>
        </w:rPr>
        <w:t>0</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val="en-US" w:eastAsia="zh-CN"/>
        </w:rPr>
        <w:t>。</w:t>
      </w:r>
    </w:p>
    <w:p>
      <w:pPr>
        <w:numPr>
          <w:ilvl w:val="0"/>
          <w:numId w:val="0"/>
        </w:numPr>
        <w:ind w:firstLine="640" w:firstLineChars="200"/>
        <w:jc w:val="left"/>
        <w:rPr>
          <w:rFonts w:hint="default" w:ascii="方正仿宋_GBK" w:hAnsi="方正仿宋_GBK" w:eastAsia="方正仿宋_GBK" w:cs="方正仿宋_GBK"/>
          <w:color w:val="FF0000"/>
          <w:sz w:val="32"/>
          <w:szCs w:val="32"/>
          <w:shd w:val="clear" w:fill="FFFFFF"/>
          <w:lang w:val="en-US" w:eastAsia="zh-CN"/>
        </w:rPr>
      </w:pPr>
      <w:r>
        <w:rPr>
          <w:rFonts w:hint="eastAsia" w:ascii="方正仿宋_GBK" w:hAnsi="方正仿宋_GBK" w:eastAsia="方正仿宋_GBK" w:cs="方正仿宋_GBK"/>
          <w:color w:val="auto"/>
          <w:sz w:val="32"/>
          <w:szCs w:val="32"/>
          <w:shd w:val="clear" w:fill="FFFFFF"/>
          <w:lang w:val="en-US" w:eastAsia="zh-CN"/>
        </w:rPr>
        <w:t>4.</w:t>
      </w:r>
      <w:r>
        <w:rPr>
          <w:rStyle w:val="6"/>
          <w:rFonts w:hint="eastAsia" w:ascii="方正仿宋_GBK" w:hAnsi="方正仿宋_GBK" w:eastAsia="方正仿宋_GBK" w:cs="方正仿宋_GBK"/>
          <w:b w:val="0"/>
          <w:bCs w:val="0"/>
          <w:sz w:val="32"/>
          <w:szCs w:val="32"/>
          <w:shd w:val="clear" w:fill="FFFFFF"/>
          <w:lang w:eastAsia="zh-CN"/>
        </w:rPr>
        <w:t>比较情况。</w:t>
      </w:r>
      <w:r>
        <w:rPr>
          <w:rFonts w:hint="eastAsia" w:ascii="方正仿宋_GBK" w:hAnsi="方正仿宋_GBK" w:eastAsia="方正仿宋_GBK" w:cs="方正仿宋_GBK"/>
          <w:sz w:val="32"/>
          <w:szCs w:val="32"/>
          <w:shd w:val="clear" w:fill="FFFFFF"/>
          <w:lang w:eastAsia="zh-CN"/>
        </w:rPr>
        <w:t>本部门</w:t>
      </w: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年度一般公共预算财政拨款支出主要用于以下几个方面：</w:t>
      </w:r>
    </w:p>
    <w:p>
      <w:pPr>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shd w:val="clear" w:fill="FFFFFF"/>
          <w:lang w:eastAsia="zh-CN"/>
        </w:rPr>
        <w:t>（</w:t>
      </w:r>
      <w:r>
        <w:rPr>
          <w:rFonts w:hint="eastAsia" w:ascii="方正仿宋_GBK" w:hAnsi="方正仿宋_GBK" w:eastAsia="方正仿宋_GBK" w:cs="方正仿宋_GBK"/>
          <w:sz w:val="32"/>
          <w:szCs w:val="32"/>
          <w:shd w:val="clear" w:fill="FFFFFF"/>
          <w:lang w:val="en-US"/>
        </w:rPr>
        <w:t>1</w:t>
      </w:r>
      <w:r>
        <w:rPr>
          <w:rFonts w:hint="eastAsia" w:ascii="方正仿宋_GBK" w:hAnsi="方正仿宋_GBK" w:eastAsia="方正仿宋_GBK" w:cs="方正仿宋_GBK"/>
          <w:sz w:val="32"/>
          <w:szCs w:val="32"/>
          <w:shd w:val="clear" w:fill="FFFFFF"/>
          <w:lang w:eastAsia="zh-CN"/>
        </w:rPr>
        <w:t>）社会保障与就业支出</w:t>
      </w:r>
      <w:r>
        <w:rPr>
          <w:rFonts w:hint="eastAsia" w:ascii="方正仿宋_GBK" w:hAnsi="方正仿宋_GBK" w:eastAsia="方正仿宋_GBK" w:cs="方正仿宋_GBK"/>
          <w:sz w:val="32"/>
          <w:szCs w:val="32"/>
          <w:shd w:val="clear" w:fill="FFFFFF"/>
          <w:lang w:val="en-US"/>
        </w:rPr>
        <w:t>186.49</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11.7%</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117.72</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171.2%</w:t>
      </w:r>
      <w:r>
        <w:rPr>
          <w:rFonts w:hint="eastAsia" w:ascii="方正仿宋_GBK" w:hAnsi="方正仿宋_GBK" w:eastAsia="方正仿宋_GBK" w:cs="方正仿宋_GBK"/>
          <w:sz w:val="32"/>
          <w:szCs w:val="32"/>
          <w:shd w:val="clear" w:fill="FFFFFF"/>
          <w:lang w:eastAsia="zh-CN"/>
        </w:rPr>
        <w:t>，主要原因</w:t>
      </w:r>
      <w:r>
        <w:rPr>
          <w:rFonts w:hint="eastAsia" w:ascii="方正仿宋_GBK" w:hAnsi="方正仿宋_GBK" w:eastAsia="方正仿宋_GBK" w:cs="方正仿宋_GBK"/>
          <w:sz w:val="32"/>
          <w:szCs w:val="32"/>
        </w:rPr>
        <w:t>是追加的事业单位养老支出。</w:t>
      </w:r>
    </w:p>
    <w:p>
      <w:pPr>
        <w:ind w:firstLine="640" w:firstLineChars="200"/>
        <w:jc w:val="left"/>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eastAsia="zh-CN"/>
        </w:rPr>
        <w:t>（2）</w:t>
      </w:r>
      <w:r>
        <w:rPr>
          <w:rFonts w:hint="eastAsia" w:ascii="方正仿宋_GBK" w:hAnsi="方正仿宋_GBK" w:eastAsia="方正仿宋_GBK" w:cs="方正仿宋_GBK"/>
          <w:sz w:val="32"/>
          <w:szCs w:val="32"/>
          <w:shd w:val="clear" w:fill="FFFFFF"/>
          <w:lang w:eastAsia="zh-CN"/>
        </w:rPr>
        <w:t>卫生健康支出</w:t>
      </w:r>
      <w:r>
        <w:rPr>
          <w:rFonts w:hint="eastAsia" w:ascii="方正仿宋_GBK" w:hAnsi="方正仿宋_GBK" w:eastAsia="方正仿宋_GBK" w:cs="方正仿宋_GBK"/>
          <w:sz w:val="32"/>
          <w:szCs w:val="32"/>
          <w:shd w:val="clear" w:fill="FFFFFF"/>
          <w:lang w:val="en-US"/>
        </w:rPr>
        <w:t>19.91</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1.2%</w:t>
      </w:r>
      <w:r>
        <w:rPr>
          <w:rFonts w:hint="eastAsia" w:ascii="方正仿宋_GBK" w:hAnsi="方正仿宋_GBK" w:eastAsia="方正仿宋_GBK" w:cs="方正仿宋_GBK"/>
          <w:sz w:val="32"/>
          <w:szCs w:val="32"/>
          <w:shd w:val="clear" w:fill="FFFFFF"/>
          <w:lang w:eastAsia="zh-CN"/>
        </w:rPr>
        <w:t>，较年初预算数减少</w:t>
      </w:r>
      <w:r>
        <w:rPr>
          <w:rFonts w:hint="eastAsia" w:ascii="方正仿宋_GBK" w:hAnsi="方正仿宋_GBK" w:eastAsia="方正仿宋_GBK" w:cs="方正仿宋_GBK"/>
          <w:sz w:val="32"/>
          <w:szCs w:val="32"/>
          <w:shd w:val="clear" w:fill="FFFFFF"/>
          <w:lang w:val="en-US"/>
        </w:rPr>
        <w:t>24.40</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55.1%</w:t>
      </w:r>
      <w:r>
        <w:rPr>
          <w:rFonts w:hint="eastAsia" w:ascii="方正仿宋_GBK" w:hAnsi="方正仿宋_GBK" w:eastAsia="方正仿宋_GBK" w:cs="方正仿宋_GBK"/>
          <w:sz w:val="32"/>
          <w:szCs w:val="32"/>
          <w:shd w:val="clear" w:fill="FFFFFF"/>
          <w:lang w:eastAsia="zh-CN"/>
        </w:rPr>
        <w:t>，主要原因是财政追减了基本医疗保险缴费。</w:t>
      </w:r>
    </w:p>
    <w:p>
      <w:pPr>
        <w:ind w:firstLine="640" w:firstLineChars="200"/>
        <w:jc w:val="left"/>
        <w:rPr>
          <w:rFonts w:hint="eastAsia"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eastAsia="zh-CN"/>
        </w:rPr>
        <w:t>（3）</w:t>
      </w:r>
      <w:r>
        <w:rPr>
          <w:rFonts w:hint="eastAsia" w:ascii="方正仿宋_GBK" w:hAnsi="方正仿宋_GBK" w:eastAsia="方正仿宋_GBK" w:cs="方正仿宋_GBK"/>
          <w:sz w:val="32"/>
          <w:szCs w:val="32"/>
          <w:shd w:val="clear" w:fill="FFFFFF"/>
          <w:lang w:eastAsia="zh-CN"/>
        </w:rPr>
        <w:t>节能环保支出</w:t>
      </w:r>
      <w:r>
        <w:rPr>
          <w:rFonts w:hint="eastAsia" w:ascii="方正仿宋_GBK" w:hAnsi="方正仿宋_GBK" w:eastAsia="方正仿宋_GBK" w:cs="方正仿宋_GBK"/>
          <w:sz w:val="32"/>
          <w:szCs w:val="32"/>
          <w:shd w:val="clear" w:fill="FFFFFF"/>
          <w:lang w:val="en-US"/>
        </w:rPr>
        <w:t>72.24</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4.5%</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72.24</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eastAsia="zh-CN"/>
        </w:rPr>
        <w:t>100</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eastAsia="zh-CN"/>
        </w:rPr>
        <w:t>，主要原因是追加了社会保险补助和国有林场管护用房建设项目资金。</w:t>
      </w:r>
    </w:p>
    <w:p>
      <w:pPr>
        <w:ind w:firstLine="640" w:firstLineChars="200"/>
        <w:jc w:val="left"/>
        <w:rPr>
          <w:rFonts w:hint="default" w:ascii="方正仿宋_GBK" w:hAnsi="方正仿宋_GBK" w:eastAsia="方正仿宋_GBK" w:cs="方正仿宋_GBK"/>
          <w:color w:val="FF0000"/>
          <w:sz w:val="32"/>
          <w:szCs w:val="32"/>
          <w:shd w:val="clear" w:fill="FFFFFF"/>
          <w:lang w:val="en-US"/>
        </w:rPr>
      </w:pPr>
      <w:r>
        <w:rPr>
          <w:rFonts w:hint="eastAsia" w:ascii="方正仿宋_GBK" w:hAnsi="方正仿宋_GBK" w:eastAsia="方正仿宋_GBK" w:cs="方正仿宋_GBK"/>
          <w:color w:val="auto"/>
          <w:sz w:val="32"/>
          <w:szCs w:val="32"/>
          <w:shd w:val="clear" w:fill="FFFFFF"/>
          <w:lang w:val="en-US" w:eastAsia="zh-CN"/>
        </w:rPr>
        <w:t>（4）</w:t>
      </w:r>
      <w:r>
        <w:rPr>
          <w:rFonts w:hint="eastAsia" w:ascii="方正仿宋_GBK" w:hAnsi="方正仿宋_GBK" w:eastAsia="方正仿宋_GBK" w:cs="方正仿宋_GBK"/>
          <w:sz w:val="32"/>
          <w:szCs w:val="32"/>
          <w:shd w:val="clear" w:fill="FFFFFF"/>
          <w:lang w:eastAsia="zh-CN"/>
        </w:rPr>
        <w:t>农林水支出</w:t>
      </w:r>
      <w:r>
        <w:rPr>
          <w:rFonts w:hint="eastAsia" w:ascii="方正仿宋_GBK" w:hAnsi="方正仿宋_GBK" w:eastAsia="方正仿宋_GBK" w:cs="方正仿宋_GBK"/>
          <w:sz w:val="32"/>
          <w:szCs w:val="32"/>
          <w:shd w:val="clear" w:fill="FFFFFF"/>
          <w:lang w:val="en-US"/>
        </w:rPr>
        <w:t>1,286.38</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80.5%</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777.14</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152.62%</w:t>
      </w:r>
      <w:r>
        <w:rPr>
          <w:rFonts w:hint="eastAsia" w:ascii="方正仿宋_GBK" w:hAnsi="方正仿宋_GBK" w:eastAsia="方正仿宋_GBK" w:cs="方正仿宋_GBK"/>
          <w:sz w:val="32"/>
          <w:szCs w:val="32"/>
          <w:shd w:val="clear" w:fill="FFFFFF"/>
          <w:lang w:eastAsia="zh-CN"/>
        </w:rPr>
        <w:t>，主要原因是追加了超额绩效及健康休养费，国土绿化提升项目，生态效益补偿资金，</w:t>
      </w:r>
      <w:r>
        <w:rPr>
          <w:rFonts w:hint="eastAsia" w:ascii="方正仿宋_GBK" w:hAnsi="方正仿宋_GBK" w:eastAsia="方正仿宋_GBK" w:cs="方正仿宋_GBK"/>
          <w:sz w:val="32"/>
          <w:szCs w:val="32"/>
          <w:shd w:val="clear" w:fill="FFFFFF"/>
          <w:lang w:val="en-US" w:eastAsia="zh-CN"/>
        </w:rPr>
        <w:t>2020年度松材线虫病防控，森林公园防火工作经费及森林公园景观提升项目。</w:t>
      </w:r>
    </w:p>
    <w:p>
      <w:pPr>
        <w:ind w:firstLine="640" w:firstLineChars="200"/>
        <w:jc w:val="left"/>
        <w:rPr>
          <w:rFonts w:hint="eastAsia" w:ascii="方正仿宋_GBK" w:hAnsi="方正仿宋_GBK" w:eastAsia="方正仿宋_GBK" w:cs="方正仿宋_GBK"/>
          <w:color w:val="FF0000"/>
          <w:sz w:val="32"/>
          <w:szCs w:val="32"/>
          <w:shd w:val="clear" w:fill="FFFFFF"/>
          <w:lang w:val="en-US" w:eastAsia="zh-CN"/>
        </w:rPr>
      </w:pPr>
      <w:r>
        <w:rPr>
          <w:rFonts w:hint="eastAsia" w:ascii="方正仿宋_GBK" w:hAnsi="方正仿宋_GBK" w:eastAsia="方正仿宋_GBK" w:cs="方正仿宋_GBK"/>
          <w:color w:val="auto"/>
          <w:sz w:val="32"/>
          <w:szCs w:val="32"/>
          <w:shd w:val="clear" w:fill="FFFFFF"/>
          <w:lang w:val="en-US" w:eastAsia="zh-CN"/>
        </w:rPr>
        <w:t>（5）</w:t>
      </w:r>
      <w:r>
        <w:rPr>
          <w:rFonts w:hint="eastAsia" w:ascii="方正仿宋_GBK" w:hAnsi="方正仿宋_GBK" w:eastAsia="方正仿宋_GBK" w:cs="方正仿宋_GBK"/>
          <w:sz w:val="32"/>
          <w:szCs w:val="32"/>
          <w:shd w:val="clear" w:fill="FFFFFF"/>
          <w:lang w:eastAsia="zh-CN"/>
        </w:rPr>
        <w:t>住房保障支出</w:t>
      </w:r>
      <w:r>
        <w:rPr>
          <w:rFonts w:hint="eastAsia" w:ascii="方正仿宋_GBK" w:hAnsi="方正仿宋_GBK" w:eastAsia="方正仿宋_GBK" w:cs="方正仿宋_GBK"/>
          <w:sz w:val="32"/>
          <w:szCs w:val="32"/>
          <w:shd w:val="clear" w:fill="FFFFFF"/>
          <w:lang w:val="en-US"/>
        </w:rPr>
        <w:t>33.59</w:t>
      </w:r>
      <w:r>
        <w:rPr>
          <w:rFonts w:hint="eastAsia" w:ascii="方正仿宋_GBK" w:hAnsi="方正仿宋_GBK" w:eastAsia="方正仿宋_GBK" w:cs="方正仿宋_GBK"/>
          <w:sz w:val="32"/>
          <w:szCs w:val="32"/>
          <w:shd w:val="clear" w:fill="FFFFFF"/>
          <w:lang w:eastAsia="zh-CN"/>
        </w:rPr>
        <w:t>万元，占</w:t>
      </w:r>
      <w:r>
        <w:rPr>
          <w:rFonts w:hint="eastAsia" w:ascii="方正仿宋_GBK" w:hAnsi="方正仿宋_GBK" w:eastAsia="方正仿宋_GBK" w:cs="方正仿宋_GBK"/>
          <w:sz w:val="32"/>
          <w:szCs w:val="32"/>
          <w:shd w:val="clear" w:fill="FFFFFF"/>
          <w:lang w:val="en-US"/>
        </w:rPr>
        <w:t>2.1%</w:t>
      </w:r>
      <w:r>
        <w:rPr>
          <w:rFonts w:hint="eastAsia" w:ascii="方正仿宋_GBK" w:hAnsi="方正仿宋_GBK" w:eastAsia="方正仿宋_GBK" w:cs="方正仿宋_GBK"/>
          <w:sz w:val="32"/>
          <w:szCs w:val="32"/>
          <w:shd w:val="clear" w:fill="FFFFFF"/>
          <w:lang w:eastAsia="zh-CN"/>
        </w:rPr>
        <w:t>，较年初预算数增加</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0%</w:t>
      </w:r>
      <w:r>
        <w:rPr>
          <w:rFonts w:hint="eastAsia" w:ascii="方正仿宋_GBK" w:hAnsi="方正仿宋_GBK" w:eastAsia="方正仿宋_GBK" w:cs="方正仿宋_GBK"/>
          <w:sz w:val="32"/>
          <w:szCs w:val="32"/>
          <w:shd w:val="clear" w:fill="FFFFFF"/>
          <w:lang w:val="en-US" w:eastAsia="zh-CN"/>
        </w:rPr>
        <w:t>。</w:t>
      </w:r>
    </w:p>
    <w:p>
      <w:pPr>
        <w:numPr>
          <w:ilvl w:val="0"/>
          <w:numId w:val="0"/>
        </w:numPr>
        <w:jc w:val="left"/>
        <w:rPr>
          <w:rStyle w:val="6"/>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sz w:val="32"/>
          <w:szCs w:val="32"/>
          <w:lang w:val="en-US" w:eastAsia="zh-CN"/>
        </w:rPr>
        <w:t>（四）</w:t>
      </w:r>
      <w:r>
        <w:rPr>
          <w:rStyle w:val="6"/>
          <w:rFonts w:hint="eastAsia" w:ascii="方正楷体_GBK" w:hAnsi="方正楷体_GBK" w:eastAsia="方正楷体_GBK" w:cs="方正楷体_GBK"/>
          <w:b w:val="0"/>
          <w:bCs w:val="0"/>
          <w:sz w:val="32"/>
          <w:szCs w:val="32"/>
          <w:shd w:val="clear" w:fill="FFFFFF"/>
          <w:lang w:eastAsia="zh-CN"/>
        </w:rPr>
        <w:t>一般公共预算财政拨款基本支出决算情况说明。</w:t>
      </w:r>
    </w:p>
    <w:p>
      <w:pPr>
        <w:ind w:firstLine="640" w:firstLineChars="200"/>
        <w:jc w:val="left"/>
        <w:rPr>
          <w:rFonts w:hint="eastAsia" w:ascii="方正仿宋_GBK" w:hAnsi="方正仿宋_GBK" w:eastAsia="方正仿宋_GBK" w:cs="方正仿宋_GBK"/>
          <w:color w:val="FF0000"/>
          <w:sz w:val="32"/>
          <w:szCs w:val="32"/>
          <w:shd w:val="clear" w:fill="FFFFFF"/>
          <w:lang w:eastAsia="zh-CN"/>
        </w:rPr>
      </w:pP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年度一般公共财政拨款基本支出</w:t>
      </w:r>
      <w:r>
        <w:rPr>
          <w:rFonts w:hint="eastAsia" w:ascii="方正仿宋_GBK" w:hAnsi="方正仿宋_GBK" w:eastAsia="方正仿宋_GBK" w:cs="方正仿宋_GBK"/>
          <w:sz w:val="32"/>
          <w:szCs w:val="32"/>
          <w:shd w:val="clear" w:fill="FFFFFF"/>
          <w:lang w:val="en-US"/>
        </w:rPr>
        <w:t>959.09</w:t>
      </w:r>
      <w:r>
        <w:rPr>
          <w:rFonts w:hint="eastAsia" w:ascii="方正仿宋_GBK" w:hAnsi="方正仿宋_GBK" w:eastAsia="方正仿宋_GBK" w:cs="方正仿宋_GBK"/>
          <w:sz w:val="32"/>
          <w:szCs w:val="32"/>
          <w:shd w:val="clear" w:fill="FFFFFF"/>
          <w:lang w:eastAsia="zh-CN"/>
        </w:rPr>
        <w:t>万元。其中：人员经费</w:t>
      </w:r>
      <w:r>
        <w:rPr>
          <w:rFonts w:hint="eastAsia" w:ascii="方正仿宋_GBK" w:hAnsi="方正仿宋_GBK" w:eastAsia="方正仿宋_GBK" w:cs="方正仿宋_GBK"/>
          <w:sz w:val="32"/>
          <w:szCs w:val="32"/>
          <w:shd w:val="clear" w:fill="FFFFFF"/>
          <w:lang w:val="en-US"/>
        </w:rPr>
        <w:t>833.63</w:t>
      </w:r>
      <w:r>
        <w:rPr>
          <w:rFonts w:hint="eastAsia" w:ascii="方正仿宋_GBK" w:hAnsi="方正仿宋_GBK" w:eastAsia="方正仿宋_GBK" w:cs="方正仿宋_GBK"/>
          <w:sz w:val="32"/>
          <w:szCs w:val="32"/>
          <w:shd w:val="clear" w:fill="FFFFFF"/>
          <w:lang w:eastAsia="zh-CN"/>
        </w:rPr>
        <w:t>万元，较上年决算数增加</w:t>
      </w:r>
      <w:r>
        <w:rPr>
          <w:rFonts w:hint="eastAsia" w:ascii="方正仿宋_GBK" w:hAnsi="方正仿宋_GBK" w:eastAsia="方正仿宋_GBK" w:cs="方正仿宋_GBK"/>
          <w:sz w:val="32"/>
          <w:szCs w:val="32"/>
          <w:shd w:val="clear" w:fill="FFFFFF"/>
          <w:lang w:val="en-US"/>
        </w:rPr>
        <w:t>52.71</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6.7%</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rPr>
        <w:t>按照对事业单位保障政策，增加对事业单位人员正常待遇的保障，相应支出的增加</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fill="FFFFFF"/>
          <w:lang w:eastAsia="zh-CN"/>
        </w:rPr>
        <w:t>人员经费用途主要包括</w:t>
      </w:r>
      <w:r>
        <w:rPr>
          <w:rFonts w:hint="eastAsia" w:ascii="方正仿宋_GBK" w:hAnsi="方正仿宋_GBK" w:eastAsia="方正仿宋_GBK" w:cs="方正仿宋_GBK"/>
          <w:sz w:val="32"/>
          <w:szCs w:val="32"/>
        </w:rPr>
        <w:t>基本工资、津贴补贴、绩效工资、机关事业单位基本养老保险缴费、职业年金缴费、职工基本医疗保险缴费、其他社会保障缴费、住房公积金和其他个人和家庭的补助支出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fill="FFFFFF"/>
          <w:lang w:eastAsia="zh-CN"/>
        </w:rPr>
        <w:t>公用经费</w:t>
      </w:r>
      <w:r>
        <w:rPr>
          <w:rFonts w:hint="eastAsia" w:ascii="方正仿宋_GBK" w:hAnsi="方正仿宋_GBK" w:eastAsia="方正仿宋_GBK" w:cs="方正仿宋_GBK"/>
          <w:sz w:val="32"/>
          <w:szCs w:val="32"/>
          <w:shd w:val="clear" w:fill="FFFFFF"/>
          <w:lang w:val="en-US"/>
        </w:rPr>
        <w:t>125.47</w:t>
      </w:r>
      <w:r>
        <w:rPr>
          <w:rFonts w:hint="eastAsia" w:ascii="方正仿宋_GBK" w:hAnsi="方正仿宋_GBK" w:eastAsia="方正仿宋_GBK" w:cs="方正仿宋_GBK"/>
          <w:sz w:val="32"/>
          <w:szCs w:val="32"/>
          <w:shd w:val="clear" w:fill="FFFFFF"/>
          <w:lang w:eastAsia="zh-CN"/>
        </w:rPr>
        <w:t>万元，较上年决算数减少</w:t>
      </w:r>
      <w:r>
        <w:rPr>
          <w:rFonts w:hint="eastAsia" w:ascii="方正仿宋_GBK" w:hAnsi="方正仿宋_GBK" w:eastAsia="方正仿宋_GBK" w:cs="方正仿宋_GBK"/>
          <w:sz w:val="32"/>
          <w:szCs w:val="32"/>
          <w:shd w:val="clear" w:fill="FFFFFF"/>
          <w:lang w:val="en-US"/>
        </w:rPr>
        <w:t>8.04</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6%</w:t>
      </w:r>
      <w:r>
        <w:rPr>
          <w:rFonts w:hint="eastAsia" w:ascii="方正仿宋_GBK" w:hAnsi="方正仿宋_GBK" w:eastAsia="方正仿宋_GBK" w:cs="方正仿宋_GBK"/>
          <w:sz w:val="32"/>
          <w:szCs w:val="32"/>
          <w:shd w:val="clear" w:fill="FFFFFF"/>
          <w:lang w:eastAsia="zh-CN"/>
        </w:rPr>
        <w:t>，主要原因是</w:t>
      </w:r>
      <w:r>
        <w:rPr>
          <w:rFonts w:hint="eastAsia" w:ascii="方正仿宋_GBK" w:hAnsi="方正仿宋_GBK" w:eastAsia="方正仿宋_GBK" w:cs="方正仿宋_GBK"/>
          <w:sz w:val="32"/>
          <w:szCs w:val="32"/>
        </w:rPr>
        <w:t>由于疫情影响公用经费支出减少引起的商品服务支出下降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fill="FFFFFF"/>
          <w:lang w:eastAsia="zh-CN"/>
        </w:rPr>
        <w:t>公用经费用途主要包括</w:t>
      </w:r>
      <w:r>
        <w:rPr>
          <w:rFonts w:hint="eastAsia" w:ascii="方正仿宋_GBK" w:hAnsi="方正仿宋_GBK" w:eastAsia="方正仿宋_GBK" w:cs="方正仿宋_GBK"/>
          <w:sz w:val="32"/>
          <w:szCs w:val="32"/>
        </w:rPr>
        <w:t>办公费、印刷费、咨询费、手续费、水电费、邮电费、物业管理费、差旅费、因公出国（境）费用、维修（护）费、租赁费、会议费、培训费、公务接待费、专用材料费、劳务费、委托业务费、工会经费、福利费、公务用车运行维护费、其他交通费、税金及附加费用以及其他商品和服务支出</w:t>
      </w:r>
      <w:r>
        <w:rPr>
          <w:rFonts w:hint="eastAsia" w:ascii="方正仿宋_GBK" w:hAnsi="方正仿宋_GBK" w:eastAsia="方正仿宋_GBK" w:cs="方正仿宋_GBK"/>
          <w:sz w:val="32"/>
          <w:szCs w:val="32"/>
          <w:lang w:eastAsia="zh-CN"/>
        </w:rPr>
        <w:t>。</w:t>
      </w:r>
    </w:p>
    <w:p>
      <w:pPr>
        <w:numPr>
          <w:ilvl w:val="0"/>
          <w:numId w:val="0"/>
        </w:numPr>
        <w:ind w:leftChars="0"/>
        <w:jc w:val="left"/>
        <w:rPr>
          <w:rStyle w:val="6"/>
          <w:rFonts w:hint="eastAsia" w:ascii="方正楷体_GBK" w:hAnsi="方正楷体_GBK" w:eastAsia="方正楷体_GBK" w:cs="方正楷体_GBK"/>
          <w:b w:val="0"/>
          <w:bCs w:val="0"/>
          <w:sz w:val="32"/>
          <w:szCs w:val="32"/>
          <w:shd w:val="clear" w:fill="FFFFFF"/>
          <w:lang w:eastAsia="zh-CN"/>
        </w:rPr>
      </w:pPr>
      <w:r>
        <w:rPr>
          <w:rStyle w:val="6"/>
          <w:rFonts w:hint="eastAsia" w:ascii="方正楷体_GBK" w:hAnsi="方正楷体_GBK" w:eastAsia="方正楷体_GBK" w:cs="方正楷体_GBK"/>
          <w:b w:val="0"/>
          <w:bCs w:val="0"/>
          <w:sz w:val="32"/>
          <w:szCs w:val="32"/>
          <w:shd w:val="clear" w:fill="FFFFFF"/>
          <w:lang w:eastAsia="zh-CN"/>
        </w:rPr>
        <w:t>（五）政府性基金预算收支决算情况说明。</w:t>
      </w:r>
    </w:p>
    <w:p>
      <w:pPr>
        <w:numPr>
          <w:ilvl w:val="0"/>
          <w:numId w:val="0"/>
        </w:numPr>
        <w:ind w:leftChars="0" w:firstLine="640" w:firstLineChars="200"/>
        <w:jc w:val="left"/>
        <w:rPr>
          <w:rStyle w:val="6"/>
          <w:rFonts w:hint="eastAsia" w:ascii="方正仿宋_GBK" w:hAnsi="方正仿宋_GBK" w:eastAsia="方正仿宋_GBK" w:cs="方正仿宋_GBK"/>
          <w:b w:val="0"/>
          <w:bCs w:val="0"/>
          <w:sz w:val="32"/>
          <w:szCs w:val="32"/>
          <w:shd w:val="clear" w:fill="FFFFFF"/>
          <w:lang w:eastAsia="zh-CN"/>
        </w:rPr>
      </w:pPr>
      <w:r>
        <w:rPr>
          <w:rStyle w:val="6"/>
          <w:rFonts w:hint="eastAsia" w:ascii="方正仿宋_GBK" w:hAnsi="方正仿宋_GBK" w:eastAsia="方正仿宋_GBK" w:cs="方正仿宋_GBK"/>
          <w:b w:val="0"/>
          <w:bCs w:val="0"/>
          <w:sz w:val="32"/>
          <w:szCs w:val="32"/>
          <w:shd w:val="clear" w:fill="FFFFFF"/>
          <w:lang w:eastAsia="zh-CN"/>
        </w:rPr>
        <w:t>2021年度政府性基金预算财政拨款年初结转结余0.00万元，年末结转结余0.00万元。本年收入0.00万元，较上年决算数减少43.47万元，下降100%，主要原因是本年度没有政府性基金预算收入。本年支出0.00万元，较上年决算数减少43.47万元，下降100%，主要原因是无政府性基金项目支出。</w:t>
      </w:r>
    </w:p>
    <w:p>
      <w:pPr>
        <w:numPr>
          <w:ilvl w:val="0"/>
          <w:numId w:val="3"/>
        </w:numPr>
        <w:jc w:val="left"/>
        <w:rPr>
          <w:rStyle w:val="6"/>
          <w:rFonts w:hint="eastAsia" w:ascii="方正楷体_GBK" w:hAnsi="方正楷体_GBK" w:eastAsia="方正楷体_GBK" w:cs="方正楷体_GBK"/>
          <w:b w:val="0"/>
          <w:bCs w:val="0"/>
          <w:sz w:val="32"/>
          <w:szCs w:val="32"/>
          <w:shd w:val="clear" w:fill="FFFFFF"/>
          <w:lang w:eastAsia="zh-CN"/>
        </w:rPr>
      </w:pPr>
      <w:r>
        <w:rPr>
          <w:rStyle w:val="6"/>
          <w:rFonts w:hint="eastAsia" w:ascii="方正楷体_GBK" w:hAnsi="方正楷体_GBK" w:eastAsia="方正楷体_GBK" w:cs="方正楷体_GBK"/>
          <w:b w:val="0"/>
          <w:bCs w:val="0"/>
          <w:sz w:val="32"/>
          <w:szCs w:val="32"/>
          <w:shd w:val="clear" w:fill="FFFFFF"/>
          <w:lang w:eastAsia="zh-CN"/>
        </w:rPr>
        <w:t>国有资本经营预算财政拨款支出决算情况说明。</w:t>
      </w:r>
    </w:p>
    <w:p>
      <w:pPr>
        <w:numPr>
          <w:ilvl w:val="0"/>
          <w:numId w:val="0"/>
        </w:numPr>
        <w:ind w:firstLine="640" w:firstLineChars="200"/>
        <w:jc w:val="left"/>
        <w:rPr>
          <w:rStyle w:val="6"/>
          <w:rFonts w:hint="eastAsia" w:ascii="方正仿宋_GBK" w:hAnsi="方正仿宋_GBK" w:eastAsia="方正仿宋_GBK" w:cs="方正仿宋_GBK"/>
          <w:b w:val="0"/>
          <w:bCs w:val="0"/>
          <w:sz w:val="32"/>
          <w:szCs w:val="32"/>
          <w:shd w:val="clear" w:fill="FFFFFF"/>
          <w:lang w:eastAsia="zh-CN"/>
        </w:rPr>
      </w:pPr>
      <w:r>
        <w:rPr>
          <w:rStyle w:val="6"/>
          <w:rFonts w:hint="eastAsia" w:ascii="方正仿宋_GBK" w:hAnsi="方正仿宋_GBK" w:eastAsia="方正仿宋_GBK" w:cs="方正仿宋_GBK"/>
          <w:b w:val="0"/>
          <w:bCs w:val="0"/>
          <w:sz w:val="32"/>
          <w:szCs w:val="32"/>
          <w:shd w:val="clear" w:fill="FFFFFF"/>
          <w:lang w:eastAsia="zh-CN"/>
        </w:rPr>
        <w:t>本单位2021年度无国有资本经营预算财政拨款支出。</w:t>
      </w:r>
    </w:p>
    <w:p>
      <w:pPr>
        <w:numPr>
          <w:ilvl w:val="0"/>
          <w:numId w:val="0"/>
        </w:numPr>
        <w:jc w:val="left"/>
        <w:rPr>
          <w:rStyle w:val="6"/>
          <w:rFonts w:hint="eastAsia" w:ascii="方正黑体_GBK" w:hAnsi="方正黑体_GBK" w:eastAsia="方正黑体_GBK" w:cs="方正黑体_GBK"/>
          <w:b w:val="0"/>
          <w:bCs w:val="0"/>
          <w:sz w:val="32"/>
          <w:szCs w:val="32"/>
          <w:shd w:val="clear" w:fill="FFFFFF"/>
          <w:lang w:eastAsia="zh-CN"/>
        </w:rPr>
      </w:pPr>
      <w:r>
        <w:rPr>
          <w:rStyle w:val="6"/>
          <w:rFonts w:hint="eastAsia" w:ascii="方正黑体_GBK" w:hAnsi="方正黑体_GBK" w:eastAsia="方正黑体_GBK" w:cs="方正黑体_GBK"/>
          <w:b w:val="0"/>
          <w:bCs w:val="0"/>
          <w:sz w:val="32"/>
          <w:szCs w:val="32"/>
          <w:shd w:val="clear" w:fill="FFFFFF"/>
          <w:lang w:eastAsia="zh-CN"/>
        </w:rPr>
        <w:t>三、“三公”经费情况说明</w:t>
      </w:r>
    </w:p>
    <w:p>
      <w:pPr>
        <w:numPr>
          <w:ilvl w:val="0"/>
          <w:numId w:val="0"/>
        </w:numPr>
        <w:jc w:val="left"/>
        <w:rPr>
          <w:rStyle w:val="6"/>
          <w:rFonts w:hint="eastAsia" w:ascii="方正楷体_GBK" w:hAnsi="方正楷体_GBK" w:eastAsia="方正楷体_GBK" w:cs="方正楷体_GBK"/>
          <w:b w:val="0"/>
          <w:bCs w:val="0"/>
          <w:sz w:val="32"/>
          <w:szCs w:val="32"/>
          <w:shd w:val="clear" w:fill="FFFFFF"/>
          <w:lang w:eastAsia="zh-CN"/>
        </w:rPr>
      </w:pPr>
      <w:r>
        <w:rPr>
          <w:rStyle w:val="6"/>
          <w:rFonts w:hint="eastAsia" w:ascii="方正楷体_GBK" w:hAnsi="方正楷体_GBK" w:eastAsia="方正楷体_GBK" w:cs="方正楷体_GBK"/>
          <w:b w:val="0"/>
          <w:bCs w:val="0"/>
          <w:sz w:val="32"/>
          <w:szCs w:val="32"/>
          <w:shd w:val="clear" w:fill="FFFFFF"/>
          <w:lang w:eastAsia="zh-CN"/>
        </w:rPr>
        <w:t>（一）“三公”经费支出总体情况说明。</w:t>
      </w:r>
    </w:p>
    <w:p>
      <w:pPr>
        <w:numPr>
          <w:ilvl w:val="0"/>
          <w:numId w:val="0"/>
        </w:numPr>
        <w:ind w:firstLine="640" w:firstLineChars="200"/>
        <w:jc w:val="left"/>
        <w:rPr>
          <w:rStyle w:val="6"/>
          <w:rFonts w:hint="eastAsia" w:ascii="方正仿宋_GBK" w:hAnsi="方正仿宋_GBK" w:eastAsia="方正仿宋_GBK" w:cs="方正仿宋_GBK"/>
          <w:b w:val="0"/>
          <w:bCs w:val="0"/>
          <w:sz w:val="32"/>
          <w:szCs w:val="32"/>
          <w:shd w:val="clear" w:fill="FFFFFF"/>
          <w:lang w:eastAsia="zh-CN"/>
        </w:rPr>
      </w:pP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eastAsia="zh-CN"/>
        </w:rPr>
        <w:t>三公</w:t>
      </w:r>
      <w:r>
        <w:rPr>
          <w:rFonts w:hint="eastAsia" w:ascii="方正仿宋_GBK" w:hAnsi="方正仿宋_GBK" w:eastAsia="方正仿宋_GBK" w:cs="方正仿宋_GBK"/>
          <w:sz w:val="32"/>
          <w:szCs w:val="32"/>
          <w:shd w:val="clear" w:fill="FFFFFF"/>
          <w:lang w:val="en-US"/>
        </w:rPr>
        <w:t>”</w:t>
      </w:r>
      <w:r>
        <w:rPr>
          <w:rFonts w:hint="eastAsia" w:ascii="方正仿宋_GBK" w:hAnsi="方正仿宋_GBK" w:eastAsia="方正仿宋_GBK" w:cs="方正仿宋_GBK"/>
          <w:sz w:val="32"/>
          <w:szCs w:val="32"/>
          <w:shd w:val="clear" w:fill="FFFFFF"/>
          <w:lang w:eastAsia="zh-CN"/>
        </w:rPr>
        <w:t>经费支出共计</w:t>
      </w:r>
      <w:r>
        <w:rPr>
          <w:rFonts w:hint="eastAsia" w:ascii="方正仿宋_GBK" w:hAnsi="方正仿宋_GBK" w:eastAsia="方正仿宋_GBK" w:cs="方正仿宋_GBK"/>
          <w:sz w:val="32"/>
          <w:szCs w:val="32"/>
          <w:shd w:val="clear" w:fill="FFFFFF"/>
          <w:lang w:val="en-US"/>
        </w:rPr>
        <w:t>6.45</w:t>
      </w:r>
      <w:r>
        <w:rPr>
          <w:rFonts w:hint="eastAsia" w:ascii="方正仿宋_GBK" w:hAnsi="方正仿宋_GBK" w:eastAsia="方正仿宋_GBK" w:cs="方正仿宋_GBK"/>
          <w:sz w:val="32"/>
          <w:szCs w:val="32"/>
          <w:shd w:val="clear" w:fill="FFFFFF"/>
          <w:lang w:eastAsia="zh-CN"/>
        </w:rPr>
        <w:t>万元，较年初预算数减少</w:t>
      </w:r>
      <w:r>
        <w:rPr>
          <w:rFonts w:hint="eastAsia" w:ascii="方正仿宋_GBK" w:hAnsi="方正仿宋_GBK" w:eastAsia="方正仿宋_GBK" w:cs="方正仿宋_GBK"/>
          <w:sz w:val="32"/>
          <w:szCs w:val="32"/>
          <w:shd w:val="clear" w:fill="FFFFFF"/>
          <w:lang w:val="en-US"/>
        </w:rPr>
        <w:t>3.85</w:t>
      </w:r>
      <w:r>
        <w:rPr>
          <w:rFonts w:hint="eastAsia" w:ascii="方正仿宋_GBK" w:hAnsi="方正仿宋_GBK" w:eastAsia="方正仿宋_GBK" w:cs="方正仿宋_GBK"/>
          <w:sz w:val="32"/>
          <w:szCs w:val="32"/>
          <w:shd w:val="clear" w:fill="FFFFFF"/>
          <w:lang w:eastAsia="zh-CN"/>
        </w:rPr>
        <w:t>万元，下降</w:t>
      </w:r>
      <w:r>
        <w:rPr>
          <w:rFonts w:hint="eastAsia" w:ascii="方正仿宋_GBK" w:hAnsi="方正仿宋_GBK" w:eastAsia="方正仿宋_GBK" w:cs="方正仿宋_GBK"/>
          <w:sz w:val="32"/>
          <w:szCs w:val="32"/>
          <w:shd w:val="clear" w:fill="FFFFFF"/>
          <w:lang w:val="en-US"/>
        </w:rPr>
        <w:t>37.4%</w:t>
      </w:r>
      <w:r>
        <w:rPr>
          <w:rFonts w:hint="eastAsia" w:ascii="方正仿宋_GBK" w:hAnsi="方正仿宋_GBK" w:eastAsia="方正仿宋_GBK" w:cs="方正仿宋_GBK"/>
          <w:sz w:val="32"/>
          <w:szCs w:val="32"/>
          <w:shd w:val="clear" w:fill="FFFFFF"/>
          <w:lang w:eastAsia="zh-CN"/>
        </w:rPr>
        <w:t>，主要原因是</w:t>
      </w:r>
      <w:r>
        <w:rPr>
          <w:rFonts w:ascii="方正仿宋_GBK" w:hAnsi="方正仿宋_GBK" w:eastAsia="方正仿宋_GBK" w:cs="方正仿宋_GBK"/>
          <w:sz w:val="32"/>
          <w:szCs w:val="32"/>
        </w:rPr>
        <w:t>一是认真贯彻落实中央八项规定精神，按照只减不增的要求从严控制“三公”经费，二是严格落实公车使用规定，公车运行维护成本下降</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shd w:val="clear" w:fill="FFFFFF"/>
          <w:lang w:eastAsia="zh-CN"/>
        </w:rPr>
        <w:t>较上年支出数增加</w:t>
      </w:r>
      <w:r>
        <w:rPr>
          <w:rFonts w:hint="eastAsia" w:ascii="方正仿宋_GBK" w:hAnsi="方正仿宋_GBK" w:eastAsia="方正仿宋_GBK" w:cs="方正仿宋_GBK"/>
          <w:sz w:val="32"/>
          <w:szCs w:val="32"/>
          <w:shd w:val="clear" w:fill="FFFFFF"/>
          <w:lang w:val="en-US"/>
        </w:rPr>
        <w:t>0.57</w:t>
      </w:r>
      <w:r>
        <w:rPr>
          <w:rFonts w:hint="eastAsia" w:ascii="方正仿宋_GBK" w:hAnsi="方正仿宋_GBK" w:eastAsia="方正仿宋_GBK" w:cs="方正仿宋_GBK"/>
          <w:sz w:val="32"/>
          <w:szCs w:val="32"/>
          <w:shd w:val="clear" w:fill="FFFFFF"/>
          <w:lang w:eastAsia="zh-CN"/>
        </w:rPr>
        <w:t>万元，增长</w:t>
      </w:r>
      <w:r>
        <w:rPr>
          <w:rFonts w:hint="eastAsia" w:ascii="方正仿宋_GBK" w:hAnsi="方正仿宋_GBK" w:eastAsia="方正仿宋_GBK" w:cs="方正仿宋_GBK"/>
          <w:sz w:val="32"/>
          <w:szCs w:val="32"/>
          <w:shd w:val="clear" w:fill="FFFFFF"/>
          <w:lang w:val="en-US"/>
        </w:rPr>
        <w:t>9.7%</w:t>
      </w:r>
      <w:r>
        <w:rPr>
          <w:rFonts w:hint="eastAsia" w:ascii="方正仿宋_GBK" w:hAnsi="方正仿宋_GBK" w:eastAsia="方正仿宋_GBK" w:cs="方正仿宋_GBK"/>
          <w:sz w:val="32"/>
          <w:szCs w:val="32"/>
          <w:shd w:val="clear" w:fill="FFFFFF"/>
          <w:lang w:eastAsia="zh-CN"/>
        </w:rPr>
        <w:t>，主要原因是有少量的公务接待支出。</w:t>
      </w:r>
    </w:p>
    <w:p>
      <w:pPr>
        <w:numPr>
          <w:ilvl w:val="0"/>
          <w:numId w:val="4"/>
        </w:numPr>
        <w:jc w:val="left"/>
        <w:rPr>
          <w:rStyle w:val="6"/>
          <w:rFonts w:hint="eastAsia" w:ascii="方正楷体_GBK" w:hAnsi="方正楷体_GBK" w:eastAsia="方正楷体_GBK" w:cs="方正楷体_GBK"/>
          <w:b w:val="0"/>
          <w:bCs w:val="0"/>
          <w:sz w:val="32"/>
          <w:szCs w:val="32"/>
          <w:shd w:val="clear" w:fill="FFFFFF"/>
          <w:lang w:eastAsia="zh-CN"/>
        </w:rPr>
      </w:pPr>
      <w:r>
        <w:rPr>
          <w:rStyle w:val="6"/>
          <w:rFonts w:hint="eastAsia" w:ascii="方正楷体_GBK" w:hAnsi="方正楷体_GBK" w:eastAsia="方正楷体_GBK" w:cs="方正楷体_GBK"/>
          <w:b w:val="0"/>
          <w:bCs w:val="0"/>
          <w:sz w:val="32"/>
          <w:szCs w:val="32"/>
          <w:shd w:val="clear" w:fill="FFFFFF"/>
          <w:lang w:eastAsia="zh-CN"/>
        </w:rPr>
        <w:t>“三公”经费分项支出情况。</w:t>
      </w:r>
    </w:p>
    <w:p>
      <w:pPr>
        <w:numPr>
          <w:ilvl w:val="0"/>
          <w:numId w:val="0"/>
        </w:numPr>
        <w:ind w:firstLine="640" w:firstLineChars="200"/>
        <w:jc w:val="left"/>
        <w:rPr>
          <w:rStyle w:val="6"/>
          <w:rFonts w:hint="eastAsia" w:ascii="方正楷体_GBK" w:hAnsi="方正楷体_GBK" w:eastAsia="方正仿宋_GBK" w:cs="方正楷体_GBK"/>
          <w:b w:val="0"/>
          <w:bCs w:val="0"/>
          <w:sz w:val="32"/>
          <w:szCs w:val="32"/>
          <w:shd w:val="clear" w:fill="FFFFFF"/>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年度本</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因公出国（境）费用0.00万元，费用支出较年初预算数增加0.00万元，增长0%，与上年持平，公务车购置费0.00万元，我单位年度未发生公务车购置费支出, 与上年决算数和年初预算数一致。公务车运行维护费5.88万元，主要用于材料报送、参加会议、因公出行等工作所需车辆的燃料费、维修费、过桥过路费、保险费等。费用支出较年初预算数减少0.92万元，下降13.5%，主要原因是单位认真贯彻落实中央八项规定精神和厉行节约要求，按照只减不增的要求从严控制三公经费。公务接待费0.</w:t>
      </w:r>
      <w:r>
        <w:rPr>
          <w:rFonts w:hint="eastAsia" w:ascii="方正仿宋_GBK" w:hAnsi="方正仿宋_GBK" w:eastAsia="方正仿宋_GBK" w:cs="方正仿宋_GBK"/>
          <w:sz w:val="32"/>
          <w:szCs w:val="32"/>
          <w:lang w:val="en-US" w:eastAsia="zh-CN"/>
        </w:rPr>
        <w:t>57</w:t>
      </w:r>
      <w:r>
        <w:rPr>
          <w:rFonts w:hint="eastAsia" w:ascii="方正仿宋_GBK" w:hAnsi="方正仿宋_GBK" w:eastAsia="方正仿宋_GBK" w:cs="方正仿宋_GBK"/>
          <w:sz w:val="32"/>
          <w:szCs w:val="32"/>
        </w:rPr>
        <w:t>万元，费用支出较年初预算数</w:t>
      </w:r>
      <w:r>
        <w:rPr>
          <w:rFonts w:hint="eastAsia" w:ascii="方正仿宋_GBK" w:hAnsi="方正仿宋_GBK" w:eastAsia="方正仿宋_GBK" w:cs="方正仿宋_GBK"/>
          <w:sz w:val="32"/>
          <w:szCs w:val="32"/>
          <w:lang w:eastAsia="zh-CN"/>
        </w:rPr>
        <w:t>减少</w:t>
      </w:r>
      <w:r>
        <w:rPr>
          <w:rFonts w:hint="eastAsia" w:ascii="方正仿宋_GBK" w:hAnsi="方正仿宋_GBK" w:eastAsia="方正仿宋_GBK" w:cs="方正仿宋_GBK"/>
          <w:sz w:val="32"/>
          <w:szCs w:val="32"/>
          <w:lang w:val="en-US" w:eastAsia="zh-CN"/>
        </w:rPr>
        <w:t>2.93</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下降</w:t>
      </w:r>
      <w:r>
        <w:rPr>
          <w:rFonts w:hint="eastAsia" w:ascii="方正仿宋_GBK" w:hAnsi="方正仿宋_GBK" w:eastAsia="方正仿宋_GBK" w:cs="方正仿宋_GBK"/>
          <w:sz w:val="32"/>
          <w:szCs w:val="32"/>
          <w:lang w:val="en-US" w:eastAsia="zh-CN"/>
        </w:rPr>
        <w:t>83.7</w:t>
      </w:r>
      <w:r>
        <w:rPr>
          <w:rFonts w:hint="eastAsia" w:ascii="方正仿宋_GBK" w:hAnsi="方正仿宋_GBK" w:eastAsia="方正仿宋_GBK" w:cs="方正仿宋_GBK"/>
          <w:sz w:val="32"/>
          <w:szCs w:val="32"/>
        </w:rPr>
        <w:t>%，主要原因是单位加强</w:t>
      </w:r>
      <w:bookmarkStart w:id="0" w:name="_GoBack"/>
      <w:bookmarkEnd w:id="0"/>
      <w:r>
        <w:rPr>
          <w:rFonts w:hint="eastAsia" w:ascii="方正仿宋_GBK" w:hAnsi="方正仿宋_GBK" w:eastAsia="方正仿宋_GBK" w:cs="方正仿宋_GBK"/>
          <w:sz w:val="32"/>
          <w:szCs w:val="32"/>
        </w:rPr>
        <w:t>八项规定政策宣传，强化公务接待管理，严肃接待纪律，从严控制三公经费。较上年支出数增加0.57万元，主要原因是</w:t>
      </w:r>
      <w:r>
        <w:rPr>
          <w:rFonts w:hint="eastAsia" w:ascii="方正仿宋_GBK" w:hAnsi="方正仿宋_GBK" w:eastAsia="方正仿宋_GBK" w:cs="方正仿宋_GBK"/>
          <w:sz w:val="32"/>
          <w:szCs w:val="32"/>
          <w:lang w:eastAsia="zh-CN"/>
        </w:rPr>
        <w:t>有少量的公务接待支出。</w:t>
      </w:r>
    </w:p>
    <w:p>
      <w:pPr>
        <w:numPr>
          <w:ilvl w:val="0"/>
          <w:numId w:val="4"/>
        </w:numPr>
        <w:ind w:left="0" w:leftChars="0" w:firstLine="0" w:firstLineChars="0"/>
        <w:jc w:val="left"/>
        <w:rPr>
          <w:rStyle w:val="6"/>
          <w:rFonts w:hint="eastAsia" w:ascii="方正楷体_GBK" w:hAnsi="方正楷体_GBK" w:eastAsia="方正楷体_GBK" w:cs="方正楷体_GBK"/>
          <w:b w:val="0"/>
          <w:bCs w:val="0"/>
          <w:sz w:val="32"/>
          <w:szCs w:val="32"/>
          <w:shd w:val="clear" w:fill="FFFFFF"/>
          <w:lang w:eastAsia="zh-CN"/>
        </w:rPr>
      </w:pPr>
      <w:r>
        <w:rPr>
          <w:rStyle w:val="6"/>
          <w:rFonts w:hint="eastAsia" w:ascii="方正楷体_GBK" w:hAnsi="方正楷体_GBK" w:eastAsia="方正楷体_GBK" w:cs="方正楷体_GBK"/>
          <w:b w:val="0"/>
          <w:bCs w:val="0"/>
          <w:sz w:val="32"/>
          <w:szCs w:val="32"/>
          <w:shd w:val="clear" w:fill="FFFFFF"/>
          <w:lang w:eastAsia="zh-CN"/>
        </w:rPr>
        <w:t>“三公”经费实物量情况。</w:t>
      </w:r>
    </w:p>
    <w:p>
      <w:pPr>
        <w:numPr>
          <w:ilvl w:val="0"/>
          <w:numId w:val="0"/>
        </w:numPr>
        <w:ind w:leftChars="0" w:firstLine="640" w:firstLineChars="200"/>
        <w:jc w:val="left"/>
        <w:rPr>
          <w:rStyle w:val="6"/>
          <w:rFonts w:hint="eastAsia" w:ascii="方正仿宋_GBK" w:hAnsi="方正仿宋_GBK" w:eastAsia="方正仿宋_GBK" w:cs="方正仿宋_GBK"/>
          <w:b w:val="0"/>
          <w:bCs w:val="0"/>
          <w:sz w:val="32"/>
          <w:szCs w:val="32"/>
          <w:shd w:val="clear" w:fill="FFFFFF"/>
          <w:lang w:eastAsia="zh-CN"/>
        </w:rPr>
      </w:pPr>
      <w:r>
        <w:rPr>
          <w:rStyle w:val="6"/>
          <w:rFonts w:hint="eastAsia" w:ascii="方正仿宋_GBK" w:hAnsi="方正仿宋_GBK" w:eastAsia="方正仿宋_GBK" w:cs="方正仿宋_GBK"/>
          <w:b w:val="0"/>
          <w:bCs w:val="0"/>
          <w:sz w:val="32"/>
          <w:szCs w:val="32"/>
          <w:shd w:val="clear" w:fill="FFFFFF"/>
          <w:lang w:eastAsia="zh-CN"/>
        </w:rPr>
        <w:t>2021年度本部门因公出国（境）共计0个团组，0人；公务用车购置0辆，公务车保有量为4辆；国内公务接待8批次120人，其中：国内外事接待0批次，0人；国（境）外公务接待0批次，0人。2021年本部门人均接待费47.68元，车均购置费0.00万元，车均维护费1.47万元。</w:t>
      </w:r>
    </w:p>
    <w:p>
      <w:pPr>
        <w:numPr>
          <w:ilvl w:val="0"/>
          <w:numId w:val="0"/>
        </w:numPr>
        <w:jc w:val="left"/>
        <w:rPr>
          <w:rStyle w:val="6"/>
          <w:rFonts w:hint="eastAsia" w:ascii="方正黑体_GBK" w:hAnsi="方正黑体_GBK" w:eastAsia="方正黑体_GBK" w:cs="方正黑体_GBK"/>
          <w:b w:val="0"/>
          <w:bCs w:val="0"/>
          <w:sz w:val="32"/>
          <w:szCs w:val="32"/>
          <w:shd w:val="clear" w:fill="FFFFFF"/>
          <w:lang w:eastAsia="zh-CN"/>
        </w:rPr>
      </w:pPr>
      <w:r>
        <w:rPr>
          <w:rStyle w:val="6"/>
          <w:rFonts w:hint="eastAsia" w:ascii="方正黑体_GBK" w:hAnsi="方正黑体_GBK" w:eastAsia="方正黑体_GBK" w:cs="方正黑体_GBK"/>
          <w:b w:val="0"/>
          <w:bCs w:val="0"/>
          <w:sz w:val="32"/>
          <w:szCs w:val="32"/>
          <w:shd w:val="clear" w:fill="FFFFFF"/>
          <w:lang w:eastAsia="zh-CN"/>
        </w:rPr>
        <w:t>四、其他需要说明的事项</w:t>
      </w:r>
    </w:p>
    <w:p>
      <w:pPr>
        <w:jc w:val="left"/>
        <w:rPr>
          <w:rStyle w:val="6"/>
          <w:rFonts w:hint="eastAsia" w:ascii="方正楷体_GBK" w:hAnsi="方正楷体_GBK" w:eastAsia="方正楷体_GBK" w:cs="方正楷体_GBK"/>
          <w:b w:val="0"/>
          <w:bCs w:val="0"/>
          <w:color w:val="auto"/>
          <w:sz w:val="32"/>
          <w:szCs w:val="32"/>
        </w:rPr>
      </w:pPr>
      <w:r>
        <w:rPr>
          <w:rFonts w:hint="eastAsia" w:ascii="方正楷体_GBK" w:hAnsi="方正楷体_GBK" w:eastAsia="方正楷体_GBK" w:cs="方正楷体_GBK"/>
          <w:color w:val="auto"/>
          <w:sz w:val="32"/>
          <w:szCs w:val="32"/>
          <w:shd w:val="clear" w:fill="FFFFFF"/>
          <w:lang w:val="en-US" w:eastAsia="zh-CN"/>
        </w:rPr>
        <w:t>（一）</w:t>
      </w:r>
      <w:r>
        <w:rPr>
          <w:rStyle w:val="6"/>
          <w:rFonts w:hint="eastAsia" w:ascii="方正楷体_GBK" w:hAnsi="方正楷体_GBK" w:eastAsia="方正楷体_GBK" w:cs="方正楷体_GBK"/>
          <w:b w:val="0"/>
          <w:bCs w:val="0"/>
          <w:color w:val="auto"/>
          <w:sz w:val="32"/>
          <w:szCs w:val="32"/>
        </w:rPr>
        <w:t>机关运行经费情况说明</w:t>
      </w:r>
    </w:p>
    <w:p>
      <w:pPr>
        <w:ind w:firstLine="640" w:firstLineChars="200"/>
        <w:jc w:val="left"/>
        <w:rPr>
          <w:rFonts w:hint="eastAsia" w:ascii="方正仿宋_GBK" w:hAnsi="Times New Roman" w:eastAsia="方正仿宋_GBK" w:cs="Times New Roman"/>
          <w:sz w:val="32"/>
        </w:rPr>
      </w:pPr>
      <w:r>
        <w:rPr>
          <w:rFonts w:hint="eastAsia" w:ascii="方正仿宋_GBK" w:hAnsi="Times New Roman" w:eastAsia="方正仿宋_GBK" w:cs="Times New Roman"/>
          <w:sz w:val="32"/>
        </w:rPr>
        <w:t>按照部门决算列报口径，我单位不在机关运行经费统计范围之内。</w:t>
      </w:r>
    </w:p>
    <w:p>
      <w:pPr>
        <w:ind w:firstLine="640" w:firstLineChars="200"/>
        <w:jc w:val="left"/>
        <w:rPr>
          <w:rFonts w:hint="eastAsia" w:ascii="方正仿宋_GBK" w:hAnsi="Times New Roman" w:eastAsia="方正仿宋_GBK" w:cs="Times New Roman"/>
          <w:sz w:val="32"/>
          <w:lang w:val="en-US" w:eastAsia="zh-CN"/>
        </w:rPr>
      </w:pPr>
      <w:r>
        <w:rPr>
          <w:rFonts w:hint="eastAsia" w:ascii="方正仿宋_GBK" w:hAnsi="Times New Roman" w:eastAsia="方正仿宋_GBK" w:cs="Times New Roman"/>
          <w:sz w:val="32"/>
          <w:lang w:val="en-US" w:eastAsia="zh-CN"/>
        </w:rPr>
        <w:t>本年度会议费支出0.00万元，较上年决算数增加0.00万元，增长0%，主要原因是本年度由于疫情等原因我单位无举办的大型会议。</w:t>
      </w:r>
    </w:p>
    <w:p>
      <w:pPr>
        <w:ind w:firstLine="640" w:firstLineChars="200"/>
        <w:jc w:val="left"/>
        <w:rPr>
          <w:rFonts w:hint="eastAsia" w:ascii="方正仿宋_GBK" w:hAnsi="方正仿宋_GBK" w:eastAsia="方正仿宋_GBK" w:cs="方正仿宋_GBK"/>
          <w:color w:val="auto"/>
          <w:sz w:val="32"/>
          <w:szCs w:val="32"/>
          <w:shd w:val="clear" w:fill="FFFFFF"/>
          <w:lang w:val="en-US" w:eastAsia="zh-CN"/>
        </w:rPr>
      </w:pPr>
      <w:r>
        <w:rPr>
          <w:rFonts w:hint="eastAsia" w:ascii="方正仿宋_GBK" w:hAnsi="方正仿宋_GBK" w:eastAsia="方正仿宋_GBK" w:cs="方正仿宋_GBK"/>
          <w:color w:val="auto"/>
          <w:sz w:val="32"/>
          <w:szCs w:val="32"/>
          <w:shd w:val="clear" w:fill="FFFFFF"/>
          <w:lang w:val="en-US" w:eastAsia="zh-CN"/>
        </w:rPr>
        <w:t>本年度培训费支出 0.39万元，较上年决算数增加0.15万元，增长62.5%，主要原因是专业技术人员继续教育和专业培训支出增加。</w:t>
      </w:r>
    </w:p>
    <w:p>
      <w:pPr>
        <w:numPr>
          <w:ilvl w:val="0"/>
          <w:numId w:val="5"/>
        </w:numPr>
        <w:jc w:val="left"/>
        <w:rPr>
          <w:rFonts w:hint="eastAsia" w:ascii="方正楷体_GBK" w:hAnsi="方正楷体_GBK" w:eastAsia="方正楷体_GBK" w:cs="方正楷体_GBK"/>
          <w:color w:val="auto"/>
          <w:sz w:val="32"/>
          <w:szCs w:val="32"/>
          <w:shd w:val="clear" w:fill="FFFFFF"/>
          <w:lang w:val="en-US" w:eastAsia="zh-CN"/>
        </w:rPr>
      </w:pPr>
      <w:r>
        <w:rPr>
          <w:rFonts w:hint="eastAsia" w:ascii="方正楷体_GBK" w:hAnsi="方正楷体_GBK" w:eastAsia="方正楷体_GBK" w:cs="方正楷体_GBK"/>
          <w:color w:val="auto"/>
          <w:sz w:val="32"/>
          <w:szCs w:val="32"/>
          <w:shd w:val="clear" w:fill="FFFFFF"/>
          <w:lang w:val="en-US" w:eastAsia="zh-CN"/>
        </w:rPr>
        <w:t>国有资产占用情况说明</w:t>
      </w:r>
    </w:p>
    <w:p>
      <w:pPr>
        <w:numPr>
          <w:ilvl w:val="0"/>
          <w:numId w:val="0"/>
        </w:numPr>
        <w:ind w:firstLine="640" w:firstLineChars="200"/>
        <w:jc w:val="left"/>
        <w:rPr>
          <w:rFonts w:hint="eastAsia" w:ascii="方正仿宋_GBK" w:hAnsi="方正仿宋_GBK" w:eastAsia="方正仿宋_GBK" w:cs="方正仿宋_GBK"/>
          <w:color w:val="auto"/>
          <w:sz w:val="32"/>
          <w:szCs w:val="32"/>
          <w:shd w:val="clear" w:fill="FFFFFF"/>
          <w:lang w:val="en-US" w:eastAsia="zh-CN"/>
        </w:rPr>
      </w:pPr>
      <w:r>
        <w:rPr>
          <w:rFonts w:hint="eastAsia" w:ascii="方正仿宋_GBK" w:hAnsi="方正仿宋_GBK" w:eastAsia="方正仿宋_GBK" w:cs="方正仿宋_GBK"/>
          <w:color w:val="auto"/>
          <w:sz w:val="32"/>
          <w:szCs w:val="32"/>
          <w:shd w:val="clear" w:fill="FFFFFF"/>
          <w:lang w:val="en-US" w:eastAsia="zh-CN"/>
        </w:rPr>
        <w:t>截至2021年12月31日，本单位共有车辆5辆，其中，副部（省）级及以上领导用车0辆、主要领导干部用车0辆、机要通信用车1辆、应急保障用车0辆、执法执勤用车0辆，特种专业技术用车4辆，离退休干部用车0辆，其他用车0辆，单价50万元（含）以上通用设备0台（套），单价100万元（含）以上专用设备0台（套）。</w:t>
      </w:r>
    </w:p>
    <w:p>
      <w:pPr>
        <w:numPr>
          <w:ilvl w:val="0"/>
          <w:numId w:val="5"/>
        </w:numPr>
        <w:ind w:left="0" w:leftChars="0" w:firstLine="0" w:firstLineChars="0"/>
        <w:jc w:val="left"/>
        <w:rPr>
          <w:rFonts w:hint="eastAsia" w:ascii="方正楷体_GBK" w:hAnsi="方正楷体_GBK" w:eastAsia="方正楷体_GBK" w:cs="方正楷体_GBK"/>
          <w:color w:val="auto"/>
          <w:sz w:val="32"/>
          <w:szCs w:val="32"/>
          <w:shd w:val="clear" w:fill="FFFFFF"/>
          <w:lang w:val="en-US" w:eastAsia="zh-CN"/>
        </w:rPr>
      </w:pPr>
      <w:r>
        <w:rPr>
          <w:rFonts w:hint="eastAsia" w:ascii="方正楷体_GBK" w:hAnsi="方正楷体_GBK" w:eastAsia="方正楷体_GBK" w:cs="方正楷体_GBK"/>
          <w:color w:val="auto"/>
          <w:sz w:val="32"/>
          <w:szCs w:val="32"/>
          <w:shd w:val="clear" w:fill="FFFFFF"/>
          <w:lang w:val="en-US" w:eastAsia="zh-CN"/>
        </w:rPr>
        <w:t>政府采购支出情况说明</w:t>
      </w:r>
    </w:p>
    <w:p>
      <w:pPr>
        <w:numPr>
          <w:ilvl w:val="0"/>
          <w:numId w:val="0"/>
        </w:numPr>
        <w:ind w:leftChars="0" w:firstLine="640" w:firstLineChars="200"/>
        <w:jc w:val="left"/>
        <w:rPr>
          <w:rFonts w:hint="eastAsia" w:ascii="方正仿宋_GBK" w:hAnsi="方正仿宋_GBK" w:eastAsia="方正仿宋_GBK" w:cs="方正仿宋_GBK"/>
          <w:color w:val="FF0000"/>
          <w:sz w:val="32"/>
          <w:szCs w:val="32"/>
          <w:shd w:val="clear" w:fill="FFFFFF"/>
          <w:lang w:val="en-US" w:eastAsia="zh-CN"/>
        </w:rPr>
      </w:pPr>
      <w:r>
        <w:rPr>
          <w:rFonts w:hint="eastAsia" w:ascii="方正仿宋_GBK" w:hAnsi="方正仿宋_GBK" w:eastAsia="方正仿宋_GBK" w:cs="方正仿宋_GBK"/>
          <w:sz w:val="32"/>
          <w:szCs w:val="32"/>
          <w:shd w:val="clear" w:fill="FFFFFF"/>
          <w:lang w:val="en-US"/>
        </w:rPr>
        <w:t>2021</w:t>
      </w:r>
      <w:r>
        <w:rPr>
          <w:rFonts w:hint="eastAsia" w:ascii="方正仿宋_GBK" w:hAnsi="方正仿宋_GBK" w:eastAsia="方正仿宋_GBK" w:cs="方正仿宋_GBK"/>
          <w:sz w:val="32"/>
          <w:szCs w:val="32"/>
          <w:shd w:val="clear" w:fill="FFFFFF"/>
          <w:lang w:eastAsia="zh-CN"/>
        </w:rPr>
        <w:t>年度本部门政府采购支出总额</w:t>
      </w:r>
      <w:r>
        <w:rPr>
          <w:rFonts w:hint="eastAsia" w:ascii="方正仿宋_GBK" w:hAnsi="方正仿宋_GBK" w:eastAsia="方正仿宋_GBK" w:cs="方正仿宋_GBK"/>
          <w:sz w:val="32"/>
          <w:szCs w:val="32"/>
          <w:shd w:val="clear" w:fill="FFFFFF"/>
          <w:lang w:val="en-US"/>
        </w:rPr>
        <w:t>1.47</w:t>
      </w:r>
      <w:r>
        <w:rPr>
          <w:rFonts w:hint="eastAsia" w:ascii="方正仿宋_GBK" w:hAnsi="方正仿宋_GBK" w:eastAsia="方正仿宋_GBK" w:cs="方正仿宋_GBK"/>
          <w:sz w:val="32"/>
          <w:szCs w:val="32"/>
          <w:shd w:val="clear" w:fill="FFFFFF"/>
          <w:lang w:eastAsia="zh-CN"/>
        </w:rPr>
        <w:t>万元，其中：政府采购货物支出</w:t>
      </w:r>
      <w:r>
        <w:rPr>
          <w:rFonts w:hint="eastAsia" w:ascii="方正仿宋_GBK" w:hAnsi="方正仿宋_GBK" w:eastAsia="方正仿宋_GBK" w:cs="方正仿宋_GBK"/>
          <w:sz w:val="32"/>
          <w:szCs w:val="32"/>
          <w:shd w:val="clear" w:fill="FFFFFF"/>
          <w:lang w:val="en-US"/>
        </w:rPr>
        <w:t>1.47</w:t>
      </w:r>
      <w:r>
        <w:rPr>
          <w:rFonts w:hint="eastAsia" w:ascii="方正仿宋_GBK" w:hAnsi="方正仿宋_GBK" w:eastAsia="方正仿宋_GBK" w:cs="方正仿宋_GBK"/>
          <w:sz w:val="32"/>
          <w:szCs w:val="32"/>
          <w:shd w:val="clear" w:fill="FFFFFF"/>
          <w:lang w:eastAsia="zh-CN"/>
        </w:rPr>
        <w:t>万元、政府采购工程支出</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万元、政府采购服务支出</w:t>
      </w:r>
      <w:r>
        <w:rPr>
          <w:rFonts w:hint="eastAsia" w:ascii="方正仿宋_GBK" w:hAnsi="方正仿宋_GBK" w:eastAsia="方正仿宋_GBK" w:cs="方正仿宋_GBK"/>
          <w:sz w:val="32"/>
          <w:szCs w:val="32"/>
          <w:shd w:val="clear" w:fill="FFFFFF"/>
          <w:lang w:val="en-US"/>
        </w:rPr>
        <w:t>0.00</w:t>
      </w:r>
      <w:r>
        <w:rPr>
          <w:rFonts w:hint="eastAsia" w:ascii="方正仿宋_GBK" w:hAnsi="方正仿宋_GBK" w:eastAsia="方正仿宋_GBK" w:cs="方正仿宋_GBK"/>
          <w:sz w:val="32"/>
          <w:szCs w:val="32"/>
          <w:shd w:val="clear" w:fill="FFFFFF"/>
          <w:lang w:eastAsia="zh-CN"/>
        </w:rPr>
        <w:t>万元。授予中小企业合同金额</w:t>
      </w:r>
      <w:r>
        <w:rPr>
          <w:rFonts w:hint="eastAsia" w:ascii="方正仿宋_GBK" w:hAnsi="方正仿宋_GBK" w:eastAsia="方正仿宋_GBK" w:cs="方正仿宋_GBK"/>
          <w:sz w:val="32"/>
          <w:szCs w:val="32"/>
          <w:shd w:val="clear" w:fill="FFFFFF"/>
          <w:lang w:val="en-US"/>
        </w:rPr>
        <w:t>1.47</w:t>
      </w:r>
      <w:r>
        <w:rPr>
          <w:rFonts w:hint="eastAsia" w:ascii="方正仿宋_GBK" w:hAnsi="方正仿宋_GBK" w:eastAsia="方正仿宋_GBK" w:cs="方正仿宋_GBK"/>
          <w:sz w:val="32"/>
          <w:szCs w:val="32"/>
          <w:shd w:val="clear" w:fill="FFFFFF"/>
          <w:lang w:eastAsia="zh-CN"/>
        </w:rPr>
        <w:t>万元，占政府采购支出总额的</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，其中：授予小微企业合同金额</w:t>
      </w:r>
      <w:r>
        <w:rPr>
          <w:rFonts w:hint="eastAsia" w:ascii="方正仿宋_GBK" w:hAnsi="方正仿宋_GBK" w:eastAsia="方正仿宋_GBK" w:cs="方正仿宋_GBK"/>
          <w:sz w:val="32"/>
          <w:szCs w:val="32"/>
          <w:shd w:val="clear" w:fill="FFFFFF"/>
          <w:lang w:val="en-US"/>
        </w:rPr>
        <w:t>1.47</w:t>
      </w:r>
      <w:r>
        <w:rPr>
          <w:rFonts w:hint="eastAsia" w:ascii="方正仿宋_GBK" w:hAnsi="方正仿宋_GBK" w:eastAsia="方正仿宋_GBK" w:cs="方正仿宋_GBK"/>
          <w:sz w:val="32"/>
          <w:szCs w:val="32"/>
          <w:shd w:val="clear" w:fill="FFFFFF"/>
          <w:lang w:eastAsia="zh-CN"/>
        </w:rPr>
        <w:t>万元，占政府采购支出总额的</w:t>
      </w:r>
      <w:r>
        <w:rPr>
          <w:rFonts w:hint="eastAsia" w:ascii="方正仿宋_GBK" w:hAnsi="方正仿宋_GBK" w:eastAsia="方正仿宋_GBK" w:cs="方正仿宋_GBK"/>
          <w:sz w:val="32"/>
          <w:szCs w:val="32"/>
          <w:shd w:val="clear" w:fill="FFFFFF"/>
          <w:lang w:val="en-US"/>
        </w:rPr>
        <w:t>100%</w:t>
      </w:r>
      <w:r>
        <w:rPr>
          <w:rFonts w:hint="eastAsia" w:ascii="方正仿宋_GBK" w:hAnsi="方正仿宋_GBK" w:eastAsia="方正仿宋_GBK" w:cs="方正仿宋_GBK"/>
          <w:sz w:val="32"/>
          <w:szCs w:val="32"/>
          <w:shd w:val="clear" w:fill="FFFFFF"/>
          <w:lang w:eastAsia="zh-CN"/>
        </w:rPr>
        <w:t>。主要用于采购森林公园整改办公室采购办公电脑。</w:t>
      </w:r>
    </w:p>
    <w:p>
      <w:pPr>
        <w:numPr>
          <w:ilvl w:val="0"/>
          <w:numId w:val="0"/>
        </w:numPr>
        <w:jc w:val="left"/>
        <w:rPr>
          <w:rFonts w:hint="eastAsia" w:ascii="方正黑体_GBK" w:hAnsi="方正黑体_GBK" w:eastAsia="方正黑体_GBK" w:cs="方正黑体_GBK"/>
          <w:color w:val="auto"/>
          <w:sz w:val="32"/>
          <w:szCs w:val="32"/>
          <w:shd w:val="clear" w:fill="FFFFFF"/>
          <w:lang w:val="en-US" w:eastAsia="zh-CN"/>
        </w:rPr>
      </w:pPr>
      <w:r>
        <w:rPr>
          <w:rFonts w:hint="eastAsia" w:ascii="方正黑体_GBK" w:hAnsi="方正黑体_GBK" w:eastAsia="方正黑体_GBK" w:cs="方正黑体_GBK"/>
          <w:color w:val="auto"/>
          <w:sz w:val="32"/>
          <w:szCs w:val="32"/>
          <w:shd w:val="clear" w:fill="FFFFFF"/>
          <w:lang w:val="en-US" w:eastAsia="zh-CN"/>
        </w:rPr>
        <w:t>五、预算绩效管理情况说明</w:t>
      </w:r>
    </w:p>
    <w:p>
      <w:pPr>
        <w:numPr>
          <w:ilvl w:val="0"/>
          <w:numId w:val="6"/>
        </w:numPr>
        <w:jc w:val="left"/>
        <w:rPr>
          <w:rFonts w:hint="eastAsia" w:ascii="方正楷体_GBK" w:hAnsi="方正楷体_GBK" w:eastAsia="方正楷体_GBK" w:cs="方正楷体_GBK"/>
          <w:color w:val="auto"/>
          <w:sz w:val="32"/>
          <w:szCs w:val="32"/>
          <w:shd w:val="clear" w:fill="FFFFFF"/>
          <w:lang w:val="en-US" w:eastAsia="zh-CN"/>
        </w:rPr>
      </w:pPr>
      <w:r>
        <w:rPr>
          <w:rFonts w:hint="eastAsia" w:ascii="方正楷体_GBK" w:hAnsi="方正楷体_GBK" w:eastAsia="方正楷体_GBK" w:cs="方正楷体_GBK"/>
          <w:color w:val="auto"/>
          <w:sz w:val="32"/>
          <w:szCs w:val="32"/>
          <w:shd w:val="clear" w:fill="FFFFFF"/>
          <w:lang w:val="en-US" w:eastAsia="zh-CN"/>
        </w:rPr>
        <w:t>预算绩效管理工作开展情况</w:t>
      </w:r>
    </w:p>
    <w:p>
      <w:pPr>
        <w:numPr>
          <w:ilvl w:val="0"/>
          <w:numId w:val="0"/>
        </w:numPr>
        <w:ind w:firstLine="640" w:firstLineChars="2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根据预算绩效管理要求，本单位认真落实项目绩效自评工作，我单位对202</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年3个项目开展绩效自评，涉及资金</w:t>
      </w:r>
      <w:r>
        <w:rPr>
          <w:rFonts w:hint="eastAsia" w:ascii="方正仿宋_GBK" w:hAnsi="方正仿宋_GBK" w:eastAsia="方正仿宋_GBK" w:cs="方正仿宋_GBK"/>
          <w:color w:val="auto"/>
          <w:sz w:val="32"/>
          <w:szCs w:val="32"/>
          <w:lang w:val="en-US" w:eastAsia="zh-CN"/>
        </w:rPr>
        <w:t>80.18</w:t>
      </w:r>
      <w:r>
        <w:rPr>
          <w:rFonts w:hint="eastAsia" w:ascii="方正仿宋_GBK" w:hAnsi="方正仿宋_GBK" w:eastAsia="方正仿宋_GBK" w:cs="方正仿宋_GBK"/>
          <w:color w:val="auto"/>
          <w:sz w:val="32"/>
          <w:szCs w:val="32"/>
        </w:rPr>
        <w:t>万元。在预算申报、组织实施、资金支付等方面均很规范，总体来看各项目的绩效目标完成情况比较好。</w:t>
      </w:r>
    </w:p>
    <w:p>
      <w:pPr>
        <w:numPr>
          <w:ilvl w:val="0"/>
          <w:numId w:val="6"/>
        </w:numPr>
        <w:ind w:left="0" w:leftChars="0" w:firstLine="0" w:firstLineChars="0"/>
        <w:jc w:val="left"/>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绩效自评结果</w:t>
      </w:r>
    </w:p>
    <w:p>
      <w:pPr>
        <w:numPr>
          <w:ilvl w:val="0"/>
          <w:numId w:val="7"/>
        </w:numPr>
        <w:ind w:leftChars="0"/>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绩效自评表</w:t>
      </w:r>
    </w:p>
    <w:tbl>
      <w:tblPr>
        <w:tblStyle w:val="4"/>
        <w:tblW w:w="8630" w:type="dxa"/>
        <w:jc w:val="center"/>
        <w:tblLayout w:type="fixed"/>
        <w:tblCellMar>
          <w:top w:w="0" w:type="dxa"/>
          <w:left w:w="108" w:type="dxa"/>
          <w:bottom w:w="0" w:type="dxa"/>
          <w:right w:w="108" w:type="dxa"/>
        </w:tblCellMar>
      </w:tblPr>
      <w:tblGrid>
        <w:gridCol w:w="561"/>
        <w:gridCol w:w="853"/>
        <w:gridCol w:w="587"/>
        <w:gridCol w:w="587"/>
        <w:gridCol w:w="587"/>
        <w:gridCol w:w="587"/>
        <w:gridCol w:w="1004"/>
        <w:gridCol w:w="705"/>
        <w:gridCol w:w="1005"/>
        <w:gridCol w:w="900"/>
        <w:gridCol w:w="1254"/>
      </w:tblGrid>
      <w:tr>
        <w:tblPrEx>
          <w:tblCellMar>
            <w:top w:w="0" w:type="dxa"/>
            <w:left w:w="108" w:type="dxa"/>
            <w:bottom w:w="0" w:type="dxa"/>
            <w:right w:w="108" w:type="dxa"/>
          </w:tblCellMar>
        </w:tblPrEx>
        <w:trPr>
          <w:trHeight w:val="601" w:hRule="atLeast"/>
          <w:jc w:val="center"/>
        </w:trPr>
        <w:tc>
          <w:tcPr>
            <w:tcW w:w="8630" w:type="dxa"/>
            <w:gridSpan w:val="11"/>
            <w:tcBorders>
              <w:top w:val="nil"/>
              <w:left w:val="nil"/>
              <w:bottom w:val="nil"/>
              <w:right w:val="nil"/>
            </w:tcBorders>
            <w:noWrap w:val="0"/>
            <w:vAlign w:val="center"/>
          </w:tcPr>
          <w:p>
            <w:pPr>
              <w:rPr>
                <w:rFonts w:eastAsia="方正小标宋_GBK"/>
                <w:color w:val="000000"/>
                <w:sz w:val="36"/>
                <w:szCs w:val="36"/>
              </w:rPr>
            </w:pPr>
          </w:p>
          <w:p>
            <w:pPr>
              <w:jc w:val="center"/>
              <w:rPr>
                <w:rFonts w:eastAsia="方正小标宋_GBK"/>
                <w:color w:val="000000"/>
                <w:sz w:val="36"/>
                <w:szCs w:val="36"/>
              </w:rPr>
            </w:pPr>
            <w:r>
              <w:rPr>
                <w:rFonts w:eastAsia="方正小标宋_GBK"/>
                <w:color w:val="000000"/>
                <w:sz w:val="36"/>
                <w:szCs w:val="36"/>
              </w:rPr>
              <w:t>一般性项目绩效自评表</w:t>
            </w:r>
          </w:p>
        </w:tc>
      </w:tr>
      <w:tr>
        <w:tblPrEx>
          <w:tblCellMar>
            <w:top w:w="0" w:type="dxa"/>
            <w:left w:w="108" w:type="dxa"/>
            <w:bottom w:w="0" w:type="dxa"/>
            <w:right w:w="108" w:type="dxa"/>
          </w:tblCellMar>
        </w:tblPrEx>
        <w:trPr>
          <w:trHeight w:val="601"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项目名称</w:t>
            </w:r>
          </w:p>
        </w:tc>
        <w:tc>
          <w:tcPr>
            <w:tcW w:w="1440" w:type="dxa"/>
            <w:gridSpan w:val="2"/>
            <w:tcBorders>
              <w:top w:val="single" w:color="auto" w:sz="4" w:space="0"/>
              <w:left w:val="nil"/>
              <w:bottom w:val="single" w:color="auto" w:sz="4" w:space="0"/>
              <w:right w:val="single" w:color="000000"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铁峰山林场国有林区基础设施设备维修更新项目</w:t>
            </w:r>
            <w:r>
              <w:rPr>
                <w:rFonts w:eastAsia="方正仿宋_GBK"/>
                <w:color w:val="000000"/>
                <w:sz w:val="18"/>
                <w:szCs w:val="18"/>
              </w:rPr>
              <w:t>　</w:t>
            </w:r>
          </w:p>
        </w:tc>
        <w:tc>
          <w:tcPr>
            <w:tcW w:w="587"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项目编码</w:t>
            </w:r>
          </w:p>
        </w:tc>
        <w:tc>
          <w:tcPr>
            <w:tcW w:w="1174" w:type="dxa"/>
            <w:gridSpan w:val="2"/>
            <w:tcBorders>
              <w:top w:val="single" w:color="auto" w:sz="4" w:space="0"/>
              <w:left w:val="nil"/>
              <w:bottom w:val="single" w:color="auto" w:sz="4" w:space="0"/>
              <w:right w:val="single" w:color="000000"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004"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自评总分</w:t>
            </w:r>
            <w:r>
              <w:rPr>
                <w:rFonts w:eastAsia="方正仿宋_GBK"/>
                <w:color w:val="000000"/>
                <w:sz w:val="18"/>
                <w:szCs w:val="18"/>
              </w:rPr>
              <w:br w:type="textWrapping"/>
            </w:r>
            <w:r>
              <w:rPr>
                <w:rFonts w:eastAsia="方正仿宋_GBK"/>
                <w:color w:val="000000"/>
                <w:sz w:val="18"/>
                <w:szCs w:val="18"/>
              </w:rPr>
              <w:t>（分）</w:t>
            </w:r>
          </w:p>
        </w:tc>
        <w:tc>
          <w:tcPr>
            <w:tcW w:w="3864" w:type="dxa"/>
            <w:gridSpan w:val="4"/>
            <w:tcBorders>
              <w:top w:val="single" w:color="auto" w:sz="4" w:space="0"/>
              <w:left w:val="nil"/>
              <w:bottom w:val="single" w:color="auto" w:sz="4" w:space="0"/>
              <w:right w:val="single" w:color="000000"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100</w:t>
            </w:r>
            <w:r>
              <w:rPr>
                <w:rFonts w:eastAsia="方正仿宋_GBK"/>
                <w:color w:val="000000"/>
                <w:sz w:val="18"/>
                <w:szCs w:val="18"/>
              </w:rPr>
              <w:t>　</w:t>
            </w:r>
          </w:p>
        </w:tc>
      </w:tr>
      <w:tr>
        <w:tblPrEx>
          <w:tblCellMar>
            <w:top w:w="0" w:type="dxa"/>
            <w:left w:w="108" w:type="dxa"/>
            <w:bottom w:w="0" w:type="dxa"/>
            <w:right w:w="108" w:type="dxa"/>
          </w:tblCellMar>
        </w:tblPrEx>
        <w:trPr>
          <w:trHeight w:val="601" w:hRule="atLeast"/>
          <w:jc w:val="center"/>
        </w:trPr>
        <w:tc>
          <w:tcPr>
            <w:tcW w:w="561"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主管部门</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万州区林业局</w:t>
            </w:r>
            <w:r>
              <w:rPr>
                <w:rFonts w:eastAsia="方正仿宋_GBK"/>
                <w:color w:val="000000"/>
                <w:sz w:val="18"/>
                <w:szCs w:val="18"/>
              </w:rPr>
              <w:t>　</w:t>
            </w: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财政科室</w:t>
            </w:r>
          </w:p>
        </w:tc>
        <w:tc>
          <w:tcPr>
            <w:tcW w:w="117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项目</w:t>
            </w:r>
            <w:r>
              <w:rPr>
                <w:rFonts w:eastAsia="方正仿宋_GBK"/>
                <w:color w:val="000000"/>
                <w:sz w:val="18"/>
                <w:szCs w:val="18"/>
              </w:rPr>
              <w:br w:type="textWrapping"/>
            </w:r>
            <w:r>
              <w:rPr>
                <w:rFonts w:eastAsia="方正仿宋_GBK"/>
                <w:color w:val="000000"/>
                <w:sz w:val="18"/>
                <w:szCs w:val="18"/>
              </w:rPr>
              <w:t>联系人</w:t>
            </w:r>
          </w:p>
        </w:tc>
        <w:tc>
          <w:tcPr>
            <w:tcW w:w="7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魏燕</w:t>
            </w:r>
            <w:r>
              <w:rPr>
                <w:rFonts w:eastAsia="方正仿宋_GBK"/>
                <w:color w:val="000000"/>
                <w:sz w:val="18"/>
                <w:szCs w:val="18"/>
              </w:rPr>
              <w:t>　</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联系电话</w:t>
            </w:r>
          </w:p>
        </w:tc>
        <w:tc>
          <w:tcPr>
            <w:tcW w:w="215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18166351001</w:t>
            </w:r>
            <w:r>
              <w:rPr>
                <w:rFonts w:eastAsia="方正仿宋_GBK"/>
                <w:color w:val="000000"/>
                <w:sz w:val="18"/>
                <w:szCs w:val="18"/>
              </w:rPr>
              <w:t>　</w:t>
            </w:r>
          </w:p>
        </w:tc>
      </w:tr>
      <w:tr>
        <w:tblPrEx>
          <w:tblCellMar>
            <w:top w:w="0" w:type="dxa"/>
            <w:left w:w="108" w:type="dxa"/>
            <w:bottom w:w="0" w:type="dxa"/>
            <w:right w:w="108" w:type="dxa"/>
          </w:tblCellMar>
        </w:tblPrEx>
        <w:trPr>
          <w:trHeight w:val="601" w:hRule="atLeast"/>
          <w:jc w:val="center"/>
        </w:trPr>
        <w:tc>
          <w:tcPr>
            <w:tcW w:w="5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项目资金（万元）</w:t>
            </w:r>
          </w:p>
        </w:tc>
        <w:tc>
          <w:tcPr>
            <w:tcW w:w="853" w:type="dxa"/>
            <w:tcBorders>
              <w:top w:val="single" w:color="auto" w:sz="4" w:space="0"/>
              <w:left w:val="nil"/>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174"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eastAsia="方正仿宋_GBK"/>
                <w:color w:val="000000"/>
                <w:sz w:val="18"/>
                <w:szCs w:val="18"/>
              </w:rPr>
            </w:pPr>
            <w:r>
              <w:rPr>
                <w:rFonts w:eastAsia="方正仿宋_GBK"/>
                <w:color w:val="000000"/>
                <w:sz w:val="18"/>
                <w:szCs w:val="18"/>
              </w:rPr>
              <w:t>年初预算数</w:t>
            </w:r>
          </w:p>
        </w:tc>
        <w:tc>
          <w:tcPr>
            <w:tcW w:w="1174" w:type="dxa"/>
            <w:gridSpan w:val="2"/>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全年（调整）预算数</w:t>
            </w:r>
          </w:p>
        </w:tc>
        <w:tc>
          <w:tcPr>
            <w:tcW w:w="1709" w:type="dxa"/>
            <w:gridSpan w:val="2"/>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全年执行数</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执行率</w:t>
            </w:r>
            <w:r>
              <w:rPr>
                <w:rFonts w:eastAsia="方正仿宋_GBK"/>
                <w:color w:val="000000"/>
                <w:sz w:val="18"/>
                <w:szCs w:val="18"/>
              </w:rPr>
              <w:br w:type="textWrapping"/>
            </w:r>
            <w:r>
              <w:rPr>
                <w:rFonts w:eastAsia="方正仿宋_GBK"/>
                <w:color w:val="000000"/>
                <w:sz w:val="18"/>
                <w:szCs w:val="18"/>
              </w:rPr>
              <w:t>（%）</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执行率</w:t>
            </w:r>
            <w:r>
              <w:rPr>
                <w:rFonts w:eastAsia="方正仿宋_GBK"/>
                <w:color w:val="000000"/>
                <w:sz w:val="18"/>
                <w:szCs w:val="18"/>
              </w:rPr>
              <w:br w:type="textWrapping"/>
            </w:r>
            <w:r>
              <w:rPr>
                <w:rFonts w:eastAsia="方正仿宋_GBK"/>
                <w:color w:val="000000"/>
                <w:sz w:val="18"/>
                <w:szCs w:val="18"/>
              </w:rPr>
              <w:t>权重</w:t>
            </w:r>
          </w:p>
        </w:tc>
        <w:tc>
          <w:tcPr>
            <w:tcW w:w="1254"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执行率得分</w:t>
            </w:r>
            <w:r>
              <w:rPr>
                <w:rFonts w:eastAsia="方正仿宋_GBK"/>
                <w:color w:val="000000"/>
                <w:sz w:val="18"/>
                <w:szCs w:val="18"/>
              </w:rPr>
              <w:br w:type="textWrapping"/>
            </w:r>
            <w:r>
              <w:rPr>
                <w:rFonts w:eastAsia="方正仿宋_GBK"/>
                <w:color w:val="000000"/>
                <w:sz w:val="18"/>
                <w:szCs w:val="18"/>
              </w:rPr>
              <w:t>（分）</w:t>
            </w:r>
          </w:p>
        </w:tc>
      </w:tr>
      <w:tr>
        <w:tblPrEx>
          <w:tblCellMar>
            <w:top w:w="0" w:type="dxa"/>
            <w:left w:w="108" w:type="dxa"/>
            <w:bottom w:w="0" w:type="dxa"/>
            <w:right w:w="108" w:type="dxa"/>
          </w:tblCellMar>
        </w:tblPrEx>
        <w:trPr>
          <w:trHeight w:val="601"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年度总金额</w:t>
            </w:r>
          </w:p>
        </w:tc>
        <w:tc>
          <w:tcPr>
            <w:tcW w:w="1174"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eastAsia="方正仿宋_GBK"/>
                <w:color w:val="000000"/>
                <w:sz w:val="18"/>
                <w:szCs w:val="18"/>
              </w:rPr>
            </w:pPr>
          </w:p>
        </w:tc>
        <w:tc>
          <w:tcPr>
            <w:tcW w:w="1174" w:type="dxa"/>
            <w:gridSpan w:val="2"/>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22.5</w:t>
            </w:r>
            <w:r>
              <w:rPr>
                <w:rFonts w:eastAsia="方正仿宋_GBK"/>
                <w:color w:val="000000"/>
                <w:sz w:val="18"/>
                <w:szCs w:val="18"/>
              </w:rPr>
              <w:t>　</w:t>
            </w:r>
          </w:p>
        </w:tc>
        <w:tc>
          <w:tcPr>
            <w:tcW w:w="1709" w:type="dxa"/>
            <w:gridSpan w:val="2"/>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22.5</w:t>
            </w:r>
            <w:r>
              <w:rPr>
                <w:rFonts w:eastAsia="方正仿宋_GBK"/>
                <w:color w:val="000000"/>
                <w:sz w:val="18"/>
                <w:szCs w:val="18"/>
              </w:rPr>
              <w:t>　</w:t>
            </w:r>
          </w:p>
        </w:tc>
        <w:tc>
          <w:tcPr>
            <w:tcW w:w="1005"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100%</w:t>
            </w:r>
            <w:r>
              <w:rPr>
                <w:rFonts w:eastAsia="方正仿宋_GBK"/>
                <w:color w:val="000000"/>
                <w:sz w:val="18"/>
                <w:szCs w:val="18"/>
              </w:rPr>
              <w:t>　</w:t>
            </w:r>
          </w:p>
        </w:tc>
        <w:tc>
          <w:tcPr>
            <w:tcW w:w="900" w:type="dxa"/>
            <w:tcBorders>
              <w:top w:val="nil"/>
              <w:left w:val="nil"/>
              <w:bottom w:val="single" w:color="auto" w:sz="4" w:space="0"/>
              <w:right w:val="single" w:color="auto" w:sz="4" w:space="0"/>
            </w:tcBorders>
            <w:noWrap w:val="0"/>
            <w:vAlign w:val="center"/>
          </w:tcPr>
          <w:p>
            <w:pPr>
              <w:jc w:val="center"/>
              <w:rPr>
                <w:rFonts w:eastAsia="方正仿宋_GBK"/>
                <w:sz w:val="18"/>
                <w:szCs w:val="18"/>
              </w:rPr>
            </w:pPr>
            <w:r>
              <w:rPr>
                <w:rFonts w:hint="eastAsia" w:eastAsia="方正仿宋_GBK"/>
                <w:sz w:val="18"/>
                <w:szCs w:val="18"/>
              </w:rPr>
              <w:t>10</w:t>
            </w:r>
            <w:r>
              <w:rPr>
                <w:rFonts w:eastAsia="方正仿宋_GBK"/>
                <w:sz w:val="18"/>
                <w:szCs w:val="18"/>
              </w:rPr>
              <w:t>　</w:t>
            </w:r>
          </w:p>
        </w:tc>
        <w:tc>
          <w:tcPr>
            <w:tcW w:w="1254"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10</w:t>
            </w:r>
            <w:r>
              <w:rPr>
                <w:rFonts w:eastAsia="方正仿宋_GBK"/>
                <w:color w:val="000000"/>
                <w:sz w:val="18"/>
                <w:szCs w:val="18"/>
              </w:rPr>
              <w:t>　</w:t>
            </w:r>
          </w:p>
        </w:tc>
      </w:tr>
      <w:tr>
        <w:tblPrEx>
          <w:tblCellMar>
            <w:top w:w="0" w:type="dxa"/>
            <w:left w:w="108" w:type="dxa"/>
            <w:bottom w:w="0" w:type="dxa"/>
            <w:right w:w="108" w:type="dxa"/>
          </w:tblCellMar>
        </w:tblPrEx>
        <w:trPr>
          <w:trHeight w:val="601"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right"/>
              <w:rPr>
                <w:rFonts w:eastAsia="方正仿宋_GBK"/>
                <w:color w:val="000000"/>
                <w:sz w:val="18"/>
                <w:szCs w:val="18"/>
              </w:rPr>
            </w:pPr>
            <w:r>
              <w:rPr>
                <w:rFonts w:eastAsia="方正仿宋_GBK"/>
                <w:color w:val="000000"/>
                <w:sz w:val="18"/>
                <w:szCs w:val="18"/>
              </w:rPr>
              <w:t>其中：市级支出</w:t>
            </w:r>
          </w:p>
        </w:tc>
        <w:tc>
          <w:tcPr>
            <w:tcW w:w="1174"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174" w:type="dxa"/>
            <w:gridSpan w:val="2"/>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709" w:type="dxa"/>
            <w:gridSpan w:val="2"/>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005"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900"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254"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r>
      <w:tr>
        <w:tblPrEx>
          <w:tblCellMar>
            <w:top w:w="0" w:type="dxa"/>
            <w:left w:w="108" w:type="dxa"/>
            <w:bottom w:w="0" w:type="dxa"/>
            <w:right w:w="108" w:type="dxa"/>
          </w:tblCellMar>
        </w:tblPrEx>
        <w:trPr>
          <w:trHeight w:val="601"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right"/>
              <w:rPr>
                <w:rFonts w:eastAsia="方正仿宋_GBK"/>
                <w:color w:val="000000"/>
                <w:sz w:val="18"/>
                <w:szCs w:val="18"/>
              </w:rPr>
            </w:pPr>
            <w:r>
              <w:rPr>
                <w:rFonts w:eastAsia="方正仿宋_GBK"/>
                <w:color w:val="000000"/>
                <w:sz w:val="18"/>
                <w:szCs w:val="18"/>
              </w:rPr>
              <w:t>补助区县</w:t>
            </w:r>
          </w:p>
        </w:tc>
        <w:tc>
          <w:tcPr>
            <w:tcW w:w="1174" w:type="dxa"/>
            <w:gridSpan w:val="2"/>
            <w:tcBorders>
              <w:top w:val="single" w:color="auto" w:sz="4" w:space="0"/>
              <w:left w:val="single" w:color="auto" w:sz="4" w:space="0"/>
              <w:bottom w:val="single" w:color="auto" w:sz="4" w:space="0"/>
              <w:right w:val="single" w:color="000000"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1174"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方正仿宋_GBK"/>
                <w:color w:val="000000"/>
                <w:sz w:val="18"/>
                <w:szCs w:val="18"/>
                <w:lang w:val="en-US" w:eastAsia="zh-CN"/>
              </w:rPr>
            </w:pPr>
            <w:r>
              <w:rPr>
                <w:rFonts w:eastAsia="方正仿宋_GBK"/>
                <w:color w:val="000000"/>
                <w:sz w:val="18"/>
                <w:szCs w:val="18"/>
              </w:rPr>
              <w:t>　</w:t>
            </w:r>
            <w:r>
              <w:rPr>
                <w:rFonts w:hint="eastAsia" w:eastAsia="方正仿宋_GBK"/>
                <w:color w:val="000000"/>
                <w:sz w:val="18"/>
                <w:szCs w:val="18"/>
                <w:lang w:val="en-US" w:eastAsia="zh-CN"/>
              </w:rPr>
              <w:t>22.5</w:t>
            </w:r>
          </w:p>
        </w:tc>
        <w:tc>
          <w:tcPr>
            <w:tcW w:w="1709"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22.5</w:t>
            </w:r>
          </w:p>
        </w:tc>
        <w:tc>
          <w:tcPr>
            <w:tcW w:w="1005"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100%</w:t>
            </w:r>
            <w:r>
              <w:rPr>
                <w:rFonts w:eastAsia="方正仿宋_GBK"/>
                <w:color w:val="000000"/>
                <w:sz w:val="18"/>
                <w:szCs w:val="18"/>
              </w:rPr>
              <w:t>　</w:t>
            </w:r>
          </w:p>
        </w:tc>
        <w:tc>
          <w:tcPr>
            <w:tcW w:w="900"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rPr>
              <w:t>10</w:t>
            </w:r>
            <w:r>
              <w:rPr>
                <w:rFonts w:eastAsia="方正仿宋_GBK"/>
                <w:color w:val="000000"/>
                <w:sz w:val="18"/>
                <w:szCs w:val="18"/>
              </w:rPr>
              <w:t>　</w:t>
            </w:r>
          </w:p>
        </w:tc>
        <w:tc>
          <w:tcPr>
            <w:tcW w:w="1254" w:type="dxa"/>
            <w:tcBorders>
              <w:top w:val="nil"/>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w:t>
            </w:r>
          </w:p>
        </w:tc>
      </w:tr>
      <w:tr>
        <w:tblPrEx>
          <w:tblCellMar>
            <w:top w:w="0" w:type="dxa"/>
            <w:left w:w="108" w:type="dxa"/>
            <w:bottom w:w="0" w:type="dxa"/>
            <w:right w:w="108" w:type="dxa"/>
          </w:tblCellMar>
        </w:tblPrEx>
        <w:trPr>
          <w:trHeight w:val="601" w:hRule="atLeast"/>
          <w:jc w:val="center"/>
        </w:trPr>
        <w:tc>
          <w:tcPr>
            <w:tcW w:w="56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当年绩效目标</w:t>
            </w:r>
          </w:p>
        </w:tc>
        <w:tc>
          <w:tcPr>
            <w:tcW w:w="20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年初绩效目标</w:t>
            </w:r>
          </w:p>
        </w:tc>
        <w:tc>
          <w:tcPr>
            <w:tcW w:w="288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全年（调整）绩效目标</w:t>
            </w:r>
          </w:p>
        </w:tc>
        <w:tc>
          <w:tcPr>
            <w:tcW w:w="3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全年目标实际完成情况</w:t>
            </w:r>
          </w:p>
        </w:tc>
      </w:tr>
      <w:tr>
        <w:tblPrEx>
          <w:tblCellMar>
            <w:top w:w="0" w:type="dxa"/>
            <w:left w:w="108" w:type="dxa"/>
            <w:bottom w:w="0" w:type="dxa"/>
            <w:right w:w="108" w:type="dxa"/>
          </w:tblCellMar>
        </w:tblPrEx>
        <w:trPr>
          <w:trHeight w:val="1352" w:hRule="atLeast"/>
          <w:jc w:val="center"/>
        </w:trPr>
        <w:tc>
          <w:tcPr>
            <w:tcW w:w="56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202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　</w:t>
            </w:r>
          </w:p>
        </w:tc>
        <w:tc>
          <w:tcPr>
            <w:tcW w:w="288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ascii="方正仿宋_GBK" w:hAnsi="方正仿宋_GBK" w:eastAsia="方正仿宋_GBK" w:cs="方正仿宋_GBK"/>
                <w:sz w:val="16"/>
                <w:szCs w:val="16"/>
                <w:lang w:eastAsia="zh-CN"/>
              </w:rPr>
              <w:t>强化林业安全生产，完成防火隔离带建设，森林防火标志标牌、短信等服务，消防水池维修，铁峰山管护站入口公路硬化，提升林业安全运行质量。</w:t>
            </w:r>
            <w:r>
              <w:rPr>
                <w:rFonts w:eastAsia="方正仿宋_GBK"/>
                <w:color w:val="000000"/>
                <w:sz w:val="18"/>
                <w:szCs w:val="18"/>
              </w:rPr>
              <w:t>　</w:t>
            </w:r>
          </w:p>
        </w:tc>
        <w:tc>
          <w:tcPr>
            <w:tcW w:w="315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ascii="方正仿宋_GBK" w:hAnsi="方正仿宋_GBK" w:eastAsia="方正仿宋_GBK" w:cs="方正仿宋_GBK"/>
                <w:sz w:val="16"/>
                <w:szCs w:val="16"/>
                <w:lang w:eastAsia="zh-CN"/>
              </w:rPr>
              <w:t>完成防火隔离带建设，森林防火标志标牌、短信等服务，消防水池维修，铁峰山管护站入口公路硬化，提升了林业安全运行。</w:t>
            </w:r>
            <w:r>
              <w:rPr>
                <w:rFonts w:eastAsia="方正仿宋_GBK"/>
                <w:color w:val="000000"/>
                <w:sz w:val="18"/>
                <w:szCs w:val="18"/>
              </w:rPr>
              <w:t>　</w:t>
            </w:r>
          </w:p>
        </w:tc>
      </w:tr>
      <w:tr>
        <w:tblPrEx>
          <w:tblCellMar>
            <w:top w:w="0" w:type="dxa"/>
            <w:left w:w="108" w:type="dxa"/>
            <w:bottom w:w="0" w:type="dxa"/>
            <w:right w:w="108" w:type="dxa"/>
          </w:tblCellMar>
        </w:tblPrEx>
        <w:trPr>
          <w:trHeight w:val="1000" w:hRule="atLeast"/>
          <w:jc w:val="center"/>
        </w:trPr>
        <w:tc>
          <w:tcPr>
            <w:tcW w:w="561"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jc w:val="center"/>
              <w:rPr>
                <w:rFonts w:eastAsia="方正仿宋_GBK"/>
                <w:color w:val="000000"/>
                <w:sz w:val="18"/>
                <w:szCs w:val="18"/>
              </w:rPr>
            </w:pPr>
            <w:r>
              <w:rPr>
                <w:rFonts w:eastAsia="方正仿宋_GBK"/>
                <w:color w:val="000000"/>
                <w:sz w:val="18"/>
                <w:szCs w:val="18"/>
              </w:rPr>
              <w:t>绩效指标</w:t>
            </w:r>
          </w:p>
        </w:tc>
        <w:tc>
          <w:tcPr>
            <w:tcW w:w="853" w:type="dxa"/>
            <w:tcBorders>
              <w:top w:val="single" w:color="auto" w:sz="4" w:space="0"/>
              <w:left w:val="nil"/>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指标名称</w:t>
            </w:r>
          </w:p>
        </w:tc>
        <w:tc>
          <w:tcPr>
            <w:tcW w:w="587"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计量</w:t>
            </w:r>
            <w:r>
              <w:rPr>
                <w:rFonts w:eastAsia="方正仿宋_GBK"/>
                <w:color w:val="000000"/>
                <w:sz w:val="18"/>
                <w:szCs w:val="18"/>
              </w:rPr>
              <w:br w:type="textWrapping"/>
            </w:r>
            <w:r>
              <w:rPr>
                <w:rFonts w:eastAsia="方正仿宋_GBK"/>
                <w:color w:val="000000"/>
                <w:sz w:val="18"/>
                <w:szCs w:val="18"/>
              </w:rPr>
              <w:t>单位</w:t>
            </w:r>
          </w:p>
        </w:tc>
        <w:tc>
          <w:tcPr>
            <w:tcW w:w="587"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指标</w:t>
            </w:r>
            <w:r>
              <w:rPr>
                <w:rFonts w:eastAsia="方正仿宋_GBK"/>
                <w:color w:val="000000"/>
                <w:sz w:val="18"/>
                <w:szCs w:val="18"/>
              </w:rPr>
              <w:br w:type="textWrapping"/>
            </w:r>
            <w:r>
              <w:rPr>
                <w:rFonts w:eastAsia="方正仿宋_GBK"/>
                <w:color w:val="000000"/>
                <w:sz w:val="18"/>
                <w:szCs w:val="18"/>
              </w:rPr>
              <w:t>性质</w:t>
            </w:r>
          </w:p>
        </w:tc>
        <w:tc>
          <w:tcPr>
            <w:tcW w:w="587"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年初</w:t>
            </w:r>
            <w:r>
              <w:rPr>
                <w:rFonts w:eastAsia="方正仿宋_GBK"/>
                <w:color w:val="000000"/>
                <w:sz w:val="18"/>
                <w:szCs w:val="18"/>
              </w:rPr>
              <w:br w:type="textWrapping"/>
            </w:r>
            <w:r>
              <w:rPr>
                <w:rFonts w:eastAsia="方正仿宋_GBK"/>
                <w:color w:val="000000"/>
                <w:sz w:val="18"/>
                <w:szCs w:val="18"/>
              </w:rPr>
              <w:t>指标值</w:t>
            </w:r>
          </w:p>
        </w:tc>
        <w:tc>
          <w:tcPr>
            <w:tcW w:w="587"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调整</w:t>
            </w:r>
            <w:r>
              <w:rPr>
                <w:rFonts w:eastAsia="方正仿宋_GBK"/>
                <w:color w:val="000000"/>
                <w:sz w:val="18"/>
                <w:szCs w:val="18"/>
              </w:rPr>
              <w:br w:type="textWrapping"/>
            </w:r>
            <w:r>
              <w:rPr>
                <w:rFonts w:eastAsia="方正仿宋_GBK"/>
                <w:color w:val="000000"/>
                <w:sz w:val="18"/>
                <w:szCs w:val="18"/>
              </w:rPr>
              <w:t>指标值</w:t>
            </w:r>
          </w:p>
        </w:tc>
        <w:tc>
          <w:tcPr>
            <w:tcW w:w="1004"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全年</w:t>
            </w:r>
            <w:r>
              <w:rPr>
                <w:rFonts w:eastAsia="方正仿宋_GBK"/>
                <w:color w:val="000000"/>
                <w:sz w:val="18"/>
                <w:szCs w:val="18"/>
              </w:rPr>
              <w:br w:type="textWrapping"/>
            </w:r>
            <w:r>
              <w:rPr>
                <w:rFonts w:eastAsia="方正仿宋_GBK"/>
                <w:color w:val="000000"/>
                <w:sz w:val="18"/>
                <w:szCs w:val="18"/>
              </w:rPr>
              <w:t>完成值</w:t>
            </w:r>
          </w:p>
        </w:tc>
        <w:tc>
          <w:tcPr>
            <w:tcW w:w="705"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得分系数</w:t>
            </w:r>
            <w:r>
              <w:rPr>
                <w:rFonts w:eastAsia="方正仿宋_GBK"/>
                <w:color w:val="000000"/>
                <w:sz w:val="18"/>
                <w:szCs w:val="18"/>
              </w:rPr>
              <w:br w:type="textWrapping"/>
            </w:r>
            <w:r>
              <w:rPr>
                <w:rFonts w:eastAsia="方正仿宋_GBK"/>
                <w:color w:val="000000"/>
                <w:sz w:val="18"/>
                <w:szCs w:val="18"/>
              </w:rPr>
              <w:t>（%）</w:t>
            </w:r>
          </w:p>
        </w:tc>
        <w:tc>
          <w:tcPr>
            <w:tcW w:w="1005"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指标权重</w:t>
            </w:r>
            <w:r>
              <w:rPr>
                <w:rFonts w:eastAsia="方正仿宋_GBK"/>
                <w:color w:val="000000"/>
                <w:sz w:val="18"/>
                <w:szCs w:val="18"/>
              </w:rPr>
              <w:br w:type="textWrapping"/>
            </w:r>
            <w:r>
              <w:rPr>
                <w:rFonts w:eastAsia="方正仿宋_GBK"/>
                <w:color w:val="000000"/>
                <w:sz w:val="18"/>
                <w:szCs w:val="18"/>
              </w:rPr>
              <w:t>（分）</w:t>
            </w:r>
          </w:p>
        </w:tc>
        <w:tc>
          <w:tcPr>
            <w:tcW w:w="900"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指标得分</w:t>
            </w:r>
            <w:r>
              <w:rPr>
                <w:rFonts w:eastAsia="方正仿宋_GBK"/>
                <w:color w:val="000000"/>
                <w:sz w:val="18"/>
                <w:szCs w:val="18"/>
              </w:rPr>
              <w:br w:type="textWrapping"/>
            </w:r>
            <w:r>
              <w:rPr>
                <w:rFonts w:eastAsia="方正仿宋_GBK"/>
                <w:color w:val="000000"/>
                <w:sz w:val="18"/>
                <w:szCs w:val="18"/>
              </w:rPr>
              <w:t>（分）</w:t>
            </w:r>
          </w:p>
        </w:tc>
        <w:tc>
          <w:tcPr>
            <w:tcW w:w="1254" w:type="dxa"/>
            <w:tcBorders>
              <w:top w:val="single" w:color="auto" w:sz="4" w:space="0"/>
              <w:left w:val="nil"/>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是否核心</w:t>
            </w:r>
            <w:r>
              <w:rPr>
                <w:rFonts w:eastAsia="方正仿宋_GBK"/>
                <w:color w:val="000000"/>
                <w:sz w:val="18"/>
                <w:szCs w:val="18"/>
              </w:rPr>
              <w:br w:type="textWrapping"/>
            </w:r>
            <w:r>
              <w:rPr>
                <w:rFonts w:eastAsia="方正仿宋_GBK"/>
                <w:color w:val="000000"/>
                <w:sz w:val="18"/>
                <w:szCs w:val="18"/>
              </w:rPr>
              <w:t>指标</w:t>
            </w:r>
          </w:p>
        </w:tc>
      </w:tr>
      <w:tr>
        <w:tblPrEx>
          <w:tblCellMar>
            <w:top w:w="0" w:type="dxa"/>
            <w:left w:w="108" w:type="dxa"/>
            <w:bottom w:w="0" w:type="dxa"/>
            <w:right w:w="108" w:type="dxa"/>
          </w:tblCellMar>
        </w:tblPrEx>
        <w:trPr>
          <w:trHeight w:val="523"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防火公路排危整治</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M³</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110</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110</w:t>
            </w:r>
            <w:r>
              <w:rPr>
                <w:rFonts w:eastAsia="方正仿宋_GBK"/>
                <w:color w:val="000000"/>
                <w:sz w:val="18"/>
                <w:szCs w:val="18"/>
              </w:rPr>
              <w:t>　</w:t>
            </w:r>
          </w:p>
        </w:tc>
        <w:tc>
          <w:tcPr>
            <w:tcW w:w="1004"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100</w:t>
            </w:r>
          </w:p>
        </w:tc>
        <w:tc>
          <w:tcPr>
            <w:tcW w:w="7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100</w:t>
            </w:r>
          </w:p>
        </w:tc>
        <w:tc>
          <w:tcPr>
            <w:tcW w:w="10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20</w:t>
            </w:r>
            <w:r>
              <w:rPr>
                <w:rFonts w:eastAsia="方正仿宋_GBK"/>
                <w:color w:val="000000"/>
                <w:sz w:val="18"/>
                <w:szCs w:val="18"/>
              </w:rPr>
              <w:t>　</w:t>
            </w:r>
          </w:p>
        </w:tc>
        <w:tc>
          <w:tcPr>
            <w:tcW w:w="900"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1254" w:type="dxa"/>
            <w:tcBorders>
              <w:top w:val="nil"/>
              <w:left w:val="single" w:color="auto" w:sz="4" w:space="0"/>
              <w:bottom w:val="single" w:color="auto" w:sz="4" w:space="0"/>
              <w:right w:val="single" w:color="auto" w:sz="4" w:space="0"/>
            </w:tcBorders>
            <w:noWrap w:val="0"/>
            <w:vAlign w:val="center"/>
          </w:tcPr>
          <w:p>
            <w:pPr>
              <w:jc w:val="center"/>
              <w:rPr>
                <w:rFonts w:hint="eastAsia" w:eastAsia="方正仿宋_GBK"/>
                <w:color w:val="000000"/>
                <w:sz w:val="18"/>
                <w:szCs w:val="18"/>
                <w:lang w:eastAsia="zh-CN"/>
              </w:rPr>
            </w:pPr>
            <w:r>
              <w:rPr>
                <w:rFonts w:hint="eastAsia" w:eastAsia="方正仿宋_GBK"/>
                <w:color w:val="000000"/>
                <w:sz w:val="18"/>
                <w:szCs w:val="18"/>
                <w:lang w:eastAsia="zh-CN"/>
              </w:rPr>
              <w:t>否</w:t>
            </w:r>
          </w:p>
        </w:tc>
      </w:tr>
      <w:tr>
        <w:tblPrEx>
          <w:tblCellMar>
            <w:top w:w="0" w:type="dxa"/>
            <w:left w:w="108" w:type="dxa"/>
            <w:bottom w:w="0" w:type="dxa"/>
            <w:right w:w="108" w:type="dxa"/>
          </w:tblCellMar>
        </w:tblPrEx>
        <w:trPr>
          <w:trHeight w:val="523"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消防水桶</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个</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6</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6</w:t>
            </w:r>
            <w:r>
              <w:rPr>
                <w:rFonts w:eastAsia="方正仿宋_GBK"/>
                <w:color w:val="000000"/>
                <w:sz w:val="18"/>
                <w:szCs w:val="18"/>
              </w:rPr>
              <w:t>　</w:t>
            </w:r>
          </w:p>
        </w:tc>
        <w:tc>
          <w:tcPr>
            <w:tcW w:w="1004"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6</w:t>
            </w:r>
            <w:r>
              <w:rPr>
                <w:rFonts w:eastAsia="方正仿宋_GBK"/>
                <w:color w:val="000000"/>
                <w:sz w:val="18"/>
                <w:szCs w:val="18"/>
              </w:rPr>
              <w:t>　</w:t>
            </w:r>
          </w:p>
        </w:tc>
        <w:tc>
          <w:tcPr>
            <w:tcW w:w="7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100</w:t>
            </w:r>
          </w:p>
        </w:tc>
        <w:tc>
          <w:tcPr>
            <w:tcW w:w="10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900"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1254" w:type="dxa"/>
            <w:tcBorders>
              <w:top w:val="nil"/>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否</w:t>
            </w:r>
            <w:r>
              <w:rPr>
                <w:rFonts w:eastAsia="方正仿宋_GBK"/>
                <w:color w:val="000000"/>
                <w:sz w:val="18"/>
                <w:szCs w:val="18"/>
              </w:rPr>
              <w:t>　</w:t>
            </w:r>
          </w:p>
        </w:tc>
      </w:tr>
      <w:tr>
        <w:tblPrEx>
          <w:tblCellMar>
            <w:top w:w="0" w:type="dxa"/>
            <w:left w:w="108" w:type="dxa"/>
            <w:bottom w:w="0" w:type="dxa"/>
            <w:right w:w="108" w:type="dxa"/>
          </w:tblCellMar>
        </w:tblPrEx>
        <w:trPr>
          <w:trHeight w:val="523"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维修花台</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米</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50</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50</w:t>
            </w:r>
          </w:p>
        </w:tc>
        <w:tc>
          <w:tcPr>
            <w:tcW w:w="1004"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50</w:t>
            </w:r>
          </w:p>
        </w:tc>
        <w:tc>
          <w:tcPr>
            <w:tcW w:w="7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100</w:t>
            </w:r>
          </w:p>
        </w:tc>
        <w:tc>
          <w:tcPr>
            <w:tcW w:w="10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900"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1254" w:type="dxa"/>
            <w:tcBorders>
              <w:top w:val="nil"/>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否</w:t>
            </w:r>
            <w:r>
              <w:rPr>
                <w:rFonts w:eastAsia="方正仿宋_GBK"/>
                <w:color w:val="000000"/>
                <w:sz w:val="18"/>
                <w:szCs w:val="18"/>
              </w:rPr>
              <w:t>　</w:t>
            </w:r>
          </w:p>
        </w:tc>
      </w:tr>
      <w:tr>
        <w:tblPrEx>
          <w:tblCellMar>
            <w:top w:w="0" w:type="dxa"/>
            <w:left w:w="108" w:type="dxa"/>
            <w:bottom w:w="0" w:type="dxa"/>
            <w:right w:w="108" w:type="dxa"/>
          </w:tblCellMar>
        </w:tblPrEx>
        <w:trPr>
          <w:trHeight w:val="523"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center"/>
              <w:rPr>
                <w:rFonts w:hint="eastAsia" w:eastAsia="方正仿宋_GBK"/>
                <w:color w:val="000000"/>
                <w:sz w:val="18"/>
                <w:szCs w:val="18"/>
                <w:lang w:eastAsia="zh-CN"/>
              </w:rPr>
            </w:pPr>
            <w:r>
              <w:rPr>
                <w:rFonts w:hint="eastAsia" w:eastAsia="方正仿宋_GBK"/>
                <w:color w:val="000000"/>
                <w:sz w:val="18"/>
                <w:szCs w:val="18"/>
                <w:lang w:eastAsia="zh-CN"/>
              </w:rPr>
              <w:t>地坪硬化</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M³</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100</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100</w:t>
            </w:r>
          </w:p>
        </w:tc>
        <w:tc>
          <w:tcPr>
            <w:tcW w:w="1004"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100</w:t>
            </w:r>
          </w:p>
        </w:tc>
        <w:tc>
          <w:tcPr>
            <w:tcW w:w="7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100</w:t>
            </w:r>
          </w:p>
        </w:tc>
        <w:tc>
          <w:tcPr>
            <w:tcW w:w="10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900"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1254" w:type="dxa"/>
            <w:tcBorders>
              <w:top w:val="nil"/>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否</w:t>
            </w:r>
            <w:r>
              <w:rPr>
                <w:rFonts w:eastAsia="方正仿宋_GBK"/>
                <w:color w:val="000000"/>
                <w:sz w:val="18"/>
                <w:szCs w:val="18"/>
              </w:rPr>
              <w:t>　</w:t>
            </w:r>
          </w:p>
        </w:tc>
      </w:tr>
      <w:tr>
        <w:tblPrEx>
          <w:tblCellMar>
            <w:top w:w="0" w:type="dxa"/>
            <w:left w:w="108" w:type="dxa"/>
            <w:bottom w:w="0" w:type="dxa"/>
            <w:right w:w="108" w:type="dxa"/>
          </w:tblCellMar>
        </w:tblPrEx>
        <w:trPr>
          <w:trHeight w:val="523" w:hRule="atLeast"/>
          <w:jc w:val="center"/>
        </w:trPr>
        <w:tc>
          <w:tcPr>
            <w:tcW w:w="561" w:type="dxa"/>
            <w:vMerge w:val="continue"/>
            <w:tcBorders>
              <w:top w:val="nil"/>
              <w:left w:val="single" w:color="auto" w:sz="4" w:space="0"/>
              <w:bottom w:val="single" w:color="auto" w:sz="4" w:space="0"/>
              <w:right w:val="single" w:color="auto" w:sz="4" w:space="0"/>
            </w:tcBorders>
            <w:noWrap w:val="0"/>
            <w:vAlign w:val="center"/>
          </w:tcPr>
          <w:p>
            <w:pPr>
              <w:rPr>
                <w:rFonts w:eastAsia="方正仿宋_GBK"/>
                <w:color w:val="000000"/>
                <w:sz w:val="18"/>
                <w:szCs w:val="18"/>
              </w:rPr>
            </w:pPr>
          </w:p>
        </w:tc>
        <w:tc>
          <w:tcPr>
            <w:tcW w:w="853" w:type="dxa"/>
            <w:tcBorders>
              <w:top w:val="nil"/>
              <w:left w:val="nil"/>
              <w:bottom w:val="single" w:color="auto" w:sz="4" w:space="0"/>
              <w:right w:val="nil"/>
            </w:tcBorders>
            <w:noWrap w:val="0"/>
            <w:vAlign w:val="center"/>
          </w:tcPr>
          <w:p>
            <w:pPr>
              <w:jc w:val="center"/>
              <w:rPr>
                <w:rFonts w:hint="eastAsia" w:eastAsia="方正仿宋_GBK"/>
                <w:color w:val="000000"/>
                <w:sz w:val="18"/>
                <w:szCs w:val="18"/>
                <w:lang w:eastAsia="zh-CN"/>
              </w:rPr>
            </w:pPr>
            <w:r>
              <w:rPr>
                <w:rFonts w:hint="eastAsia" w:eastAsia="方正仿宋_GBK"/>
                <w:color w:val="000000"/>
                <w:sz w:val="18"/>
                <w:szCs w:val="18"/>
                <w:lang w:eastAsia="zh-CN"/>
              </w:rPr>
              <w:t>受益对象满意度</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rPr>
              <w:t>百分比</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hint="eastAsia" w:eastAsia="方正仿宋_GBK"/>
                <w:color w:val="000000"/>
                <w:sz w:val="18"/>
                <w:szCs w:val="18"/>
              </w:rPr>
            </w:pPr>
            <w:r>
              <w:rPr>
                <w:rFonts w:hint="eastAsia" w:eastAsia="方正仿宋_GBK"/>
                <w:color w:val="000000"/>
                <w:sz w:val="18"/>
                <w:szCs w:val="18"/>
              </w:rPr>
              <w:t>≥</w:t>
            </w:r>
          </w:p>
        </w:tc>
        <w:tc>
          <w:tcPr>
            <w:tcW w:w="587"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hint="eastAsia" w:eastAsia="方正仿宋_GBK"/>
                <w:color w:val="000000"/>
                <w:sz w:val="18"/>
                <w:szCs w:val="18"/>
                <w:lang w:val="en-US" w:eastAsia="zh-CN"/>
              </w:rPr>
              <w:t>90</w:t>
            </w:r>
            <w:r>
              <w:rPr>
                <w:rFonts w:eastAsia="方正仿宋_GBK"/>
                <w:color w:val="000000"/>
                <w:sz w:val="18"/>
                <w:szCs w:val="18"/>
              </w:rPr>
              <w:t>　</w:t>
            </w:r>
          </w:p>
        </w:tc>
        <w:tc>
          <w:tcPr>
            <w:tcW w:w="587"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90</w:t>
            </w:r>
          </w:p>
        </w:tc>
        <w:tc>
          <w:tcPr>
            <w:tcW w:w="1004" w:type="dxa"/>
            <w:tcBorders>
              <w:top w:val="nil"/>
              <w:left w:val="single" w:color="auto" w:sz="4" w:space="0"/>
              <w:bottom w:val="single" w:color="auto" w:sz="4" w:space="0"/>
              <w:right w:val="nil"/>
            </w:tcBorders>
            <w:noWrap w:val="0"/>
            <w:vAlign w:val="center"/>
          </w:tcPr>
          <w:p>
            <w:pPr>
              <w:jc w:val="center"/>
              <w:rPr>
                <w:rFonts w:hint="default" w:eastAsia="方正仿宋_GBK"/>
                <w:color w:val="000000"/>
                <w:sz w:val="18"/>
                <w:szCs w:val="18"/>
                <w:lang w:val="en-US" w:eastAsia="zh-CN"/>
              </w:rPr>
            </w:pPr>
            <w:r>
              <w:rPr>
                <w:rFonts w:hint="eastAsia" w:eastAsia="方正仿宋_GBK"/>
                <w:color w:val="000000"/>
                <w:sz w:val="18"/>
                <w:szCs w:val="18"/>
                <w:lang w:val="en-US" w:eastAsia="zh-CN"/>
              </w:rPr>
              <w:t>90</w:t>
            </w:r>
          </w:p>
        </w:tc>
        <w:tc>
          <w:tcPr>
            <w:tcW w:w="7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100</w:t>
            </w:r>
          </w:p>
        </w:tc>
        <w:tc>
          <w:tcPr>
            <w:tcW w:w="1005"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900" w:type="dxa"/>
            <w:tcBorders>
              <w:top w:val="nil"/>
              <w:left w:val="single" w:color="auto" w:sz="4" w:space="0"/>
              <w:bottom w:val="single" w:color="auto" w:sz="4" w:space="0"/>
              <w:right w:val="nil"/>
            </w:tcBorders>
            <w:noWrap w:val="0"/>
            <w:vAlign w:val="center"/>
          </w:tcPr>
          <w:p>
            <w:pPr>
              <w:jc w:val="center"/>
              <w:rPr>
                <w:rFonts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20</w:t>
            </w:r>
          </w:p>
        </w:tc>
        <w:tc>
          <w:tcPr>
            <w:tcW w:w="1254" w:type="dxa"/>
            <w:tcBorders>
              <w:top w:val="nil"/>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hint="eastAsia" w:eastAsia="方正仿宋_GBK"/>
                <w:color w:val="000000"/>
                <w:sz w:val="18"/>
                <w:szCs w:val="18"/>
                <w:lang w:eastAsia="zh-CN"/>
              </w:rPr>
              <w:t>否</w:t>
            </w:r>
            <w:r>
              <w:rPr>
                <w:rFonts w:eastAsia="方正仿宋_GBK"/>
                <w:color w:val="000000"/>
                <w:sz w:val="18"/>
                <w:szCs w:val="18"/>
              </w:rPr>
              <w:t>　</w:t>
            </w:r>
          </w:p>
        </w:tc>
      </w:tr>
      <w:tr>
        <w:tblPrEx>
          <w:tblCellMar>
            <w:top w:w="0" w:type="dxa"/>
            <w:left w:w="108" w:type="dxa"/>
            <w:bottom w:w="0" w:type="dxa"/>
            <w:right w:w="108" w:type="dxa"/>
          </w:tblCellMar>
        </w:tblPrEx>
        <w:trPr>
          <w:trHeight w:val="755" w:hRule="atLeast"/>
          <w:jc w:val="center"/>
        </w:trPr>
        <w:tc>
          <w:tcPr>
            <w:tcW w:w="561" w:type="dxa"/>
            <w:tcBorders>
              <w:top w:val="nil"/>
              <w:left w:val="single" w:color="auto" w:sz="4" w:space="0"/>
              <w:bottom w:val="single" w:color="auto" w:sz="4" w:space="0"/>
              <w:right w:val="single" w:color="auto" w:sz="4" w:space="0"/>
            </w:tcBorders>
            <w:noWrap w:val="0"/>
            <w:vAlign w:val="center"/>
          </w:tcPr>
          <w:p>
            <w:pPr>
              <w:jc w:val="center"/>
              <w:rPr>
                <w:rFonts w:eastAsia="方正仿宋_GBK"/>
                <w:color w:val="000000"/>
                <w:sz w:val="18"/>
                <w:szCs w:val="18"/>
              </w:rPr>
            </w:pPr>
            <w:r>
              <w:rPr>
                <w:rFonts w:eastAsia="方正仿宋_GBK"/>
                <w:color w:val="000000"/>
                <w:sz w:val="18"/>
                <w:szCs w:val="18"/>
              </w:rPr>
              <w:t>说明</w:t>
            </w:r>
          </w:p>
        </w:tc>
        <w:tc>
          <w:tcPr>
            <w:tcW w:w="8069" w:type="dxa"/>
            <w:gridSpan w:val="10"/>
            <w:tcBorders>
              <w:top w:val="single" w:color="auto" w:sz="4" w:space="0"/>
              <w:left w:val="nil"/>
              <w:bottom w:val="single" w:color="auto" w:sz="4" w:space="0"/>
              <w:right w:val="single" w:color="auto" w:sz="4" w:space="0"/>
            </w:tcBorders>
            <w:noWrap w:val="0"/>
            <w:vAlign w:val="center"/>
          </w:tcPr>
          <w:p>
            <w:pPr>
              <w:rPr>
                <w:rFonts w:hint="eastAsia" w:eastAsia="方正仿宋_GBK"/>
                <w:color w:val="000000"/>
                <w:sz w:val="18"/>
                <w:szCs w:val="18"/>
              </w:rPr>
            </w:pPr>
            <w:r>
              <w:rPr>
                <w:rFonts w:eastAsia="方正仿宋_GBK"/>
                <w:color w:val="000000"/>
                <w:sz w:val="18"/>
                <w:szCs w:val="18"/>
              </w:rPr>
              <w:t>　</w:t>
            </w:r>
            <w:r>
              <w:rPr>
                <w:rFonts w:hint="eastAsia" w:eastAsia="方正仿宋_GBK"/>
                <w:color w:val="000000"/>
                <w:sz w:val="18"/>
                <w:szCs w:val="18"/>
              </w:rPr>
              <w:t>无</w:t>
            </w:r>
          </w:p>
        </w:tc>
      </w:tr>
    </w:tbl>
    <w:p>
      <w:pPr>
        <w:keepNext w:val="0"/>
        <w:keepLines w:val="0"/>
        <w:pageBreakBefore w:val="0"/>
        <w:widowControl/>
        <w:numPr>
          <w:ilvl w:val="0"/>
          <w:numId w:val="8"/>
        </w:numPr>
        <w:kinsoku/>
        <w:wordWrap/>
        <w:overflowPunct/>
        <w:topLinePunct w:val="0"/>
        <w:autoSpaceDE/>
        <w:autoSpaceDN/>
        <w:bidi w:val="0"/>
        <w:adjustRightInd/>
        <w:snapToGrid/>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专业名词解释</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财政拨款收入</w:t>
      </w:r>
      <w:r>
        <w:rPr>
          <w:rFonts w:hint="eastAsia" w:ascii="方正黑体_GBK" w:hAnsi="方正黑体_GBK" w:eastAsia="方正黑体_GBK" w:cs="方正黑体_GBK"/>
          <w:color w:val="auto"/>
          <w:sz w:val="32"/>
          <w:szCs w:val="32"/>
          <w:lang w:val="en-US" w:eastAsia="zh-CN"/>
        </w:rPr>
        <w:t>：</w:t>
      </w:r>
      <w:r>
        <w:rPr>
          <w:rFonts w:hint="eastAsia" w:ascii="方正仿宋_GBK" w:hAnsi="方正仿宋_GBK" w:eastAsia="方正仿宋_GBK" w:cs="方正仿宋_GBK"/>
          <w:color w:val="auto"/>
          <w:sz w:val="32"/>
          <w:szCs w:val="32"/>
          <w:lang w:val="en-US" w:eastAsia="zh-CN"/>
        </w:rPr>
        <w:t>指本年度从本级财政部门取得的财政拨款，包括一般公共预算财政拨款和政府性基金预算财政拨款。</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事业收入：</w:t>
      </w:r>
      <w:r>
        <w:rPr>
          <w:rFonts w:hint="eastAsia" w:ascii="方正仿宋_GBK" w:hAnsi="方正仿宋_GBK" w:eastAsia="方正仿宋_GBK" w:cs="方正仿宋_GBK"/>
          <w:sz w:val="32"/>
          <w:szCs w:val="32"/>
        </w:rPr>
        <w:t>指事业单位开展专业业务活动及其辅助活动取得的现金流入；事业单位收到的财政专户实际核拨的教育收费等资金在此反映。</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经营收入：</w:t>
      </w:r>
      <w:r>
        <w:rPr>
          <w:rFonts w:hint="eastAsia" w:ascii="方正仿宋_GBK" w:hAnsi="方正仿宋_GBK" w:eastAsia="方正仿宋_GBK" w:cs="方正仿宋_GBK"/>
          <w:sz w:val="32"/>
          <w:szCs w:val="32"/>
        </w:rPr>
        <w:t>指事业单位在专业业务活动及其辅助活动之外开展非独立核算经营活动取得的现金流入。</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其他收入：</w:t>
      </w:r>
      <w:r>
        <w:rPr>
          <w:rFonts w:hint="eastAsia" w:ascii="方正仿宋_GBK" w:hAnsi="方正仿宋_GBK" w:eastAsia="方正仿宋_GBK" w:cs="方正仿宋_GBK"/>
          <w:color w:val="auto"/>
          <w:sz w:val="32"/>
          <w:szCs w:val="32"/>
          <w:lang w:val="en-US"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使用非财政拨款结余：</w:t>
      </w:r>
      <w:r>
        <w:rPr>
          <w:rFonts w:hint="eastAsia" w:ascii="方正仿宋_GBK" w:hAnsi="方正仿宋_GBK" w:eastAsia="方正仿宋_GBK" w:cs="方正仿宋_GBK"/>
          <w:sz w:val="32"/>
          <w:szCs w:val="32"/>
        </w:rPr>
        <w:t>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年初结转和结余：</w:t>
      </w:r>
      <w:r>
        <w:rPr>
          <w:rFonts w:hint="eastAsia" w:ascii="方正仿宋_GBK" w:hAnsi="方正仿宋_GBK" w:eastAsia="方正仿宋_GBK" w:cs="方正仿宋_GBK"/>
          <w:sz w:val="32"/>
          <w:szCs w:val="32"/>
        </w:rPr>
        <w:t>指单位上年结转本年使用的基本支出结转、项目支出结转和结余、经营结余。</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结余分配：</w:t>
      </w:r>
      <w:r>
        <w:rPr>
          <w:rFonts w:hint="eastAsia" w:ascii="方正仿宋_GBK" w:hAnsi="方正仿宋_GBK" w:eastAsia="方正仿宋_GBK" w:cs="方正仿宋_GBK"/>
          <w:color w:val="auto"/>
          <w:sz w:val="32"/>
          <w:szCs w:val="32"/>
          <w:lang w:val="en-US" w:eastAsia="zh-CN"/>
        </w:rPr>
        <w:t>指单位按照国家有关规定，缴纳所得税、提取专用基金、转入非财政拨款结余等当年结余的分配情况。</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年末结转和结余：</w:t>
      </w:r>
      <w:r>
        <w:rPr>
          <w:rFonts w:hint="eastAsia" w:ascii="方正仿宋_GBK" w:hAnsi="方正仿宋_GBK" w:eastAsia="方正仿宋_GBK" w:cs="方正仿宋_GBK"/>
          <w:sz w:val="32"/>
          <w:szCs w:val="32"/>
        </w:rPr>
        <w:t>指单位结转下年的基本支出结转、项目支出结转和结余、经营结余。</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基本支出：</w:t>
      </w:r>
      <w:r>
        <w:rPr>
          <w:rFonts w:hint="eastAsia" w:ascii="方正仿宋_GBK" w:hAnsi="方正仿宋_GBK" w:eastAsia="方正仿宋_GBK" w:cs="方正仿宋_GBK"/>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项目支出：</w:t>
      </w:r>
      <w:r>
        <w:rPr>
          <w:rFonts w:hint="eastAsia" w:ascii="方正仿宋_GBK" w:hAnsi="方正仿宋_GBK" w:eastAsia="方正仿宋_GBK" w:cs="方正仿宋_GBK"/>
          <w:sz w:val="32"/>
          <w:szCs w:val="32"/>
        </w:rPr>
        <w:t>指在基本支出之外为完成特定行政任务和事业发展目标所发生的支出。</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经营支出：</w:t>
      </w:r>
      <w:r>
        <w:rPr>
          <w:rFonts w:hint="eastAsia" w:ascii="方正仿宋_GBK" w:hAnsi="方正仿宋_GBK" w:eastAsia="方正仿宋_GBK" w:cs="方正仿宋_GBK"/>
          <w:sz w:val="32"/>
          <w:szCs w:val="32"/>
        </w:rPr>
        <w:t>指事业单位在专业业务活动及其辅助活动之外开展非独立核算经营活动发生的支出。</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“三公”经费：</w:t>
      </w:r>
      <w:r>
        <w:rPr>
          <w:rFonts w:hint="eastAsia" w:ascii="方正仿宋_GBK" w:hAnsi="方正仿宋_GBK" w:eastAsia="方正仿宋_GBK" w:cs="方正仿宋_GBK"/>
          <w:color w:val="auto"/>
          <w:sz w:val="32"/>
          <w:szCs w:val="32"/>
          <w:lang w:val="en-US"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机关运行经费：</w:t>
      </w:r>
      <w:r>
        <w:rPr>
          <w:rFonts w:hint="eastAsia" w:ascii="方正仿宋_GBK" w:hAnsi="方正仿宋_GBK" w:eastAsia="方正仿宋_GBK" w:cs="方正仿宋_GBK"/>
          <w:color w:val="auto"/>
          <w:sz w:val="32"/>
          <w:szCs w:val="32"/>
          <w:lang w:val="en-US" w:eastAsia="zh-CN"/>
        </w:rPr>
        <w:t>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工资福利支出（支出经济分类科目类级）</w:t>
      </w:r>
      <w:r>
        <w:rPr>
          <w:rFonts w:hint="eastAsia"/>
          <w:sz w:val="27"/>
          <w:szCs w:val="27"/>
        </w:rPr>
        <w:t>：</w:t>
      </w:r>
      <w:r>
        <w:rPr>
          <w:rFonts w:hint="eastAsia" w:ascii="方正仿宋_GBK" w:hAnsi="方正仿宋_GBK" w:eastAsia="方正仿宋_GBK" w:cs="方正仿宋_GBK"/>
          <w:sz w:val="32"/>
          <w:szCs w:val="32"/>
        </w:rPr>
        <w:t>反映单位开支的在职职工和编制外长期聘用人员的各类劳动报酬，以及为上述人员缴纳的各项社会保险费等。</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商品和服务支出（支出经济分类科目类级）</w:t>
      </w:r>
      <w:r>
        <w:rPr>
          <w:rFonts w:hint="eastAsia"/>
          <w:sz w:val="27"/>
          <w:szCs w:val="27"/>
        </w:rPr>
        <w:t>：</w:t>
      </w:r>
      <w:r>
        <w:rPr>
          <w:rFonts w:hint="eastAsia" w:ascii="方正仿宋_GBK" w:hAnsi="方正仿宋_GBK" w:eastAsia="方正仿宋_GBK" w:cs="方正仿宋_GBK"/>
          <w:sz w:val="32"/>
          <w:szCs w:val="32"/>
        </w:rPr>
        <w:t>反映单位购买商品和服务的支出（不包括用于购置固定资产的支出、战略性和应急储备支出）。</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对个人和家庭的补助（支出经济分类科目类级）：</w:t>
      </w:r>
      <w:r>
        <w:rPr>
          <w:rFonts w:hint="eastAsia" w:ascii="方正仿宋_GBK" w:hAnsi="方正仿宋_GBK" w:eastAsia="方正仿宋_GBK" w:cs="方正仿宋_GBK"/>
          <w:color w:val="auto"/>
          <w:sz w:val="32"/>
          <w:szCs w:val="32"/>
          <w:lang w:val="en-US" w:eastAsia="zh-CN"/>
        </w:rPr>
        <w:t>反映用于对个人和家庭的补助支出。</w:t>
      </w:r>
    </w:p>
    <w:p>
      <w:pPr>
        <w:keepNext w:val="0"/>
        <w:keepLines w:val="0"/>
        <w:pageBreakBefore w:val="0"/>
        <w:widowControl/>
        <w:numPr>
          <w:ilvl w:val="0"/>
          <w:numId w:val="9"/>
        </w:numPr>
        <w:kinsoku/>
        <w:wordWrap/>
        <w:overflowPunct/>
        <w:topLinePunct w:val="0"/>
        <w:autoSpaceDE/>
        <w:autoSpaceDN/>
        <w:bidi w:val="0"/>
        <w:adjustRightInd/>
        <w:snapToGrid/>
        <w:jc w:val="left"/>
        <w:textAlignment w:val="auto"/>
        <w:rPr>
          <w:rFonts w:hint="eastAsia" w:ascii="方正仿宋_GBK" w:hAnsi="方正仿宋_GBK" w:eastAsia="方正仿宋_GBK" w:cs="方正仿宋_GBK"/>
          <w:color w:val="auto"/>
          <w:sz w:val="32"/>
          <w:szCs w:val="32"/>
          <w:lang w:val="en-US" w:eastAsia="zh-CN"/>
        </w:rPr>
      </w:pPr>
      <w:r>
        <w:rPr>
          <w:rStyle w:val="6"/>
          <w:rFonts w:hint="eastAsia" w:ascii="方正楷体_GBK" w:hAnsi="方正楷体_GBK" w:eastAsia="方正楷体_GBK" w:cs="方正楷体_GBK"/>
          <w:b w:val="0"/>
          <w:bCs w:val="0"/>
          <w:sz w:val="32"/>
          <w:szCs w:val="32"/>
        </w:rPr>
        <w:t>其他资本性支出（支出经济分类科目类级）</w:t>
      </w:r>
      <w:r>
        <w:rPr>
          <w:rFonts w:hint="eastAsia"/>
          <w:sz w:val="27"/>
          <w:szCs w:val="27"/>
        </w:rPr>
        <w:t>：</w:t>
      </w:r>
      <w:r>
        <w:rPr>
          <w:rFonts w:hint="eastAsia" w:ascii="方正仿宋_GBK" w:hAnsi="方正仿宋_GBK" w:eastAsia="方正仿宋_GBK" w:cs="方正仿宋_GBK"/>
          <w:sz w:val="32"/>
          <w:szCs w:val="32"/>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numPr>
          <w:ilvl w:val="0"/>
          <w:numId w:val="8"/>
        </w:numPr>
        <w:kinsoku/>
        <w:wordWrap/>
        <w:overflowPunct/>
        <w:topLinePunct w:val="0"/>
        <w:autoSpaceDE/>
        <w:autoSpaceDN/>
        <w:bidi w:val="0"/>
        <w:adjustRightInd/>
        <w:snapToGrid/>
        <w:ind w:left="0" w:leftChars="0" w:firstLine="0" w:firstLineChars="0"/>
        <w:jc w:val="left"/>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决算公开联系方式及信息反馈渠道</w:t>
      </w:r>
    </w:p>
    <w:p>
      <w:pPr>
        <w:keepNext w:val="0"/>
        <w:keepLines w:val="0"/>
        <w:pageBreakBefore w:val="0"/>
        <w:widowControl/>
        <w:numPr>
          <w:ilvl w:val="0"/>
          <w:numId w:val="0"/>
        </w:numPr>
        <w:kinsoku/>
        <w:wordWrap/>
        <w:overflowPunct/>
        <w:topLinePunct w:val="0"/>
        <w:autoSpaceDE/>
        <w:autoSpaceDN/>
        <w:bidi w:val="0"/>
        <w:adjustRightInd/>
        <w:snapToGrid/>
        <w:ind w:leftChars="0" w:firstLine="640" w:firstLineChars="2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本单位决算公开信息反馈和联系方式：023-58292395</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78B3CD"/>
    <w:multiLevelType w:val="singleLevel"/>
    <w:tmpl w:val="8478B3CD"/>
    <w:lvl w:ilvl="0" w:tentative="0">
      <w:start w:val="1"/>
      <w:numFmt w:val="chineseCounting"/>
      <w:suff w:val="nothing"/>
      <w:lvlText w:val="（%1）"/>
      <w:lvlJc w:val="left"/>
      <w:rPr>
        <w:rFonts w:hint="eastAsia"/>
      </w:rPr>
    </w:lvl>
  </w:abstractNum>
  <w:abstractNum w:abstractNumId="1">
    <w:nsid w:val="9F4D60A9"/>
    <w:multiLevelType w:val="singleLevel"/>
    <w:tmpl w:val="9F4D60A9"/>
    <w:lvl w:ilvl="0" w:tentative="0">
      <w:start w:val="2"/>
      <w:numFmt w:val="chineseCounting"/>
      <w:suff w:val="nothing"/>
      <w:lvlText w:val="（%1）"/>
      <w:lvlJc w:val="left"/>
      <w:rPr>
        <w:rFonts w:hint="eastAsia"/>
      </w:rPr>
    </w:lvl>
  </w:abstractNum>
  <w:abstractNum w:abstractNumId="2">
    <w:nsid w:val="BEB1F215"/>
    <w:multiLevelType w:val="singleLevel"/>
    <w:tmpl w:val="BEB1F215"/>
    <w:lvl w:ilvl="0" w:tentative="0">
      <w:start w:val="1"/>
      <w:numFmt w:val="chineseCounting"/>
      <w:suff w:val="nothing"/>
      <w:lvlText w:val="（%1）"/>
      <w:lvlJc w:val="left"/>
      <w:rPr>
        <w:rFonts w:hint="eastAsia"/>
      </w:rPr>
    </w:lvl>
  </w:abstractNum>
  <w:abstractNum w:abstractNumId="3">
    <w:nsid w:val="E056E215"/>
    <w:multiLevelType w:val="singleLevel"/>
    <w:tmpl w:val="E056E215"/>
    <w:lvl w:ilvl="0" w:tentative="0">
      <w:start w:val="2"/>
      <w:numFmt w:val="chineseCounting"/>
      <w:suff w:val="nothing"/>
      <w:lvlText w:val="（%1）"/>
      <w:lvlJc w:val="left"/>
      <w:rPr>
        <w:rFonts w:hint="eastAsia"/>
      </w:rPr>
    </w:lvl>
  </w:abstractNum>
  <w:abstractNum w:abstractNumId="4">
    <w:nsid w:val="06710644"/>
    <w:multiLevelType w:val="singleLevel"/>
    <w:tmpl w:val="06710644"/>
    <w:lvl w:ilvl="0" w:tentative="0">
      <w:start w:val="6"/>
      <w:numFmt w:val="chineseCounting"/>
      <w:suff w:val="nothing"/>
      <w:lvlText w:val="%1、"/>
      <w:lvlJc w:val="left"/>
      <w:rPr>
        <w:rFonts w:hint="eastAsia"/>
      </w:rPr>
    </w:lvl>
  </w:abstractNum>
  <w:abstractNum w:abstractNumId="5">
    <w:nsid w:val="1B019CCE"/>
    <w:multiLevelType w:val="singleLevel"/>
    <w:tmpl w:val="1B019CCE"/>
    <w:lvl w:ilvl="0" w:tentative="0">
      <w:start w:val="6"/>
      <w:numFmt w:val="chineseCounting"/>
      <w:suff w:val="nothing"/>
      <w:lvlText w:val="（%1）"/>
      <w:lvlJc w:val="left"/>
      <w:rPr>
        <w:rFonts w:hint="eastAsia"/>
      </w:rPr>
    </w:lvl>
  </w:abstractNum>
  <w:abstractNum w:abstractNumId="6">
    <w:nsid w:val="53C7E3B4"/>
    <w:multiLevelType w:val="singleLevel"/>
    <w:tmpl w:val="53C7E3B4"/>
    <w:lvl w:ilvl="0" w:tentative="0">
      <w:start w:val="2"/>
      <w:numFmt w:val="chineseCounting"/>
      <w:suff w:val="nothing"/>
      <w:lvlText w:val="（%1）"/>
      <w:lvlJc w:val="left"/>
      <w:rPr>
        <w:rFonts w:hint="eastAsia"/>
      </w:rPr>
    </w:lvl>
  </w:abstractNum>
  <w:abstractNum w:abstractNumId="7">
    <w:nsid w:val="6EF08908"/>
    <w:multiLevelType w:val="singleLevel"/>
    <w:tmpl w:val="6EF08908"/>
    <w:lvl w:ilvl="0" w:tentative="0">
      <w:start w:val="1"/>
      <w:numFmt w:val="decimal"/>
      <w:suff w:val="nothing"/>
      <w:lvlText w:val="%1、"/>
      <w:lvlJc w:val="left"/>
    </w:lvl>
  </w:abstractNum>
  <w:abstractNum w:abstractNumId="8">
    <w:nsid w:val="7A976569"/>
    <w:multiLevelType w:val="singleLevel"/>
    <w:tmpl w:val="7A976569"/>
    <w:lvl w:ilvl="0" w:tentative="0">
      <w:start w:val="1"/>
      <w:numFmt w:val="chineseCounting"/>
      <w:suff w:val="nothing"/>
      <w:lvlText w:val="%1、"/>
      <w:lvlJc w:val="left"/>
      <w:rPr>
        <w:rFonts w:hint="eastAsia"/>
      </w:r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1MjU0YWY4MTk2NTkyMWVmNjkzMGQ4OWQ2OGQ4ODcifQ=="/>
  </w:docVars>
  <w:rsids>
    <w:rsidRoot w:val="00000000"/>
    <w:rsid w:val="009D7959"/>
    <w:rsid w:val="02B56A0F"/>
    <w:rsid w:val="037E4632"/>
    <w:rsid w:val="089516D5"/>
    <w:rsid w:val="08DE52C0"/>
    <w:rsid w:val="0C823F29"/>
    <w:rsid w:val="0D4F2476"/>
    <w:rsid w:val="0EF57730"/>
    <w:rsid w:val="10AC160F"/>
    <w:rsid w:val="10B91F5B"/>
    <w:rsid w:val="11B670A0"/>
    <w:rsid w:val="12D734C1"/>
    <w:rsid w:val="12F31105"/>
    <w:rsid w:val="13A10A0F"/>
    <w:rsid w:val="14BD0BE3"/>
    <w:rsid w:val="15095EDC"/>
    <w:rsid w:val="16585C85"/>
    <w:rsid w:val="176F35EE"/>
    <w:rsid w:val="18D375BE"/>
    <w:rsid w:val="19365E0B"/>
    <w:rsid w:val="19B115B6"/>
    <w:rsid w:val="1B117434"/>
    <w:rsid w:val="1B9B30D7"/>
    <w:rsid w:val="1C4C6EB6"/>
    <w:rsid w:val="1CA2552D"/>
    <w:rsid w:val="1CC857F0"/>
    <w:rsid w:val="20781821"/>
    <w:rsid w:val="20826EB5"/>
    <w:rsid w:val="2330120C"/>
    <w:rsid w:val="233A5955"/>
    <w:rsid w:val="240E53BE"/>
    <w:rsid w:val="2460485E"/>
    <w:rsid w:val="248F37AC"/>
    <w:rsid w:val="24C874F2"/>
    <w:rsid w:val="251D7705"/>
    <w:rsid w:val="25963EBC"/>
    <w:rsid w:val="25AA052A"/>
    <w:rsid w:val="26BE1416"/>
    <w:rsid w:val="26F104DA"/>
    <w:rsid w:val="284415AA"/>
    <w:rsid w:val="29DB3D3F"/>
    <w:rsid w:val="2AA4603C"/>
    <w:rsid w:val="2AD14440"/>
    <w:rsid w:val="2C1B37C4"/>
    <w:rsid w:val="2CD20681"/>
    <w:rsid w:val="2D6D61BE"/>
    <w:rsid w:val="2DA1545A"/>
    <w:rsid w:val="2E241998"/>
    <w:rsid w:val="2FB0756F"/>
    <w:rsid w:val="3301427E"/>
    <w:rsid w:val="336E2131"/>
    <w:rsid w:val="33BB08AE"/>
    <w:rsid w:val="33E6503D"/>
    <w:rsid w:val="353D33F9"/>
    <w:rsid w:val="36BD71B8"/>
    <w:rsid w:val="371921CD"/>
    <w:rsid w:val="37267E59"/>
    <w:rsid w:val="38560A6B"/>
    <w:rsid w:val="390E0150"/>
    <w:rsid w:val="3B4E58B5"/>
    <w:rsid w:val="3BCF15D5"/>
    <w:rsid w:val="3E9838F2"/>
    <w:rsid w:val="3F640603"/>
    <w:rsid w:val="460303F0"/>
    <w:rsid w:val="4DF732C4"/>
    <w:rsid w:val="4E190B3E"/>
    <w:rsid w:val="4E8D1BFD"/>
    <w:rsid w:val="512D12C7"/>
    <w:rsid w:val="513B32AD"/>
    <w:rsid w:val="563E6B2B"/>
    <w:rsid w:val="57A930AA"/>
    <w:rsid w:val="581D694B"/>
    <w:rsid w:val="588D22D4"/>
    <w:rsid w:val="593B0175"/>
    <w:rsid w:val="5A2A1C02"/>
    <w:rsid w:val="5CDB6333"/>
    <w:rsid w:val="5D3E6059"/>
    <w:rsid w:val="5D542925"/>
    <w:rsid w:val="5D7D5BA4"/>
    <w:rsid w:val="5DB01325"/>
    <w:rsid w:val="5E0C71BF"/>
    <w:rsid w:val="5E0E759E"/>
    <w:rsid w:val="5E6239AF"/>
    <w:rsid w:val="5EFB575F"/>
    <w:rsid w:val="5FA45770"/>
    <w:rsid w:val="5FB32A40"/>
    <w:rsid w:val="60BF2538"/>
    <w:rsid w:val="611334BD"/>
    <w:rsid w:val="65BC642D"/>
    <w:rsid w:val="664E20A3"/>
    <w:rsid w:val="687D5782"/>
    <w:rsid w:val="6880138B"/>
    <w:rsid w:val="6914038B"/>
    <w:rsid w:val="69AC0EBD"/>
    <w:rsid w:val="69D671C2"/>
    <w:rsid w:val="69F95059"/>
    <w:rsid w:val="6AA11C10"/>
    <w:rsid w:val="6BF4784A"/>
    <w:rsid w:val="736D2610"/>
    <w:rsid w:val="73704398"/>
    <w:rsid w:val="75441D43"/>
    <w:rsid w:val="759448A2"/>
    <w:rsid w:val="76DF666A"/>
    <w:rsid w:val="77BE19A6"/>
    <w:rsid w:val="77CE3D70"/>
    <w:rsid w:val="799F1704"/>
    <w:rsid w:val="7B4A1C59"/>
    <w:rsid w:val="7B9D6A99"/>
    <w:rsid w:val="7D42787E"/>
    <w:rsid w:val="7EE54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paragraph" w:styleId="3">
    <w:name w:val="Normal (Web)"/>
    <w:basedOn w:val="1"/>
    <w:unhideWhenUsed/>
    <w:uiPriority w:val="99"/>
    <w:pPr>
      <w:spacing w:before="100" w:beforeAutospacing="1" w:after="100" w:afterAutospacing="1"/>
    </w:pPr>
    <w:rPr>
      <w:rFonts w:ascii="宋体" w:hAnsi="宋体" w:eastAsia="宋体" w:cs="宋体"/>
    </w:rPr>
  </w:style>
  <w:style w:type="character" w:styleId="6">
    <w:name w:val="Strong"/>
    <w:basedOn w:val="5"/>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5563</Words>
  <Characters>6168</Characters>
  <Lines>0</Lines>
  <Paragraphs>0</Paragraphs>
  <TotalTime>14</TotalTime>
  <ScaleCrop>false</ScaleCrop>
  <LinksUpToDate>false</LinksUpToDate>
  <CharactersWithSpaces>6263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2022-10-17T02:24:00Z</dcterms:created>
  <dc:creator>lenovo</dc:creator>
  <cp:lastModifiedBy>PEPE</cp:lastModifiedBy>
  <dcterms:modified xsi:type="dcterms:W3CDTF">2022-10-27T05:17:05Z</dcterms:modified>
  <dc:title>重庆市万州区国有铁峰山林场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BEAF9749B09341BF80CB5FF241699C76</vt:lpwstr>
  </property>
</Properties>
</file>