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sz w:val="44"/>
          <w:szCs w:val="44"/>
          <w:lang w:eastAsia="zh-CN"/>
        </w:rPr>
        <w:t>重庆市万州区科学技术局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pacing w:val="0"/>
          <w:sz w:val="44"/>
          <w:szCs w:val="44"/>
          <w:lang w:eastAsia="zh-CN"/>
        </w:rPr>
      </w:pPr>
      <w:r>
        <w:rPr>
          <w:rFonts w:hint="default" w:ascii="Times New Roman" w:hAnsi="Times New Roman" w:eastAsia="方正小标宋_GBK" w:cs="Times New Roman"/>
          <w:spacing w:val="0"/>
          <w:sz w:val="44"/>
          <w:szCs w:val="44"/>
          <w:lang w:eastAsia="zh-CN"/>
        </w:rPr>
        <w:t>关于印发《重庆市万州区科学技术局</w:t>
      </w:r>
      <w:r>
        <w:rPr>
          <w:rFonts w:hint="default" w:ascii="Times New Roman" w:hAnsi="Times New Roman" w:eastAsia="方正小标宋_GBK" w:cs="Times New Roman"/>
          <w:color w:val="auto"/>
          <w:spacing w:val="0"/>
          <w:sz w:val="44"/>
          <w:szCs w:val="44"/>
          <w:lang w:eastAsia="zh-CN"/>
        </w:rPr>
        <w:t>科研项目绩效评价管理办法（试行）》的通知</w:t>
      </w:r>
    </w:p>
    <w:p>
      <w:pPr>
        <w:spacing w:line="8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万州科</w:t>
      </w:r>
      <w:r>
        <w:rPr>
          <w:rFonts w:hint="default" w:ascii="Times New Roman" w:hAnsi="Times New Roman" w:eastAsia="方正仿宋_GBK" w:cs="Times New Roman"/>
          <w:sz w:val="32"/>
          <w:szCs w:val="32"/>
          <w:lang w:eastAsia="zh-CN"/>
        </w:rPr>
        <w:t>局发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24"/>
          <w:lang w:val="en-US" w:eastAsia="zh-CN"/>
        </w:rPr>
        <w:t>2024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号</w:t>
      </w:r>
    </w:p>
    <w:p>
      <w:pPr>
        <w:pStyle w:val="2"/>
        <w:keepNext w:val="0"/>
        <w:keepLines w:val="0"/>
        <w:pageBreakBefore w:val="0"/>
        <w:widowControl w:val="0"/>
        <w:kinsoku/>
        <w:wordWrap/>
        <w:overflowPunct/>
        <w:topLinePunct w:val="0"/>
        <w:bidi w:val="0"/>
        <w:snapToGrid/>
        <w:spacing w:beforeAutospacing="0" w:afterAutospacing="0" w:line="600" w:lineRule="exact"/>
        <w:jc w:val="left"/>
        <w:textAlignment w:val="auto"/>
        <w:rPr>
          <w:rFonts w:hint="default" w:ascii="Times New Roman" w:hAnsi="Times New Roman" w:eastAsia="方正仿宋_GBK" w:cs="Times New Roman"/>
          <w:spacing w:val="0"/>
          <w:sz w:val="32"/>
          <w:szCs w:val="32"/>
          <w:lang w:eastAsia="zh-CN"/>
        </w:rPr>
      </w:pPr>
    </w:p>
    <w:p>
      <w:pPr>
        <w:keepNext w:val="0"/>
        <w:keepLines w:val="0"/>
        <w:pageBreakBefore w:val="0"/>
        <w:widowControl w:val="0"/>
        <w:kinsoku/>
        <w:wordWrap/>
        <w:overflowPunct/>
        <w:topLinePunct w:val="0"/>
        <w:bidi w:val="0"/>
        <w:snapToGrid/>
        <w:spacing w:beforeAutospacing="0" w:afterAutospacing="0" w:line="600" w:lineRule="exact"/>
        <w:jc w:val="left"/>
        <w:textAlignment w:val="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jc w:val="left"/>
        <w:textAlignment w:val="auto"/>
        <w:outlineLvl w:val="9"/>
        <w:rPr>
          <w:rFonts w:hint="eastAsia" w:ascii="方正仿宋_GBK" w:hAnsi="方正仿宋_GBK" w:eastAsia="方正仿宋_GBK" w:cs="方正仿宋_GBK"/>
          <w:spacing w:val="0"/>
          <w:sz w:val="32"/>
          <w:szCs w:val="32"/>
          <w:highlight w:val="none"/>
        </w:rPr>
      </w:pPr>
      <w:r>
        <w:rPr>
          <w:rFonts w:hint="eastAsia" w:ascii="方正仿宋_GBK" w:hAnsi="方正仿宋_GBK" w:eastAsia="方正仿宋_GBK" w:cs="方正仿宋_GBK"/>
          <w:spacing w:val="0"/>
          <w:sz w:val="32"/>
          <w:szCs w:val="32"/>
          <w:highlight w:val="none"/>
        </w:rPr>
        <w:t xml:space="preserve">    </w:t>
      </w:r>
      <w:r>
        <w:rPr>
          <w:rFonts w:hint="eastAsia" w:ascii="方正仿宋_GBK" w:hAnsi="方正仿宋_GBK" w:eastAsia="方正仿宋_GBK" w:cs="方正仿宋_GBK"/>
          <w:spacing w:val="0"/>
          <w:sz w:val="32"/>
          <w:szCs w:val="32"/>
          <w:lang w:eastAsia="zh-CN"/>
        </w:rPr>
        <w:t>现将《</w:t>
      </w:r>
      <w:r>
        <w:rPr>
          <w:rFonts w:hint="eastAsia" w:ascii="方正仿宋_GBK" w:hAnsi="方正仿宋_GBK" w:eastAsia="方正仿宋_GBK" w:cs="方正仿宋_GBK"/>
          <w:color w:val="auto"/>
          <w:spacing w:val="0"/>
          <w:sz w:val="32"/>
          <w:szCs w:val="32"/>
          <w:lang w:eastAsia="zh-CN"/>
        </w:rPr>
        <w:t>重庆市万州区科学技术局科研项目绩效评价管理办法（试行）</w:t>
      </w:r>
      <w:r>
        <w:rPr>
          <w:rFonts w:hint="eastAsia" w:ascii="方正仿宋_GBK" w:hAnsi="方正仿宋_GBK" w:eastAsia="方正仿宋_GBK" w:cs="方正仿宋_GBK"/>
          <w:spacing w:val="0"/>
          <w:sz w:val="32"/>
          <w:szCs w:val="32"/>
          <w:lang w:eastAsia="zh-CN"/>
        </w:rPr>
        <w:t>》印发给你们，</w:t>
      </w:r>
      <w:r>
        <w:rPr>
          <w:rFonts w:hint="eastAsia" w:ascii="方正仿宋_GBK" w:hAnsi="方正仿宋_GBK" w:eastAsia="方正仿宋_GBK" w:cs="方正仿宋_GBK"/>
          <w:spacing w:val="0"/>
          <w:sz w:val="32"/>
          <w:szCs w:val="32"/>
          <w:highlight w:val="none"/>
        </w:rPr>
        <w:t>请遵照执行。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0" w:firstLineChars="0"/>
        <w:jc w:val="left"/>
        <w:textAlignment w:val="auto"/>
        <w:outlineLvl w:val="9"/>
        <w:rPr>
          <w:rFonts w:hint="eastAsia" w:ascii="方正仿宋_GBK" w:hAnsi="方正仿宋_GBK" w:eastAsia="方正仿宋_GBK" w:cs="方正仿宋_GBK"/>
          <w:spacing w:val="0"/>
          <w:sz w:val="32"/>
          <w:szCs w:val="32"/>
          <w:highlight w:val="none"/>
        </w:rPr>
      </w:pPr>
    </w:p>
    <w:p>
      <w:pPr>
        <w:pStyle w:val="2"/>
        <w:keepNext w:val="0"/>
        <w:keepLines w:val="0"/>
        <w:pageBreakBefore w:val="0"/>
        <w:widowControl w:val="0"/>
        <w:kinsoku/>
        <w:wordWrap/>
        <w:overflowPunct/>
        <w:topLinePunct w:val="0"/>
        <w:bidi w:val="0"/>
        <w:snapToGrid/>
        <w:spacing w:beforeAutospacing="0" w:afterAutospacing="0" w:line="600" w:lineRule="exact"/>
        <w:jc w:val="left"/>
        <w:textAlignment w:val="auto"/>
        <w:rPr>
          <w:rFonts w:hint="eastAsia" w:ascii="方正楷体_GBK" w:hAnsi="方正楷体_GBK" w:eastAsia="方正楷体_GBK" w:cs="方正楷体_GBK"/>
          <w:spacing w:val="0"/>
          <w:sz w:val="32"/>
          <w:szCs w:val="32"/>
          <w:highlight w:val="none"/>
        </w:rPr>
      </w:pPr>
    </w:p>
    <w:p>
      <w:pPr>
        <w:pStyle w:val="2"/>
        <w:keepNext w:val="0"/>
        <w:keepLines w:val="0"/>
        <w:pageBreakBefore w:val="0"/>
        <w:widowControl w:val="0"/>
        <w:kinsoku/>
        <w:wordWrap/>
        <w:overflowPunct/>
        <w:topLinePunct w:val="0"/>
        <w:bidi w:val="0"/>
        <w:snapToGrid/>
        <w:spacing w:beforeAutospacing="0" w:afterAutospacing="0" w:line="600" w:lineRule="exact"/>
        <w:jc w:val="left"/>
        <w:textAlignment w:val="auto"/>
        <w:rPr>
          <w:rFonts w:hint="eastAsia" w:ascii="Times New Roman" w:hAnsi="Times New Roman" w:eastAsia="方正仿宋_GBK" w:cs="方正仿宋_GBK"/>
          <w:spacing w:val="0"/>
          <w:sz w:val="32"/>
          <w:szCs w:val="32"/>
          <w:lang w:eastAsia="zh-CN"/>
        </w:rPr>
      </w:pPr>
      <w:r>
        <w:rPr>
          <w:rFonts w:hint="eastAsia" w:ascii="方正楷体_GBK" w:hAnsi="方正楷体_GBK" w:eastAsia="方正楷体_GBK" w:cs="方正楷体_GBK"/>
          <w:spacing w:val="0"/>
          <w:sz w:val="32"/>
          <w:szCs w:val="32"/>
          <w:highlight w:val="none"/>
        </w:rPr>
        <w:t xml:space="preserve">                           </w:t>
      </w:r>
      <w:r>
        <w:rPr>
          <w:rFonts w:hint="eastAsia" w:ascii="方正楷体_GBK" w:hAnsi="方正楷体_GBK" w:eastAsia="方正楷体_GBK" w:cs="方正楷体_GBK"/>
          <w:spacing w:val="0"/>
          <w:sz w:val="32"/>
          <w:szCs w:val="32"/>
          <w:highlight w:val="none"/>
          <w:lang w:val="en-US" w:eastAsia="zh-CN"/>
        </w:rPr>
        <w:t xml:space="preserve"> </w:t>
      </w:r>
      <w:r>
        <w:rPr>
          <w:rFonts w:hint="eastAsia" w:ascii="方正楷体_GBK" w:hAnsi="方正楷体_GBK" w:eastAsia="方正楷体_GBK" w:cs="方正楷体_GBK"/>
          <w:spacing w:val="0"/>
          <w:sz w:val="32"/>
          <w:szCs w:val="32"/>
          <w:highlight w:val="none"/>
        </w:rPr>
        <w:t xml:space="preserve"> </w:t>
      </w:r>
      <w:r>
        <w:rPr>
          <w:rFonts w:hint="eastAsia" w:ascii="Times New Roman" w:hAnsi="Times New Roman" w:eastAsia="方正仿宋_GBK" w:cs="方正仿宋_GBK"/>
          <w:spacing w:val="0"/>
          <w:sz w:val="32"/>
          <w:szCs w:val="32"/>
          <w:highlight w:val="none"/>
        </w:rPr>
        <w:t xml:space="preserve">重庆市万州区科学技术局    </w:t>
      </w:r>
    </w:p>
    <w:p>
      <w:pPr>
        <w:keepNext w:val="0"/>
        <w:keepLines w:val="0"/>
        <w:pageBreakBefore w:val="0"/>
        <w:widowControl w:val="0"/>
        <w:kinsoku/>
        <w:wordWrap/>
        <w:overflowPunct/>
        <w:topLinePunct w:val="0"/>
        <w:bidi w:val="0"/>
        <w:snapToGrid/>
        <w:spacing w:beforeAutospacing="0" w:afterAutospacing="0" w:line="600" w:lineRule="exact"/>
        <w:jc w:val="left"/>
        <w:textAlignment w:val="auto"/>
        <w:rPr>
          <w:rFonts w:hint="eastAsia" w:ascii="Times New Roman" w:hAnsi="Times New Roman"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lang w:val="en-US" w:eastAsia="zh-CN"/>
        </w:rPr>
        <w:t xml:space="preserve">                                </w:t>
      </w:r>
      <w:bookmarkStart w:id="0" w:name="_GoBack"/>
      <w:bookmarkEnd w:id="0"/>
      <w:r>
        <w:rPr>
          <w:rFonts w:hint="eastAsia" w:ascii="Times New Roman" w:hAnsi="Times New Roman" w:eastAsia="方正仿宋_GBK" w:cs="方正仿宋_GBK"/>
          <w:spacing w:val="0"/>
          <w:sz w:val="32"/>
          <w:szCs w:val="32"/>
          <w:lang w:val="en-US" w:eastAsia="zh-CN"/>
        </w:rPr>
        <w:t>2024年7月1日</w:t>
      </w:r>
    </w:p>
    <w:p>
      <w:pPr>
        <w:pStyle w:val="3"/>
        <w:keepNext w:val="0"/>
        <w:keepLines w:val="0"/>
        <w:pageBreakBefore w:val="0"/>
        <w:widowControl w:val="0"/>
        <w:kinsoku/>
        <w:wordWrap/>
        <w:overflowPunct/>
        <w:topLinePunct w:val="0"/>
        <w:bidi w:val="0"/>
        <w:snapToGrid/>
        <w:spacing w:beforeAutospacing="0" w:afterAutospacing="0" w:line="600" w:lineRule="exact"/>
        <w:ind w:firstLine="640" w:firstLineChars="200"/>
        <w:jc w:val="left"/>
        <w:textAlignment w:val="auto"/>
        <w:rPr>
          <w:rFonts w:hint="eastAsia" w:ascii="方正仿宋_GBK" w:hAnsi="方正仿宋_GBK" w:eastAsia="方正仿宋_GBK" w:cs="方正仿宋_GBK"/>
          <w:b w:val="0"/>
          <w:color w:val="000000"/>
          <w:spacing w:val="0"/>
          <w:sz w:val="32"/>
          <w:szCs w:val="32"/>
          <w:highlight w:val="none"/>
          <w:lang w:val="en-US" w:eastAsia="zh-CN" w:bidi="ar-SA"/>
        </w:rPr>
      </w:pPr>
      <w:r>
        <w:rPr>
          <w:rFonts w:hint="eastAsia" w:ascii="方正仿宋_GBK" w:hAnsi="方正仿宋_GBK" w:eastAsia="方正仿宋_GBK" w:cs="方正仿宋_GBK"/>
          <w:b w:val="0"/>
          <w:color w:val="000000"/>
          <w:spacing w:val="0"/>
          <w:sz w:val="32"/>
          <w:szCs w:val="32"/>
          <w:highlight w:val="none"/>
          <w:lang w:val="en-US" w:eastAsia="zh-CN" w:bidi="ar-SA"/>
        </w:rPr>
        <w:t>（此件公开发布）</w:t>
      </w:r>
    </w:p>
    <w:p>
      <w:pPr>
        <w:keepNext w:val="0"/>
        <w:keepLines w:val="0"/>
        <w:pageBreakBefore w:val="0"/>
        <w:kinsoku/>
        <w:wordWrap/>
        <w:overflowPunct/>
        <w:topLinePunct w:val="0"/>
        <w:autoSpaceDE/>
        <w:autoSpaceDN/>
        <w:bidi w:val="0"/>
        <w:adjustRightInd w:val="0"/>
        <w:snapToGrid w:val="0"/>
        <w:spacing w:line="600" w:lineRule="exact"/>
        <w:contextualSpacing/>
        <w:jc w:val="center"/>
        <w:textAlignment w:val="auto"/>
        <w:outlineLvl w:val="0"/>
        <w:rPr>
          <w:rFonts w:hint="default" w:ascii="Times New Roman" w:hAnsi="Times New Roman" w:eastAsia="方正小标宋_GBK" w:cs="Times New Roman"/>
          <w:sz w:val="44"/>
        </w:rPr>
      </w:pPr>
    </w:p>
    <w:p>
      <w:pPr>
        <w:keepNext w:val="0"/>
        <w:keepLines w:val="0"/>
        <w:pageBreakBefore w:val="0"/>
        <w:kinsoku/>
        <w:wordWrap/>
        <w:overflowPunct/>
        <w:topLinePunct w:val="0"/>
        <w:autoSpaceDE/>
        <w:autoSpaceDN/>
        <w:bidi w:val="0"/>
        <w:adjustRightInd w:val="0"/>
        <w:snapToGrid w:val="0"/>
        <w:spacing w:line="600" w:lineRule="exact"/>
        <w:contextualSpacing/>
        <w:jc w:val="center"/>
        <w:textAlignment w:val="auto"/>
        <w:outlineLvl w:val="0"/>
        <w:rPr>
          <w:rFonts w:hint="default" w:ascii="Times New Roman" w:hAnsi="Times New Roman" w:eastAsia="方正小标宋_GBK" w:cs="Times New Roman"/>
          <w:sz w:val="44"/>
        </w:rPr>
      </w:pPr>
    </w:p>
    <w:p>
      <w:pPr>
        <w:keepNext w:val="0"/>
        <w:keepLines w:val="0"/>
        <w:pageBreakBefore w:val="0"/>
        <w:kinsoku/>
        <w:wordWrap/>
        <w:overflowPunct/>
        <w:topLinePunct w:val="0"/>
        <w:autoSpaceDE/>
        <w:autoSpaceDN/>
        <w:bidi w:val="0"/>
        <w:adjustRightInd w:val="0"/>
        <w:snapToGrid w:val="0"/>
        <w:spacing w:line="600" w:lineRule="exact"/>
        <w:contextualSpacing/>
        <w:jc w:val="center"/>
        <w:textAlignment w:val="auto"/>
        <w:outlineLvl w:val="0"/>
        <w:rPr>
          <w:rFonts w:hint="default" w:ascii="Times New Roman" w:hAnsi="Times New Roman" w:eastAsia="方正小标宋_GBK" w:cs="Times New Roman"/>
          <w:sz w:val="44"/>
        </w:rPr>
      </w:pPr>
    </w:p>
    <w:p>
      <w:pPr>
        <w:keepNext w:val="0"/>
        <w:keepLines w:val="0"/>
        <w:pageBreakBefore w:val="0"/>
        <w:kinsoku/>
        <w:wordWrap/>
        <w:overflowPunct/>
        <w:topLinePunct w:val="0"/>
        <w:autoSpaceDE/>
        <w:autoSpaceDN/>
        <w:bidi w:val="0"/>
        <w:adjustRightInd w:val="0"/>
        <w:snapToGrid w:val="0"/>
        <w:spacing w:line="600" w:lineRule="exact"/>
        <w:contextualSpacing/>
        <w:jc w:val="center"/>
        <w:textAlignment w:val="auto"/>
        <w:outlineLvl w:val="0"/>
        <w:rPr>
          <w:rFonts w:hint="default" w:ascii="Times New Roman" w:hAnsi="Times New Roman" w:eastAsia="方正小标宋_GBK" w:cs="Times New Roman"/>
          <w:sz w:val="44"/>
        </w:rPr>
      </w:pPr>
    </w:p>
    <w:p>
      <w:pPr>
        <w:keepNext w:val="0"/>
        <w:keepLines w:val="0"/>
        <w:pageBreakBefore w:val="0"/>
        <w:kinsoku/>
        <w:wordWrap/>
        <w:overflowPunct/>
        <w:topLinePunct w:val="0"/>
        <w:autoSpaceDE/>
        <w:autoSpaceDN/>
        <w:bidi w:val="0"/>
        <w:adjustRightInd w:val="0"/>
        <w:snapToGrid w:val="0"/>
        <w:spacing w:line="600" w:lineRule="exact"/>
        <w:contextualSpacing/>
        <w:jc w:val="center"/>
        <w:textAlignment w:val="auto"/>
        <w:outlineLvl w:val="0"/>
        <w:rPr>
          <w:rFonts w:hint="default" w:ascii="Times New Roman" w:hAnsi="Times New Roman" w:eastAsia="方正小标宋_GBK" w:cs="Times New Roman"/>
          <w:sz w:val="44"/>
        </w:rPr>
      </w:pPr>
    </w:p>
    <w:p>
      <w:pPr>
        <w:keepNext w:val="0"/>
        <w:keepLines w:val="0"/>
        <w:pageBreakBefore w:val="0"/>
        <w:kinsoku/>
        <w:wordWrap/>
        <w:overflowPunct/>
        <w:topLinePunct w:val="0"/>
        <w:autoSpaceDE/>
        <w:autoSpaceDN/>
        <w:bidi w:val="0"/>
        <w:adjustRightInd w:val="0"/>
        <w:snapToGrid w:val="0"/>
        <w:spacing w:line="600" w:lineRule="exact"/>
        <w:contextualSpacing/>
        <w:jc w:val="center"/>
        <w:textAlignment w:val="auto"/>
        <w:outlineLvl w:val="0"/>
        <w:rPr>
          <w:rFonts w:hint="default" w:ascii="Times New Roman" w:hAnsi="Times New Roman" w:eastAsia="方正小标宋_GBK" w:cs="Times New Roman"/>
          <w:sz w:val="44"/>
        </w:rPr>
      </w:pPr>
    </w:p>
    <w:p>
      <w:pPr>
        <w:keepNext w:val="0"/>
        <w:keepLines w:val="0"/>
        <w:pageBreakBefore w:val="0"/>
        <w:kinsoku/>
        <w:wordWrap/>
        <w:overflowPunct/>
        <w:topLinePunct w:val="0"/>
        <w:autoSpaceDE/>
        <w:autoSpaceDN/>
        <w:bidi w:val="0"/>
        <w:adjustRightInd w:val="0"/>
        <w:snapToGrid w:val="0"/>
        <w:spacing w:line="600" w:lineRule="exact"/>
        <w:contextualSpacing/>
        <w:jc w:val="center"/>
        <w:textAlignment w:val="auto"/>
        <w:outlineLvl w:val="0"/>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contextualSpacing/>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w:t>
      </w:r>
      <w:r>
        <w:rPr>
          <w:rFonts w:hint="eastAsia" w:ascii="方正小标宋_GBK" w:hAnsi="方正小标宋_GBK" w:eastAsia="方正小标宋_GBK" w:cs="方正小标宋_GBK"/>
          <w:sz w:val="44"/>
          <w:szCs w:val="44"/>
          <w:lang w:eastAsia="zh-CN"/>
        </w:rPr>
        <w:t>万州区</w:t>
      </w:r>
      <w:r>
        <w:rPr>
          <w:rFonts w:hint="eastAsia" w:ascii="方正小标宋_GBK" w:hAnsi="方正小标宋_GBK" w:eastAsia="方正小标宋_GBK" w:cs="方正小标宋_GBK"/>
          <w:sz w:val="44"/>
          <w:szCs w:val="44"/>
        </w:rPr>
        <w:t>科学技术局</w:t>
      </w:r>
    </w:p>
    <w:p>
      <w:pPr>
        <w:keepNext w:val="0"/>
        <w:keepLines w:val="0"/>
        <w:pageBreakBefore w:val="0"/>
        <w:widowControl w:val="0"/>
        <w:kinsoku/>
        <w:wordWrap/>
        <w:overflowPunct/>
        <w:topLinePunct w:val="0"/>
        <w:autoSpaceDE/>
        <w:autoSpaceDN/>
        <w:bidi w:val="0"/>
        <w:adjustRightInd w:val="0"/>
        <w:snapToGrid w:val="0"/>
        <w:spacing w:line="540" w:lineRule="exact"/>
        <w:contextualSpacing/>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科研项目</w:t>
      </w:r>
      <w:r>
        <w:rPr>
          <w:rFonts w:hint="eastAsia" w:ascii="方正小标宋_GBK" w:hAnsi="方正小标宋_GBK" w:eastAsia="方正小标宋_GBK" w:cs="方正小标宋_GBK"/>
          <w:sz w:val="44"/>
          <w:szCs w:val="44"/>
        </w:rPr>
        <w:t>绩效评价管理办法</w:t>
      </w:r>
      <w:r>
        <w:rPr>
          <w:rFonts w:hint="eastAsia" w:ascii="方正小标宋_GBK" w:hAnsi="方正小标宋_GBK" w:eastAsia="方正小标宋_GBK" w:cs="方正小标宋_GBK"/>
          <w:sz w:val="44"/>
          <w:szCs w:val="44"/>
          <w:lang w:val="en-US" w:eastAsia="zh-CN"/>
        </w:rPr>
        <w:t>（试行）</w:t>
      </w:r>
    </w:p>
    <w:p>
      <w:pPr>
        <w:keepNext w:val="0"/>
        <w:keepLines w:val="0"/>
        <w:pageBreakBefore w:val="0"/>
        <w:kinsoku/>
        <w:wordWrap/>
        <w:overflowPunct/>
        <w:topLinePunct w:val="0"/>
        <w:autoSpaceDE/>
        <w:autoSpaceDN/>
        <w:bidi w:val="0"/>
        <w:adjustRightInd w:val="0"/>
        <w:snapToGrid w:val="0"/>
        <w:spacing w:line="600" w:lineRule="exact"/>
        <w:contextualSpacing/>
        <w:jc w:val="both"/>
        <w:textAlignment w:val="auto"/>
        <w:rPr>
          <w:rFonts w:hint="default" w:ascii="Times New Roman" w:hAnsi="Times New Roman" w:eastAsia="方正黑体_GBK" w:cs="Times New Roman"/>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contextualSpacing/>
        <w:jc w:val="center"/>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eastAsia="zh-CN"/>
        </w:rPr>
        <w:t>第一章</w:t>
      </w:r>
      <w:r>
        <w:rPr>
          <w:rFonts w:hint="default" w:ascii="Times New Roman" w:hAnsi="Times New Roman" w:eastAsia="方正黑体_GBK" w:cs="Times New Roman"/>
          <w:sz w:val="32"/>
          <w:lang w:val="en-US" w:eastAsia="zh-CN"/>
        </w:rPr>
        <w:t xml:space="preserve">  总  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contextualSpacing/>
        <w:jc w:val="left"/>
        <w:textAlignment w:val="auto"/>
        <w:rPr>
          <w:rFonts w:hint="default" w:ascii="Times New Roman" w:hAnsi="Times New Roman" w:eastAsia="方正黑体_GBK" w:cs="Times New Roman"/>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第一条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lang w:eastAsia="zh-CN"/>
        </w:rPr>
        <w:t>为规范科研项目管理，提高财政资金的管理效能和使用效益，按照</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国务院</w:t>
      </w:r>
      <w:r>
        <w:rPr>
          <w:rFonts w:hint="default" w:ascii="Times New Roman" w:hAnsi="Times New Roman" w:eastAsia="方正仿宋_GBK" w:cs="Times New Roman"/>
          <w:sz w:val="32"/>
        </w:rPr>
        <w:t>关于优化科研管理提升科研绩效若干措施的通知》《</w:t>
      </w:r>
      <w:r>
        <w:rPr>
          <w:rFonts w:hint="default" w:ascii="Times New Roman" w:hAnsi="Times New Roman" w:eastAsia="方正仿宋_GBK" w:cs="Times New Roman"/>
          <w:sz w:val="32"/>
          <w:lang w:eastAsia="zh-CN"/>
        </w:rPr>
        <w:t>国务院办公厅</w:t>
      </w:r>
      <w:r>
        <w:rPr>
          <w:rFonts w:hint="default" w:ascii="Times New Roman" w:hAnsi="Times New Roman" w:eastAsia="方正仿宋_GBK" w:cs="Times New Roman"/>
          <w:sz w:val="32"/>
        </w:rPr>
        <w:t>关于改革完善中央财政科研经费管理的若干意见》</w:t>
      </w:r>
      <w:r>
        <w:rPr>
          <w:rFonts w:hint="default" w:ascii="Times New Roman" w:hAnsi="Times New Roman" w:eastAsia="方正仿宋_GBK" w:cs="Times New Roman"/>
          <w:sz w:val="32"/>
          <w:lang w:eastAsia="zh-CN"/>
        </w:rPr>
        <w:t>《重庆市科学技术局科技专项绩效评价管理办法》等有关规定</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结合我区实际，</w:t>
      </w:r>
      <w:r>
        <w:rPr>
          <w:rFonts w:hint="default" w:ascii="Times New Roman" w:hAnsi="Times New Roman" w:eastAsia="方正仿宋_GBK" w:cs="Times New Roman"/>
          <w:sz w:val="32"/>
        </w:rPr>
        <w:t>制定本办法。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第二条</w:t>
      </w:r>
      <w:r>
        <w:rPr>
          <w:rFonts w:hint="default" w:ascii="Times New Roman" w:hAnsi="Times New Roman" w:eastAsia="方正仿宋_GBK" w:cs="Times New Roman"/>
          <w:sz w:val="32"/>
        </w:rPr>
        <w:t xml:space="preserve">  本办法适用于由</w:t>
      </w:r>
      <w:r>
        <w:rPr>
          <w:rFonts w:hint="default" w:ascii="Times New Roman" w:hAnsi="Times New Roman" w:eastAsia="方正仿宋_GBK" w:cs="Times New Roman"/>
          <w:sz w:val="32"/>
          <w:lang w:eastAsia="zh-CN"/>
        </w:rPr>
        <w:t>重庆市万州区科学技术局（以下简称“区科技局”）组织</w:t>
      </w:r>
      <w:r>
        <w:rPr>
          <w:rFonts w:hint="default" w:ascii="Times New Roman" w:hAnsi="Times New Roman" w:eastAsia="方正仿宋_GBK" w:cs="Times New Roman"/>
          <w:sz w:val="32"/>
        </w:rPr>
        <w:t>实施的各类</w:t>
      </w:r>
      <w:r>
        <w:rPr>
          <w:rFonts w:hint="default" w:ascii="Times New Roman" w:hAnsi="Times New Roman" w:eastAsia="方正仿宋_GBK" w:cs="Times New Roman"/>
          <w:sz w:val="32"/>
          <w:lang w:eastAsia="zh-CN"/>
        </w:rPr>
        <w:t>科研项目</w:t>
      </w:r>
      <w:r>
        <w:rPr>
          <w:rFonts w:hint="default" w:ascii="Times New Roman" w:hAnsi="Times New Roman" w:eastAsia="方正仿宋_GBK" w:cs="Times New Roman"/>
          <w:sz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lang w:eastAsia="zh-CN"/>
        </w:rPr>
      </w:pPr>
      <w:r>
        <w:rPr>
          <w:rFonts w:hint="default" w:ascii="Times New Roman" w:hAnsi="Times New Roman" w:eastAsia="方正黑体_GBK" w:cs="Times New Roman"/>
          <w:sz w:val="32"/>
          <w:lang w:eastAsia="zh-CN"/>
        </w:rPr>
        <w:t>第三条</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绩效评价是指</w:t>
      </w:r>
      <w:r>
        <w:rPr>
          <w:rFonts w:hint="default" w:ascii="Times New Roman" w:hAnsi="Times New Roman" w:eastAsia="方正仿宋_GBK" w:cs="Times New Roman"/>
          <w:sz w:val="32"/>
          <w:lang w:eastAsia="zh-CN"/>
        </w:rPr>
        <w:t>运用一定的评价方法、评价指标和评价标准，对科研项目的实施过程、完成结果效益与影响及资金使用情况进行客观、公正的综合性考核与评价</w:t>
      </w:r>
      <w:r>
        <w:rPr>
          <w:rFonts w:hint="default" w:ascii="Times New Roman" w:hAnsi="Times New Roman" w:eastAsia="方正仿宋_GBK" w:cs="Times New Roman"/>
          <w:color w:val="auto"/>
          <w:sz w:val="32"/>
          <w:lang w:eastAsia="zh-CN"/>
        </w:rPr>
        <w:t>，旨在规范科研项目管理，促进区级财政科技发展资金效益最大化。</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第</w:t>
      </w:r>
      <w:r>
        <w:rPr>
          <w:rFonts w:hint="default" w:ascii="Times New Roman" w:hAnsi="Times New Roman" w:eastAsia="方正黑体_GBK" w:cs="Times New Roman"/>
          <w:sz w:val="32"/>
          <w:lang w:eastAsia="zh-CN"/>
        </w:rPr>
        <w:t>四</w:t>
      </w:r>
      <w:r>
        <w:rPr>
          <w:rFonts w:hint="default" w:ascii="Times New Roman" w:hAnsi="Times New Roman" w:eastAsia="方正黑体_GBK" w:cs="Times New Roman"/>
          <w:sz w:val="32"/>
        </w:rPr>
        <w:t>条</w:t>
      </w:r>
      <w:r>
        <w:rPr>
          <w:rFonts w:hint="default" w:ascii="Times New Roman" w:hAnsi="Times New Roman" w:eastAsia="方正仿宋_GBK" w:cs="Times New Roman"/>
          <w:sz w:val="32"/>
        </w:rPr>
        <w:t xml:space="preserve">  绩效评价遵循“放管结合、</w:t>
      </w:r>
      <w:r>
        <w:rPr>
          <w:rFonts w:hint="default" w:ascii="Times New Roman" w:hAnsi="Times New Roman" w:eastAsia="方正仿宋_GBK" w:cs="Times New Roman"/>
          <w:sz w:val="32"/>
          <w:lang w:eastAsia="zh-CN"/>
        </w:rPr>
        <w:t>分类评价、</w:t>
      </w:r>
      <w:r>
        <w:rPr>
          <w:rFonts w:hint="default" w:ascii="Times New Roman" w:hAnsi="Times New Roman" w:eastAsia="方正仿宋_GBK" w:cs="Times New Roman"/>
          <w:sz w:val="32"/>
        </w:rPr>
        <w:t>以评促管、激励引导”的原则，推动</w:t>
      </w:r>
      <w:r>
        <w:rPr>
          <w:rFonts w:hint="default" w:ascii="Times New Roman" w:hAnsi="Times New Roman" w:eastAsia="方正仿宋_GBK" w:cs="Times New Roman"/>
          <w:sz w:val="32"/>
          <w:lang w:eastAsia="zh-CN"/>
        </w:rPr>
        <w:t>科研项目</w:t>
      </w:r>
      <w:r>
        <w:rPr>
          <w:rFonts w:hint="default" w:ascii="Times New Roman" w:hAnsi="Times New Roman" w:eastAsia="方正仿宋_GBK" w:cs="Times New Roman"/>
          <w:sz w:val="32"/>
        </w:rPr>
        <w:t>管理从重数量向重质量，促进形成鼓励创新、预防纠错的动态管理机制。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contextualSpacing/>
        <w:jc w:val="center"/>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eastAsia="zh-CN"/>
        </w:rPr>
        <w:t>第二章</w:t>
      </w:r>
      <w:r>
        <w:rPr>
          <w:rFonts w:hint="default" w:ascii="Times New Roman" w:hAnsi="Times New Roman" w:eastAsia="方正黑体_GBK" w:cs="Times New Roman"/>
          <w:sz w:val="32"/>
          <w:lang w:val="en-US" w:eastAsia="zh-CN"/>
        </w:rPr>
        <w:t xml:space="preserve">  </w:t>
      </w:r>
      <w:r>
        <w:rPr>
          <w:rFonts w:hint="default" w:ascii="Times New Roman" w:hAnsi="Times New Roman" w:eastAsia="方正黑体_GBK" w:cs="Times New Roman"/>
          <w:sz w:val="32"/>
          <w:lang w:eastAsia="zh-CN"/>
        </w:rPr>
        <w:t>评价方法</w:t>
      </w:r>
      <w:r>
        <w:rPr>
          <w:rFonts w:hint="default" w:ascii="Times New Roman" w:hAnsi="Times New Roman" w:eastAsia="方正黑体_GBK" w:cs="Times New Roman"/>
          <w:sz w:val="32"/>
          <w:lang w:val="en-US" w:eastAsia="zh-CN"/>
        </w:rPr>
        <w:t>与内容</w:t>
      </w:r>
    </w:p>
    <w:p>
      <w:pPr>
        <w:pStyle w:val="3"/>
        <w:keepNext w:val="0"/>
        <w:keepLines w:val="0"/>
        <w:pageBreakBefore w:val="0"/>
        <w:widowControl w:val="0"/>
        <w:kinsoku/>
        <w:wordWrap/>
        <w:overflowPunct/>
        <w:topLinePunct w:val="0"/>
        <w:autoSpaceDE/>
        <w:autoSpaceDN/>
        <w:bidi w:val="0"/>
        <w:spacing w:beforeAutospacing="0" w:afterAutospacing="0" w:line="600" w:lineRule="exact"/>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黑体_GBK" w:cs="Times New Roman"/>
          <w:sz w:val="32"/>
          <w:lang w:eastAsia="zh-CN"/>
        </w:rPr>
      </w:pPr>
      <w:r>
        <w:rPr>
          <w:rFonts w:hint="default" w:ascii="Times New Roman" w:hAnsi="Times New Roman" w:eastAsia="方正黑体_GBK" w:cs="Times New Roman"/>
          <w:sz w:val="32"/>
        </w:rPr>
        <w:t>第五条</w:t>
      </w:r>
      <w:r>
        <w:rPr>
          <w:rFonts w:hint="default" w:ascii="Times New Roman" w:hAnsi="Times New Roman" w:eastAsia="方正仿宋_GBK" w:cs="Times New Roman"/>
          <w:sz w:val="32"/>
        </w:rPr>
        <w:t xml:space="preserve">  绩效评价根据</w:t>
      </w:r>
      <w:r>
        <w:rPr>
          <w:rFonts w:hint="default" w:ascii="Times New Roman" w:hAnsi="Times New Roman" w:eastAsia="方正仿宋_GBK" w:cs="Times New Roman"/>
          <w:sz w:val="32"/>
          <w:lang w:eastAsia="zh-CN"/>
        </w:rPr>
        <w:t>项目管理需要</w:t>
      </w:r>
      <w:r>
        <w:rPr>
          <w:rFonts w:hint="default" w:ascii="Times New Roman" w:hAnsi="Times New Roman" w:eastAsia="方正仿宋_GBK" w:cs="Times New Roman"/>
          <w:sz w:val="32"/>
        </w:rPr>
        <w:t>，采取随机抽查和重</w:t>
      </w:r>
      <w:r>
        <w:rPr>
          <w:rFonts w:hint="default" w:ascii="Times New Roman" w:hAnsi="Times New Roman" w:eastAsia="方正仿宋_GBK" w:cs="Times New Roman"/>
          <w:w w:val="95"/>
          <w:sz w:val="32"/>
        </w:rPr>
        <w:t>点抽查相结合的方式，合理确定绩效评价样本项目抽查频次和比例。</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lang w:eastAsia="zh-CN"/>
        </w:rPr>
      </w:pPr>
      <w:r>
        <w:rPr>
          <w:rFonts w:hint="default" w:ascii="Times New Roman" w:hAnsi="Times New Roman" w:eastAsia="方正黑体_GBK" w:cs="Times New Roman"/>
          <w:sz w:val="32"/>
          <w:lang w:eastAsia="zh-CN"/>
        </w:rPr>
        <w:t>第六条</w:t>
      </w:r>
      <w:r>
        <w:rPr>
          <w:rFonts w:hint="default" w:ascii="Times New Roman" w:hAnsi="Times New Roman" w:eastAsia="方正黑体_GBK" w:cs="Times New Roman"/>
          <w:sz w:val="32"/>
          <w:lang w:val="en-US" w:eastAsia="zh-CN"/>
        </w:rPr>
        <w:t xml:space="preserve">  </w:t>
      </w:r>
      <w:r>
        <w:rPr>
          <w:rFonts w:hint="default" w:ascii="Times New Roman" w:hAnsi="Times New Roman" w:eastAsia="方正仿宋_GBK" w:cs="Times New Roman"/>
          <w:sz w:val="32"/>
          <w:lang w:val="en-US" w:eastAsia="zh-CN"/>
        </w:rPr>
        <w:t>绩效评价</w:t>
      </w:r>
      <w:r>
        <w:rPr>
          <w:rFonts w:hint="default" w:ascii="Times New Roman" w:hAnsi="Times New Roman" w:eastAsia="方正仿宋_GBK" w:cs="Times New Roman"/>
          <w:sz w:val="32"/>
          <w:lang w:eastAsia="zh-CN"/>
        </w:rPr>
        <w:t>的内容包含财务评价和业务评价。</w:t>
      </w:r>
      <w:r>
        <w:rPr>
          <w:rFonts w:hint="default" w:ascii="Times New Roman" w:hAnsi="Times New Roman" w:eastAsia="方正仿宋_GBK" w:cs="Times New Roman"/>
          <w:sz w:val="32"/>
          <w:lang w:val="en-US" w:eastAsia="zh-CN"/>
        </w:rPr>
        <w:t>财务评价主要包括项目资金落实情况、实际支出情况、财务管理情况等。</w:t>
      </w:r>
      <w:r>
        <w:rPr>
          <w:rFonts w:hint="default" w:ascii="Times New Roman" w:hAnsi="Times New Roman" w:eastAsia="方正仿宋_GBK" w:cs="Times New Roman"/>
          <w:sz w:val="32"/>
          <w:lang w:eastAsia="zh-CN"/>
        </w:rPr>
        <w:t>业务评价主要包括技术效益、经济效益和社会效益等内容。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黑体_GBK" w:cs="Times New Roman"/>
          <w:sz w:val="32"/>
          <w:lang w:eastAsia="zh-CN"/>
        </w:rPr>
        <w:t>第七条</w:t>
      </w:r>
      <w:r>
        <w:rPr>
          <w:rFonts w:hint="default" w:ascii="Times New Roman" w:hAnsi="Times New Roman" w:eastAsia="方正黑体_GBK" w:cs="Times New Roman"/>
          <w:sz w:val="32"/>
          <w:lang w:val="en-US" w:eastAsia="zh-CN"/>
        </w:rPr>
        <w:t xml:space="preserve">  </w:t>
      </w:r>
      <w:r>
        <w:rPr>
          <w:rFonts w:hint="default" w:ascii="Times New Roman" w:hAnsi="Times New Roman" w:eastAsia="方正仿宋_GBK" w:cs="Times New Roman"/>
          <w:sz w:val="32"/>
          <w:lang w:val="en-US" w:eastAsia="zh-CN"/>
        </w:rPr>
        <w:t>绩效评价</w:t>
      </w:r>
      <w:r>
        <w:rPr>
          <w:rFonts w:hint="default" w:ascii="Times New Roman" w:hAnsi="Times New Roman" w:eastAsia="方正仿宋_GBK" w:cs="Times New Roman"/>
          <w:sz w:val="32"/>
          <w:lang w:eastAsia="zh-CN"/>
        </w:rPr>
        <w:t>按照基础研究与应用基础研究类、技术和产品开发类、应用示范类等不同类别科研项目分类评价</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lang w:eastAsia="zh-CN"/>
        </w:rPr>
        <w:t>实行</w:t>
      </w:r>
      <w:r>
        <w:rPr>
          <w:rFonts w:hint="default" w:ascii="Times New Roman" w:hAnsi="Times New Roman" w:eastAsia="方正仿宋_GBK" w:cs="Times New Roman"/>
          <w:sz w:val="32"/>
          <w:lang w:val="en-US" w:eastAsia="zh-CN"/>
        </w:rPr>
        <w:t>差异化的绩效评价指标体系。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一）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二）技术和产品开发类项目重点评价新技术、新方法、新产品、关键部件等的创新型、成熟度、稳定性和可靠性，突出成果转化应用情况及其在解决经济社会发展关键问题和支撑引领行业产业发展中发挥的作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（三）应用示范类项目以规模化应用、行业内推广为导向，重点评价集成性、先进性、经济适用性、辐射带动作用及产生的经济社会效应。</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lang w:eastAsia="zh-CN"/>
        </w:rPr>
      </w:pPr>
      <w:r>
        <w:rPr>
          <w:rFonts w:hint="default" w:ascii="Times New Roman" w:hAnsi="Times New Roman" w:eastAsia="方正黑体_GBK" w:cs="Times New Roman"/>
          <w:sz w:val="32"/>
          <w:lang w:val="en-US" w:eastAsia="zh-CN"/>
        </w:rPr>
        <w:t>第</w:t>
      </w:r>
      <w:r>
        <w:rPr>
          <w:rFonts w:hint="default" w:ascii="Times New Roman" w:hAnsi="Times New Roman" w:eastAsia="方正黑体_GBK" w:cs="Times New Roman"/>
          <w:sz w:val="32"/>
          <w:lang w:eastAsia="zh-CN"/>
        </w:rPr>
        <w:t>八</w:t>
      </w:r>
      <w:r>
        <w:rPr>
          <w:rFonts w:hint="default" w:ascii="Times New Roman" w:hAnsi="Times New Roman" w:eastAsia="方正黑体_GBK" w:cs="Times New Roman"/>
          <w:sz w:val="32"/>
          <w:lang w:val="en-US" w:eastAsia="zh-CN"/>
        </w:rPr>
        <w:t>条</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lang w:eastAsia="zh-CN"/>
        </w:rPr>
        <w:t>绩效评价主要以实施期内科研项目为评价样本，重点关注项目基础条件保障、阶段性任务完成情况、资金管理使用情况、阶段性成果产出情况以及可持续发展情况等。同时，可根据需要对已结题项目成果转化产生的经济社会效益开展绩效评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contextualSpacing/>
        <w:jc w:val="left"/>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contextualSpacing/>
        <w:jc w:val="center"/>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第三章  评价指标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contextualSpacing/>
        <w:jc w:val="center"/>
        <w:textAlignment w:val="auto"/>
        <w:rPr>
          <w:rFonts w:hint="default" w:ascii="Times New Roman" w:hAnsi="Times New Roman" w:eastAsia="方正黑体_GBK" w:cs="Times New Roman"/>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contextualSpacing/>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黑体_GBK" w:cs="Times New Roman"/>
          <w:sz w:val="32"/>
          <w:lang w:val="en-US" w:eastAsia="zh-CN"/>
        </w:rPr>
        <w:t>第九条</w:t>
      </w:r>
      <w:r>
        <w:rPr>
          <w:rFonts w:hint="default" w:ascii="Times New Roman" w:hAnsi="Times New Roman" w:eastAsia="方正仿宋_GBK" w:cs="Times New Roman"/>
          <w:sz w:val="32"/>
          <w:lang w:val="en-US" w:eastAsia="zh-CN"/>
        </w:rPr>
        <w:t xml:space="preserve">  科研项目绩效评价指标体系总体遵循科学性、系统性、可操作性和可持续性原则，包括项目投入、过程、产出、效益等多个维度指标。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contextualSpacing/>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黑体_GBK" w:cs="Times New Roman"/>
          <w:sz w:val="32"/>
          <w:lang w:val="en-US" w:eastAsia="zh-CN"/>
        </w:rPr>
        <w:t>第十条</w:t>
      </w:r>
      <w:r>
        <w:rPr>
          <w:rFonts w:hint="default" w:ascii="Times New Roman" w:hAnsi="Times New Roman" w:eastAsia="方正仿宋_GBK" w:cs="Times New Roman"/>
          <w:sz w:val="32"/>
          <w:lang w:val="en-US" w:eastAsia="zh-CN"/>
        </w:rPr>
        <w:t xml:space="preserve">  绩效评价的具体指标应根据不同类别科研项目综合选取，应当符合以下要求：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contextualSpacing/>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（一）注重定性与定量指标相结合，全面反映指标内容情况，同时在指标权重设置上体现指标的重要程度。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contextualSpacing/>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（二）坚持精简实用，优先选取最具代表性、最能直接反映产出和效益的核心指标。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contextualSpacing/>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（三）指标内涵应当明确、具体、可衡量，数据及佐证资料应当可采集、可获得。</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contextualSpacing/>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（四）同类型科研项目绩效评价指标和标准应当具有一致性，便于评价结果的相互比较。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contextualSpacing/>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黑体_GBK" w:cs="Times New Roman"/>
          <w:sz w:val="32"/>
          <w:lang w:val="en-US" w:eastAsia="zh-CN"/>
        </w:rPr>
        <w:t>第十一条</w:t>
      </w:r>
      <w:r>
        <w:rPr>
          <w:rFonts w:hint="default" w:ascii="Times New Roman" w:hAnsi="Times New Roman" w:eastAsia="方正仿宋_GBK" w:cs="Times New Roman"/>
          <w:sz w:val="32"/>
          <w:lang w:val="en-US" w:eastAsia="zh-CN"/>
        </w:rPr>
        <w:t xml:space="preserve">  科研项目绩效评价指标权重根据评价目的、评价对象、实施阶段和指标重要程度而确定。</w:t>
      </w:r>
    </w:p>
    <w:p>
      <w:pPr>
        <w:pStyle w:val="3"/>
        <w:keepNext w:val="0"/>
        <w:keepLines w:val="0"/>
        <w:pageBreakBefore w:val="0"/>
        <w:widowControl w:val="0"/>
        <w:kinsoku/>
        <w:wordWrap/>
        <w:overflowPunct/>
        <w:topLinePunct w:val="0"/>
        <w:autoSpaceDE/>
        <w:autoSpaceDN/>
        <w:bidi w:val="0"/>
        <w:spacing w:beforeAutospacing="0" w:afterAutospacing="0" w:line="600" w:lineRule="exact"/>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contextualSpacing/>
        <w:jc w:val="center"/>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第四章  组织实施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contextualSpacing/>
        <w:jc w:val="left"/>
        <w:textAlignment w:val="auto"/>
        <w:rPr>
          <w:rFonts w:hint="default" w:ascii="Times New Roman" w:hAnsi="Times New Roman" w:eastAsia="方正仿宋_GBK" w:cs="Times New Roman"/>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contextualSpacing/>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黑体_GBK" w:cs="Times New Roman"/>
          <w:sz w:val="32"/>
          <w:lang w:val="en-US" w:eastAsia="zh-CN"/>
        </w:rPr>
        <w:t>第十二条</w:t>
      </w:r>
      <w:r>
        <w:rPr>
          <w:rFonts w:hint="default" w:ascii="Times New Roman" w:hAnsi="Times New Roman" w:eastAsia="方正仿宋_GBK" w:cs="Times New Roman"/>
          <w:sz w:val="32"/>
          <w:lang w:val="en-US" w:eastAsia="zh-CN"/>
        </w:rPr>
        <w:t xml:space="preserve">  区科技局</w:t>
      </w:r>
      <w:r>
        <w:rPr>
          <w:rFonts w:hint="default" w:ascii="Times New Roman" w:hAnsi="Times New Roman" w:eastAsia="方正仿宋_GBK" w:cs="Times New Roman"/>
          <w:sz w:val="32"/>
          <w:lang w:eastAsia="zh-CN"/>
        </w:rPr>
        <w:t>负责制定绩效评价管理办法和年度</w:t>
      </w:r>
      <w:r>
        <w:rPr>
          <w:rFonts w:hint="default" w:ascii="Times New Roman" w:hAnsi="Times New Roman" w:eastAsia="方正仿宋_GBK" w:cs="Times New Roman"/>
          <w:sz w:val="32"/>
          <w:lang w:val="en-US" w:eastAsia="zh-CN"/>
        </w:rPr>
        <w:t>绩效评价工作</w:t>
      </w:r>
      <w:r>
        <w:rPr>
          <w:rFonts w:hint="default" w:ascii="Times New Roman" w:hAnsi="Times New Roman" w:eastAsia="方正仿宋_GBK" w:cs="Times New Roman"/>
          <w:sz w:val="32"/>
          <w:lang w:eastAsia="zh-CN"/>
        </w:rPr>
        <w:t>计划</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lang w:eastAsia="zh-CN"/>
        </w:rPr>
        <w:t>重点明确</w:t>
      </w:r>
      <w:r>
        <w:rPr>
          <w:rFonts w:hint="default" w:ascii="Times New Roman" w:hAnsi="Times New Roman" w:eastAsia="方正仿宋_GBK" w:cs="Times New Roman"/>
          <w:sz w:val="32"/>
          <w:lang w:val="en-US" w:eastAsia="zh-CN"/>
        </w:rPr>
        <w:t>绩效评价</w:t>
      </w:r>
      <w:r>
        <w:rPr>
          <w:rFonts w:hint="default" w:ascii="Times New Roman" w:hAnsi="Times New Roman" w:eastAsia="方正仿宋_GBK" w:cs="Times New Roman"/>
          <w:sz w:val="32"/>
          <w:lang w:eastAsia="zh-CN"/>
        </w:rPr>
        <w:t>目的、评价对象、样本抽取方式，规范绩效评价流程和标准，推动落实绩效评价整改</w:t>
      </w:r>
      <w:r>
        <w:rPr>
          <w:rFonts w:hint="default" w:ascii="Times New Roman" w:hAnsi="Times New Roman" w:eastAsia="方正仿宋_GBK" w:cs="Times New Roman"/>
          <w:sz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contextualSpacing/>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黑体_GBK" w:cs="Times New Roman"/>
          <w:sz w:val="32"/>
          <w:lang w:val="en-US" w:eastAsia="zh-CN"/>
        </w:rPr>
        <w:t>第</w:t>
      </w:r>
      <w:r>
        <w:rPr>
          <w:rFonts w:hint="default" w:ascii="Times New Roman" w:hAnsi="Times New Roman" w:eastAsia="方正黑体_GBK" w:cs="Times New Roman"/>
          <w:sz w:val="32"/>
          <w:lang w:eastAsia="zh-CN"/>
        </w:rPr>
        <w:t>十三</w:t>
      </w:r>
      <w:r>
        <w:rPr>
          <w:rFonts w:hint="default" w:ascii="Times New Roman" w:hAnsi="Times New Roman" w:eastAsia="方正黑体_GBK" w:cs="Times New Roman"/>
          <w:sz w:val="32"/>
          <w:lang w:val="en-US" w:eastAsia="zh-CN"/>
        </w:rPr>
        <w:t>条</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lang w:eastAsia="zh-CN"/>
        </w:rPr>
        <w:t>绩效评价由</w:t>
      </w:r>
      <w:r>
        <w:rPr>
          <w:rFonts w:hint="default" w:ascii="Times New Roman" w:hAnsi="Times New Roman" w:eastAsia="方正仿宋_GBK" w:cs="Times New Roman"/>
          <w:sz w:val="32"/>
          <w:lang w:val="en-US" w:eastAsia="zh-CN"/>
        </w:rPr>
        <w:t>区科技局直接组织或委托第三方机构</w:t>
      </w:r>
      <w:r>
        <w:rPr>
          <w:rFonts w:hint="default" w:ascii="Times New Roman" w:hAnsi="Times New Roman" w:eastAsia="方正仿宋_GBK" w:cs="Times New Roman"/>
          <w:sz w:val="32"/>
          <w:lang w:eastAsia="zh-CN"/>
        </w:rPr>
        <w:t>具体</w:t>
      </w:r>
      <w:r>
        <w:rPr>
          <w:rFonts w:hint="default" w:ascii="Times New Roman" w:hAnsi="Times New Roman" w:eastAsia="方正仿宋_GBK" w:cs="Times New Roman"/>
          <w:sz w:val="32"/>
          <w:lang w:val="en-US" w:eastAsia="zh-CN"/>
        </w:rPr>
        <w:t>开展</w:t>
      </w:r>
      <w:r>
        <w:rPr>
          <w:rFonts w:hint="default" w:ascii="Times New Roman" w:hAnsi="Times New Roman" w:eastAsia="方正仿宋_GBK" w:cs="Times New Roman"/>
          <w:sz w:val="32"/>
          <w:lang w:eastAsia="zh-CN"/>
        </w:rPr>
        <w:t>，主要包括以下流程：</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contextualSpacing/>
        <w:jc w:val="left"/>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val="en-US" w:eastAsia="zh-CN"/>
        </w:rPr>
        <w:t>（一）</w:t>
      </w:r>
      <w:r>
        <w:rPr>
          <w:rFonts w:hint="default" w:ascii="Times New Roman" w:hAnsi="Times New Roman" w:eastAsia="方正仿宋_GBK" w:cs="Times New Roman"/>
          <w:sz w:val="32"/>
          <w:lang w:eastAsia="zh-CN"/>
        </w:rPr>
        <w:t>确定评价对象。</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contextualSpacing/>
        <w:jc w:val="left"/>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（二）遴选第三方机构或组建评价工作组。</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contextualSpacing/>
        <w:jc w:val="left"/>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（三）向评价对象发出绩效评价通知。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contextualSpacing/>
        <w:jc w:val="left"/>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color w:val="auto"/>
          <w:sz w:val="32"/>
          <w:highlight w:val="none"/>
          <w:lang w:eastAsia="zh-CN"/>
        </w:rPr>
        <w:t>（四）开展单位自评，形成自评报告。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contextualSpacing/>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eastAsia="zh-CN"/>
        </w:rPr>
        <w:t>（五）</w:t>
      </w:r>
      <w:r>
        <w:rPr>
          <w:rFonts w:hint="default" w:ascii="Times New Roman" w:hAnsi="Times New Roman" w:eastAsia="方正仿宋_GBK" w:cs="Times New Roman"/>
          <w:sz w:val="32"/>
          <w:lang w:val="en-US" w:eastAsia="zh-CN"/>
        </w:rPr>
        <w:t>组织开展绩效评价，形成评价报告。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0"/>
        <w:contextualSpacing/>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lang w:eastAsia="zh-CN"/>
        </w:rPr>
        <w:t>六</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lang w:eastAsia="zh-CN"/>
        </w:rPr>
        <w:t>合理运用评价结果，</w:t>
      </w:r>
      <w:r>
        <w:rPr>
          <w:rFonts w:hint="default" w:ascii="Times New Roman" w:hAnsi="Times New Roman" w:eastAsia="方正仿宋_GBK" w:cs="Times New Roman"/>
          <w:sz w:val="32"/>
          <w:lang w:val="en-US" w:eastAsia="zh-CN"/>
        </w:rPr>
        <w:t>推动落实整改。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contextualSpacing/>
        <w:jc w:val="left"/>
        <w:textAlignment w:val="auto"/>
        <w:rPr>
          <w:rFonts w:hint="default" w:ascii="Times New Roman" w:hAnsi="Times New Roman" w:eastAsia="方正黑体_GBK" w:cs="Times New Roman"/>
          <w:sz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contextualSpacing/>
        <w:jc w:val="center"/>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eastAsia="zh-CN"/>
        </w:rPr>
        <w:t>第五章</w:t>
      </w:r>
      <w:r>
        <w:rPr>
          <w:rFonts w:hint="default" w:ascii="Times New Roman" w:hAnsi="Times New Roman" w:eastAsia="方正黑体_GBK" w:cs="Times New Roman"/>
          <w:sz w:val="32"/>
          <w:lang w:val="en-US" w:eastAsia="zh-CN"/>
        </w:rPr>
        <w:t xml:space="preserve">  结果运用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contextualSpacing/>
        <w:jc w:val="left"/>
        <w:textAlignment w:val="auto"/>
        <w:rPr>
          <w:rFonts w:hint="default" w:ascii="Times New Roman" w:hAnsi="Times New Roman" w:eastAsia="方正黑体_GBK" w:cs="Times New Roman"/>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0"/>
        <w:contextualSpacing/>
        <w:jc w:val="left"/>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highlight w:val="none"/>
        </w:rPr>
        <w:t>第十</w:t>
      </w:r>
      <w:r>
        <w:rPr>
          <w:rFonts w:hint="default" w:ascii="Times New Roman" w:hAnsi="Times New Roman" w:eastAsia="方正黑体_GBK" w:cs="Times New Roman"/>
          <w:sz w:val="32"/>
          <w:highlight w:val="none"/>
          <w:lang w:eastAsia="zh-CN"/>
        </w:rPr>
        <w:t>四</w:t>
      </w:r>
      <w:r>
        <w:rPr>
          <w:rFonts w:hint="default" w:ascii="Times New Roman" w:hAnsi="Times New Roman" w:eastAsia="方正黑体_GBK" w:cs="Times New Roman"/>
          <w:sz w:val="32"/>
          <w:highlight w:val="none"/>
        </w:rPr>
        <w:t xml:space="preserve">条  </w:t>
      </w:r>
      <w:r>
        <w:rPr>
          <w:rFonts w:hint="default" w:ascii="Times New Roman" w:hAnsi="Times New Roman" w:eastAsia="方正仿宋_GBK" w:cs="Times New Roman"/>
          <w:sz w:val="32"/>
          <w:highlight w:val="none"/>
        </w:rPr>
        <w:t>绩效评价结果</w:t>
      </w:r>
      <w:r>
        <w:rPr>
          <w:rFonts w:hint="default" w:ascii="Times New Roman" w:hAnsi="Times New Roman" w:eastAsia="方正仿宋_GBK" w:cs="Times New Roman"/>
          <w:sz w:val="32"/>
          <w:highlight w:val="none"/>
          <w:lang w:eastAsia="zh-CN"/>
        </w:rPr>
        <w:t>分为</w:t>
      </w:r>
      <w:r>
        <w:rPr>
          <w:rFonts w:hint="default" w:ascii="Times New Roman" w:hAnsi="Times New Roman" w:eastAsia="方正仿宋_GBK" w:cs="Times New Roman"/>
          <w:sz w:val="32"/>
          <w:highlight w:val="none"/>
        </w:rPr>
        <w:t>优秀、合格、不合格三个等级。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0"/>
        <w:contextualSpacing/>
        <w:jc w:val="left"/>
        <w:textAlignment w:val="auto"/>
        <w:rPr>
          <w:rFonts w:hint="default" w:ascii="Times New Roman" w:hAnsi="Times New Roman" w:eastAsia="方正仿宋_GBK" w:cs="Times New Roman"/>
          <w:sz w:val="32"/>
          <w:lang w:eastAsia="zh-CN"/>
        </w:rPr>
      </w:pPr>
      <w:r>
        <w:rPr>
          <w:rFonts w:hint="default" w:ascii="Times New Roman" w:hAnsi="Times New Roman" w:eastAsia="方正黑体_GBK" w:cs="Times New Roman"/>
          <w:sz w:val="32"/>
        </w:rPr>
        <w:t>第十</w:t>
      </w:r>
      <w:r>
        <w:rPr>
          <w:rFonts w:hint="default" w:ascii="Times New Roman" w:hAnsi="Times New Roman" w:eastAsia="方正黑体_GBK" w:cs="Times New Roman"/>
          <w:sz w:val="32"/>
          <w:lang w:eastAsia="zh-CN"/>
        </w:rPr>
        <w:t>五</w:t>
      </w:r>
      <w:r>
        <w:rPr>
          <w:rFonts w:hint="default" w:ascii="Times New Roman" w:hAnsi="Times New Roman" w:eastAsia="方正黑体_GBK" w:cs="Times New Roman"/>
          <w:sz w:val="32"/>
        </w:rPr>
        <w:t>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lang w:eastAsia="zh-CN"/>
        </w:rPr>
        <w:t>在财政科技资金使用管理中，被区级及以上相关部门审计、专项检查、财政督察等发现存在严重违纪违规问题的，该项目绩效评价结果按不合格处理。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0"/>
        <w:contextualSpacing/>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黑体_GBK" w:cs="Times New Roman"/>
          <w:sz w:val="32"/>
          <w:lang w:eastAsia="zh-CN"/>
        </w:rPr>
        <w:t>第十六条</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lang w:eastAsia="zh-CN"/>
        </w:rPr>
        <w:t>区</w:t>
      </w:r>
      <w:r>
        <w:rPr>
          <w:rFonts w:hint="default" w:ascii="Times New Roman" w:hAnsi="Times New Roman" w:eastAsia="方正仿宋_GBK" w:cs="Times New Roman"/>
          <w:sz w:val="32"/>
        </w:rPr>
        <w:t>科技局及时将绩效评价结果反馈评价对象，评价对象要</w:t>
      </w:r>
      <w:r>
        <w:rPr>
          <w:rFonts w:hint="default" w:ascii="Times New Roman" w:hAnsi="Times New Roman" w:eastAsia="方正仿宋_GBK" w:cs="Times New Roman"/>
          <w:sz w:val="32"/>
          <w:lang w:eastAsia="zh-CN"/>
        </w:rPr>
        <w:t>认真研究分析评价意见、建议和相关整改要求，按规定开展整改，并改进完善相关管理和实施工作。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黑体_GBK" w:cs="Times New Roman"/>
          <w:sz w:val="32"/>
        </w:rPr>
        <w:t>第十</w:t>
      </w:r>
      <w:r>
        <w:rPr>
          <w:rFonts w:hint="default" w:ascii="Times New Roman" w:hAnsi="Times New Roman" w:eastAsia="方正黑体_GBK" w:cs="Times New Roman"/>
          <w:sz w:val="32"/>
          <w:lang w:eastAsia="zh-CN"/>
        </w:rPr>
        <w:t>七</w:t>
      </w:r>
      <w:r>
        <w:rPr>
          <w:rFonts w:hint="default" w:ascii="Times New Roman" w:hAnsi="Times New Roman" w:eastAsia="方正黑体_GBK" w:cs="Times New Roman"/>
          <w:sz w:val="32"/>
        </w:rPr>
        <w:t>条</w:t>
      </w:r>
      <w:r>
        <w:rPr>
          <w:rFonts w:hint="default" w:ascii="Times New Roman" w:hAnsi="Times New Roman" w:eastAsia="方正仿宋_GBK" w:cs="Times New Roman"/>
          <w:sz w:val="32"/>
        </w:rPr>
        <w:t xml:space="preserve">  绩效评价结果</w:t>
      </w:r>
      <w:r>
        <w:rPr>
          <w:rFonts w:hint="default" w:ascii="Times New Roman" w:hAnsi="Times New Roman" w:eastAsia="方正仿宋_GBK" w:cs="Times New Roman"/>
          <w:sz w:val="32"/>
          <w:lang w:eastAsia="zh-CN"/>
        </w:rPr>
        <w:t>作为项目调整、后续支持的重要依据，对绩效评价结果为优秀的，在后续项目支持、表彰奖励等工作中给予倾斜；对绩效评价结果为不合格的，督促评价对象按要求进行整改，整改情况作为项目结题验收的重要参考。</w:t>
      </w:r>
      <w:r>
        <w:rPr>
          <w:rFonts w:hint="default" w:ascii="Times New Roman" w:hAnsi="Times New Roman" w:eastAsia="方正仿宋_GBK" w:cs="Times New Roman"/>
          <w:w w:val="96"/>
          <w:sz w:val="32"/>
          <w:lang w:eastAsia="zh-CN"/>
        </w:rPr>
        <w:t>相关责任主体存在科研失信行为的，纳入科研信用管理。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第十</w:t>
      </w:r>
      <w:r>
        <w:rPr>
          <w:rFonts w:hint="default" w:ascii="Times New Roman" w:hAnsi="Times New Roman" w:eastAsia="方正黑体_GBK" w:cs="Times New Roman"/>
          <w:sz w:val="32"/>
          <w:lang w:eastAsia="zh-CN"/>
        </w:rPr>
        <w:t>八</w:t>
      </w:r>
      <w:r>
        <w:rPr>
          <w:rFonts w:hint="default" w:ascii="Times New Roman" w:hAnsi="Times New Roman" w:eastAsia="方正黑体_GBK" w:cs="Times New Roman"/>
          <w:sz w:val="32"/>
        </w:rPr>
        <w:t>条</w:t>
      </w:r>
      <w:r>
        <w:rPr>
          <w:rFonts w:hint="default" w:ascii="Times New Roman" w:hAnsi="Times New Roman" w:eastAsia="方正仿宋_GBK" w:cs="Times New Roman"/>
          <w:sz w:val="32"/>
        </w:rPr>
        <w:t xml:space="preserve">  对同一科研项目，实行绩效评价、审计监督、专项检查等结果互认，减少对科研活动的检查频次。</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contextualSpacing/>
        <w:jc w:val="center"/>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eastAsia="zh-CN"/>
        </w:rPr>
        <w:t>第六章</w:t>
      </w:r>
      <w:r>
        <w:rPr>
          <w:rFonts w:hint="default" w:ascii="Times New Roman" w:hAnsi="Times New Roman" w:eastAsia="方正黑体_GBK" w:cs="Times New Roman"/>
          <w:sz w:val="32"/>
          <w:lang w:val="en-US" w:eastAsia="zh-CN"/>
        </w:rPr>
        <w:t xml:space="preserve">  保障与监督</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第十</w:t>
      </w:r>
      <w:r>
        <w:rPr>
          <w:rFonts w:hint="default" w:ascii="Times New Roman" w:hAnsi="Times New Roman" w:eastAsia="方正黑体_GBK" w:cs="Times New Roman"/>
          <w:sz w:val="32"/>
          <w:lang w:eastAsia="zh-CN"/>
        </w:rPr>
        <w:t>九</w:t>
      </w:r>
      <w:r>
        <w:rPr>
          <w:rFonts w:hint="default" w:ascii="Times New Roman" w:hAnsi="Times New Roman" w:eastAsia="方正黑体_GBK" w:cs="Times New Roman"/>
          <w:sz w:val="32"/>
        </w:rPr>
        <w:t>条</w:t>
      </w:r>
      <w:r>
        <w:rPr>
          <w:rFonts w:hint="default" w:ascii="Times New Roman" w:hAnsi="Times New Roman" w:eastAsia="方正仿宋_GBK" w:cs="Times New Roman"/>
          <w:sz w:val="32"/>
        </w:rPr>
        <w:t xml:space="preserve">  绩效评价工作经费纳入</w:t>
      </w:r>
      <w:r>
        <w:rPr>
          <w:rFonts w:hint="default" w:ascii="Times New Roman" w:hAnsi="Times New Roman" w:eastAsia="方正仿宋_GBK" w:cs="Times New Roman"/>
          <w:sz w:val="32"/>
          <w:lang w:eastAsia="zh-CN"/>
        </w:rPr>
        <w:t>科技创新专项资金</w:t>
      </w:r>
      <w:r>
        <w:rPr>
          <w:rFonts w:hint="default" w:ascii="Times New Roman" w:hAnsi="Times New Roman" w:eastAsia="方正仿宋_GBK" w:cs="Times New Roman"/>
          <w:sz w:val="32"/>
        </w:rPr>
        <w:t>年度经费预算。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Arial" w:cs="Times New Roman"/>
          <w:i w:val="0"/>
          <w:caps w:val="0"/>
          <w:color w:val="333333"/>
          <w:spacing w:val="0"/>
          <w:sz w:val="21"/>
          <w:szCs w:val="21"/>
          <w:shd w:val="clear" w:fill="FFFFFF"/>
        </w:rPr>
      </w:pPr>
      <w:r>
        <w:rPr>
          <w:rFonts w:hint="default" w:ascii="Times New Roman" w:hAnsi="Times New Roman" w:eastAsia="方正黑体_GBK" w:cs="Times New Roman"/>
          <w:sz w:val="32"/>
        </w:rPr>
        <w:t>第</w:t>
      </w:r>
      <w:r>
        <w:rPr>
          <w:rFonts w:hint="default" w:ascii="Times New Roman" w:hAnsi="Times New Roman" w:eastAsia="方正黑体_GBK" w:cs="Times New Roman"/>
          <w:sz w:val="32"/>
          <w:lang w:eastAsia="zh-CN"/>
        </w:rPr>
        <w:t>二十</w:t>
      </w:r>
      <w:r>
        <w:rPr>
          <w:rFonts w:hint="default" w:ascii="Times New Roman" w:hAnsi="Times New Roman" w:eastAsia="方正黑体_GBK" w:cs="Times New Roman"/>
          <w:sz w:val="32"/>
        </w:rPr>
        <w:t>条</w:t>
      </w:r>
      <w:r>
        <w:rPr>
          <w:rFonts w:hint="default" w:ascii="Times New Roman" w:hAnsi="Times New Roman" w:eastAsia="方正仿宋_GBK" w:cs="Times New Roman"/>
          <w:sz w:val="32"/>
        </w:rPr>
        <w:t xml:space="preserve">  严格遵守国家相关法律、法规和其他规定，保证绩效评价的公正性、客观性和权威性。</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w:t>
      </w:r>
      <w:r>
        <w:rPr>
          <w:rFonts w:hint="default" w:ascii="Times New Roman" w:hAnsi="Times New Roman" w:eastAsia="方正仿宋_GBK" w:cs="Times New Roman"/>
          <w:sz w:val="32"/>
          <w:lang w:eastAsia="zh-CN"/>
        </w:rPr>
        <w:t>区</w:t>
      </w:r>
      <w:r>
        <w:rPr>
          <w:rFonts w:hint="default" w:ascii="Times New Roman" w:hAnsi="Times New Roman" w:eastAsia="方正仿宋_GBK" w:cs="Times New Roman"/>
          <w:sz w:val="32"/>
        </w:rPr>
        <w:t>科技局工作人员在评价工作中如有徇私舞弊、滥用职权、玩忽职守、收受贿赂或者干扰评价工作，导致评价不公正并产生不良影响的，视情节按相关规定处理。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（二）评价对象无正当理由不配合绩效评价工作，或逾期不提供相关绩效评价基础信息的，或</w:t>
      </w:r>
      <w:r>
        <w:rPr>
          <w:rFonts w:hint="default" w:ascii="Times New Roman" w:hAnsi="Times New Roman" w:eastAsia="方正仿宋_GBK" w:cs="Times New Roman"/>
          <w:sz w:val="32"/>
          <w:lang w:eastAsia="zh-CN"/>
        </w:rPr>
        <w:t>存在违反科研诚信、科技伦理行为的，纳入科研信用管理。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（三）第三方机构在绩效评价过程中存在严重违规行为的，</w:t>
      </w:r>
      <w:r>
        <w:rPr>
          <w:rFonts w:hint="eastAsia" w:ascii="Times New Roman" w:hAnsi="Times New Roman" w:eastAsia="方正仿宋_GBK" w:cs="Times New Roman"/>
          <w:sz w:val="32"/>
          <w:lang w:val="en-US" w:eastAsia="zh-CN"/>
        </w:rPr>
        <w:t>中止委托关系，实施科研诚信管理，并予以通报</w:t>
      </w:r>
      <w:r>
        <w:rPr>
          <w:rFonts w:hint="default" w:ascii="Times New Roman" w:hAnsi="Times New Roman" w:eastAsia="方正仿宋_GBK" w:cs="Times New Roman"/>
          <w:sz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第</w:t>
      </w:r>
      <w:r>
        <w:rPr>
          <w:rFonts w:hint="default" w:ascii="Times New Roman" w:hAnsi="Times New Roman" w:eastAsia="方正黑体_GBK" w:cs="Times New Roman"/>
          <w:sz w:val="32"/>
          <w:lang w:eastAsia="zh-CN"/>
        </w:rPr>
        <w:t>二十一</w:t>
      </w:r>
      <w:r>
        <w:rPr>
          <w:rFonts w:hint="default" w:ascii="Times New Roman" w:hAnsi="Times New Roman" w:eastAsia="方正黑体_GBK" w:cs="Times New Roman"/>
          <w:sz w:val="32"/>
        </w:rPr>
        <w:t>条</w:t>
      </w:r>
      <w:r>
        <w:rPr>
          <w:rFonts w:hint="default" w:ascii="Times New Roman" w:hAnsi="Times New Roman" w:eastAsia="方正仿宋_GBK" w:cs="Times New Roman"/>
          <w:sz w:val="32"/>
        </w:rPr>
        <w:t xml:space="preserve">  严格遵守相关保密规定，严禁泄露相关国家秘密、商业秘密、技术秘密。未经管理部门批准同意，不得擅自对外透露相关信息。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contextualSpacing/>
        <w:jc w:val="center"/>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eastAsia="zh-CN"/>
        </w:rPr>
        <w:t>第七章</w:t>
      </w:r>
      <w:r>
        <w:rPr>
          <w:rFonts w:hint="default" w:ascii="Times New Roman" w:hAnsi="Times New Roman" w:eastAsia="方正黑体_GBK" w:cs="Times New Roman"/>
          <w:sz w:val="32"/>
          <w:lang w:val="en-US" w:eastAsia="zh-CN"/>
        </w:rPr>
        <w:t xml:space="preserve">  附则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contextualSpacing/>
        <w:jc w:val="left"/>
        <w:textAlignment w:val="auto"/>
        <w:rPr>
          <w:rFonts w:hint="default" w:ascii="Times New Roman" w:hAnsi="Times New Roman" w:eastAsia="方正仿宋_GBK" w:cs="Times New Roman"/>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contextualSpacing/>
        <w:jc w:val="left"/>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第</w:t>
      </w:r>
      <w:r>
        <w:rPr>
          <w:rFonts w:hint="default" w:ascii="Times New Roman" w:hAnsi="Times New Roman" w:eastAsia="方正黑体_GBK" w:cs="Times New Roman"/>
          <w:sz w:val="32"/>
          <w:lang w:eastAsia="zh-CN"/>
        </w:rPr>
        <w:t>二十二</w:t>
      </w:r>
      <w:r>
        <w:rPr>
          <w:rFonts w:hint="default" w:ascii="Times New Roman" w:hAnsi="Times New Roman" w:eastAsia="方正黑体_GBK" w:cs="Times New Roman"/>
          <w:sz w:val="32"/>
        </w:rPr>
        <w:t>条</w:t>
      </w:r>
      <w:r>
        <w:rPr>
          <w:rFonts w:hint="default" w:ascii="Times New Roman" w:hAnsi="Times New Roman" w:eastAsia="方正仿宋_GBK" w:cs="Times New Roman"/>
          <w:sz w:val="32"/>
        </w:rPr>
        <w:t xml:space="preserve">  本办法自</w:t>
      </w:r>
      <w:r>
        <w:rPr>
          <w:rFonts w:hint="default" w:ascii="Times New Roman" w:hAnsi="Times New Roman" w:eastAsia="方正仿宋_GBK" w:cs="Times New Roman"/>
          <w:sz w:val="32"/>
          <w:lang w:eastAsia="zh-CN"/>
        </w:rPr>
        <w:t>发布之日</w:t>
      </w:r>
      <w:r>
        <w:rPr>
          <w:rFonts w:hint="default" w:ascii="Times New Roman" w:hAnsi="Times New Roman" w:eastAsia="方正仿宋_GBK" w:cs="Times New Roman"/>
          <w:sz w:val="32"/>
        </w:rPr>
        <w:t>起</w:t>
      </w:r>
      <w:r>
        <w:rPr>
          <w:rFonts w:hint="default" w:ascii="Times New Roman" w:hAnsi="Times New Roman" w:eastAsia="方正仿宋_GBK" w:cs="Times New Roman"/>
          <w:sz w:val="32"/>
          <w:lang w:val="en-US" w:eastAsia="zh-CN"/>
        </w:rPr>
        <w:t>30日后</w:t>
      </w:r>
      <w:r>
        <w:rPr>
          <w:rFonts w:hint="default" w:ascii="Times New Roman" w:hAnsi="Times New Roman" w:eastAsia="方正仿宋_GBK" w:cs="Times New Roman"/>
          <w:sz w:val="32"/>
        </w:rPr>
        <w:t>施行。</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jc w:val="lef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jc w:val="lef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beforeAutospacing="0" w:afterAutospacing="0"/>
      <w:ind w:left="4788" w:leftChars="2280" w:firstLine="3600" w:firstLineChars="2000"/>
      <w:jc w:val="both"/>
      <w:rPr>
        <w:rFonts w:ascii="Times New Roman" w:hAnsi="Times New Roman" w:eastAsia="仿宋" w:cs="Times New Roman"/>
        <w:kern w:val="0"/>
        <w:sz w:val="32"/>
        <w:szCs w:val="4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3pt;margin-top:19.35pt;height:0.15pt;width:442.25pt;z-index:251660288;mso-width-relative:page;mso-height-relative:page;" filled="f" stroked="t" coordsize="21600,21600" o:gfxdata="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BeoJyjUAAAABwEAAA8AAAAA&#10;AAAAAQAgAAAAOAAAAGRycy9kb3ducmV2LnhtbFBLAQIUABQAAAAIAIdO4kDj2HRAAgIAAAAEAAAO&#10;AAAAAAAAAAEAIAAAADkBAABkcnMvZTJvRG9jLnhtbFBLBQYAAAAABgAGAFkBAACtBQAAAAA=&#10;">
              <v:fill on="f" focussize="0,0"/>
              <v:stroke weight="1.75pt" color="#005192" joinstyle="miter"/>
              <v:imagedata o:title=""/>
              <o:lock v:ext="edit" aspectratio="f"/>
            </v:line>
          </w:pict>
        </mc:Fallback>
      </mc:AlternateContent>
    </w:r>
  </w:p>
  <w:p>
    <w:pPr>
      <w:widowControl w:val="0"/>
      <w:tabs>
        <w:tab w:val="center" w:pos="4153"/>
        <w:tab w:val="right" w:pos="8306"/>
      </w:tabs>
      <w:wordWrap w:val="0"/>
      <w:snapToGrid w:val="0"/>
      <w:spacing w:beforeAutospacing="0" w:afterAutospacing="0"/>
      <w:jc w:val="right"/>
      <w:rPr>
        <w:rFonts w:hint="eastAsia" w:ascii="宋体" w:hAnsi="宋体" w:eastAsia="宋体" w:cs="宋体"/>
        <w:b/>
        <w:color w:val="005192"/>
        <w:kern w:val="2"/>
        <w:sz w:val="28"/>
        <w:szCs w:val="44"/>
        <w:lang w:val="en-US" w:eastAsia="zh-CN" w:bidi="ar-SA"/>
      </w:rPr>
    </w:pPr>
    <w:r>
      <w:rPr>
        <w:rFonts w:hint="eastAsia" w:ascii="宋体" w:hAnsi="宋体" w:eastAsia="宋体" w:cs="宋体"/>
        <w:b/>
        <w:color w:val="005192"/>
        <w:kern w:val="2"/>
        <w:sz w:val="28"/>
        <w:szCs w:val="44"/>
        <w:lang w:val="en-US" w:eastAsia="zh-CN" w:bidi="ar-SA"/>
      </w:rPr>
      <w:t>重庆市万州区科学技术局发布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方正仿宋_GBK" w:hAnsi="方正仿宋_GBK" w:eastAsia="方正仿宋_GBK" w:cs="方正仿宋_GBK"/>
        <w:b/>
        <w:bCs/>
        <w:color w:val="000000"/>
        <w:kern w:val="2"/>
        <w:sz w:val="32"/>
        <w:szCs w:val="24"/>
        <w:lang w:val="en-US" w:eastAsia="zh-CN" w:bidi="ar-SA"/>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3" name="直接连接符 3"/>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6ZMxgPcBAADLAwAADgAA&#10;AGRycy9lMm9Eb2MueG1srVNNjtMwFN4jcQfLe5o0nZYSNZ3FVMMGQSXgAK5jJ5b8Jz9P016CCyCx&#10;gxVL9tyG4Rg8O2EY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1NCL+WKxXqK854auVxfr55PG4hQJx/xyVZVYQAnHgpwr/mD4APGlcIakoKFa2USf1ez4CiL2xdLf&#10;JWnZumuldb5CbcnQ0Aq/BM3QlxL9gKHxyA1sRwnTHRqex5AhwWnVpu0JCEJ3uNKBHFmySbmcv6gS&#10;aWz3V1nqvWPQj3U5NRrIqIhvQiuDnMv0Tbu1Tegi+3BikIQcpUvRwbXnrGiRZnjHuenkx2Si+3OM&#10;77/B7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3EeSs1AAAAAgBAAAPAAAAAAAAAAEAIAAAADgA&#10;AABkcnMvZG93bnJldi54bWxQSwECFAAUAAAACACHTuJA6ZMxgPcBAADLAwAADgAAAAAAAAABACAA&#10;AAA5AQAAZHJzL2Uyb0RvYy54bWxQSwUGAAAAAAYABgBZAQAAogUAAAAA&#10;">
              <v:fill on="f" focussize="0,0"/>
              <v:stroke weight="1.75pt" color="#005192" miterlimit="8" joinstyle="miter"/>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4"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kern w:val="2"/>
        <w:sz w:val="32"/>
        <w:szCs w:val="24"/>
        <w:lang w:val="en-US" w:eastAsia="zh-CN" w:bidi="ar-SA"/>
      </w:rPr>
      <w:t>重庆市万州区科学技术局</w:t>
    </w:r>
    <w:r>
      <w:rPr>
        <w:rFonts w:hint="eastAsia" w:ascii="宋体" w:hAnsi="宋体" w:cs="宋体"/>
        <w:b/>
        <w:bCs/>
        <w:color w:val="005192"/>
        <w:kern w:val="2"/>
        <w:sz w:val="32"/>
        <w:szCs w:val="24"/>
        <w:lang w:val="en-US" w:eastAsia="zh-CN" w:bidi="ar-SA"/>
      </w:rPr>
      <w:t>行政</w:t>
    </w:r>
    <w:r>
      <w:rPr>
        <w:rFonts w:hint="eastAsia" w:ascii="宋体" w:hAnsi="宋体" w:eastAsia="宋体" w:cs="宋体"/>
        <w:b/>
        <w:bCs/>
        <w:color w:val="005192"/>
        <w:kern w:val="2"/>
        <w:sz w:val="32"/>
        <w:szCs w:val="32"/>
        <w:lang w:val="en-US" w:eastAsia="zh-Hans" w:bidi="ar-SA"/>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NDQyOTgwOTJhOWZjNzQyY2EwNDhmNzFiNDhhNzkifQ=="/>
  </w:docVars>
  <w:rsids>
    <w:rsidRoot w:val="7E691F3E"/>
    <w:rsid w:val="2410218F"/>
    <w:rsid w:val="406F1D83"/>
    <w:rsid w:val="52784F2E"/>
    <w:rsid w:val="536829BB"/>
    <w:rsid w:val="5C573CF9"/>
    <w:rsid w:val="6EA654FB"/>
    <w:rsid w:val="74DFA8D6"/>
    <w:rsid w:val="7E691F3E"/>
    <w:rsid w:val="7EEE22B2"/>
    <w:rsid w:val="F3D2ECBA"/>
    <w:rsid w:val="F3FFAC37"/>
    <w:rsid w:val="FDBDAB90"/>
    <w:rsid w:val="FF5D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2330</Words>
  <Characters>2338</Characters>
  <Lines>0</Lines>
  <Paragraphs>0</Paragraphs>
  <TotalTime>15</TotalTime>
  <ScaleCrop>false</ScaleCrop>
  <LinksUpToDate>false</LinksUpToDate>
  <CharactersWithSpaces>2473</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2024-07-10T11:36:00Z</dcterms:created>
  <dc:creator>cqfjyxw</dc:creator>
  <cp:lastModifiedBy>lenovo</cp:lastModifiedBy>
  <dcterms:modified xsi:type="dcterms:W3CDTF">2024-09-19T17:37:23Z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9E12F7C862806544F8EDEB66C6951883</vt:lpwstr>
  </property>
</Properties>
</file>