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重庆市万州区科学技术局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关于印发《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eastAsia="zh-CN"/>
        </w:rPr>
        <w:t>重庆市万州区科技咨询专家库管理办法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万州科局发〔2023〕20号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为规范重庆市万州区科技咨询专家库管理工作，发挥科技专家在科技创新中的作用，提高科学决策水平，区科技局制定了《重庆市万州区科技咨询专家库管理办法》，现予以印发，请遵照执行。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重庆市万州区科学技术局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2023年5月22日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  <w:u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u w:val="none"/>
        </w:rPr>
        <w:t>重庆市万州区科技咨询专家库管理办法</w:t>
      </w:r>
    </w:p>
    <w:p>
      <w:pPr>
        <w:widowControl w:val="0"/>
        <w:spacing w:line="590" w:lineRule="exact"/>
        <w:jc w:val="center"/>
        <w:rPr>
          <w:rFonts w:eastAsia="方正仿宋_GBK"/>
          <w:color w:val="auto"/>
          <w:sz w:val="32"/>
          <w:szCs w:val="22"/>
          <w:u w:val="none"/>
        </w:rPr>
      </w:pPr>
    </w:p>
    <w:p>
      <w:pPr>
        <w:widowControl w:val="0"/>
        <w:spacing w:line="590" w:lineRule="exact"/>
        <w:jc w:val="center"/>
        <w:rPr>
          <w:rFonts w:hint="eastAsia" w:ascii="方正黑体_GBK" w:eastAsia="方正黑体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第一条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val="en-US" w:eastAsia="zh-CN"/>
        </w:rPr>
        <w:t xml:space="preserve">  </w:t>
      </w:r>
      <w:r>
        <w:rPr>
          <w:rFonts w:hint="eastAsia" w:eastAsia="方正仿宋_GBK"/>
          <w:color w:val="auto"/>
          <w:sz w:val="32"/>
          <w:szCs w:val="22"/>
          <w:u w:val="none"/>
        </w:rPr>
        <w:t>为规范重庆市万州区科技咨询专家库（以下简称专家库）管理工作，发挥科技专家在科技创新中的作用，提高科学决策水平，结合重庆市万州区实际，制</w:t>
      </w:r>
      <w:r>
        <w:rPr>
          <w:rFonts w:hint="eastAsia" w:eastAsia="方正仿宋_GBK"/>
          <w:color w:val="auto"/>
          <w:sz w:val="32"/>
          <w:szCs w:val="22"/>
          <w:u w:val="none"/>
          <w:lang w:val="en-US" w:eastAsia="zh-CN"/>
        </w:rPr>
        <w:t>定</w:t>
      </w:r>
      <w:r>
        <w:rPr>
          <w:rFonts w:hint="eastAsia" w:eastAsia="方正仿宋_GBK"/>
          <w:color w:val="auto"/>
          <w:sz w:val="32"/>
          <w:szCs w:val="22"/>
          <w:u w:val="none"/>
        </w:rPr>
        <w:t>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第二条  </w:t>
      </w:r>
      <w:r>
        <w:rPr>
          <w:rFonts w:hint="eastAsia" w:eastAsia="方正仿宋_GBK"/>
          <w:color w:val="auto"/>
          <w:sz w:val="32"/>
          <w:szCs w:val="22"/>
          <w:u w:val="none"/>
        </w:rPr>
        <w:t>本区开展科技服务、鉴定、验收及咨询等活动需要使用专家库的，适用本办法。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第三条  </w:t>
      </w:r>
      <w:r>
        <w:rPr>
          <w:rFonts w:hint="eastAsia" w:eastAsia="方正仿宋_GBK"/>
          <w:color w:val="auto"/>
          <w:sz w:val="32"/>
          <w:szCs w:val="22"/>
          <w:u w:val="none"/>
        </w:rPr>
        <w:t>本办法所称科技咨询专家（以下简称专家）是指来源于高校、科研院所、事业单位、企业、政府机关和社会团体等组织并入选专家库的专家。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第四条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专家库遵循“统一建设、集中管理、资源共享、规范使用”的原则，服务于本区科技创新，鼓励引导专家为地方和社会各方发展提供服务。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第五条  </w:t>
      </w:r>
      <w:r>
        <w:rPr>
          <w:rFonts w:hint="eastAsia" w:eastAsia="方正仿宋_GBK"/>
          <w:color w:val="auto"/>
          <w:sz w:val="32"/>
          <w:szCs w:val="22"/>
          <w:u w:val="none"/>
        </w:rPr>
        <w:t>重庆市万州区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科学技术局</w:t>
      </w:r>
      <w:r>
        <w:rPr>
          <w:rFonts w:hint="eastAsia" w:eastAsia="方正仿宋_GBK"/>
          <w:color w:val="auto"/>
          <w:sz w:val="32"/>
          <w:szCs w:val="22"/>
          <w:u w:val="none"/>
        </w:rPr>
        <w:t>（以下简称“区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color w:val="auto"/>
          <w:sz w:val="32"/>
          <w:szCs w:val="22"/>
          <w:u w:val="none"/>
        </w:rPr>
        <w:t>”）是专家库的管理部门。专家的选聘和专家库的运行及日常管理工作由区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color w:val="auto"/>
          <w:sz w:val="32"/>
          <w:szCs w:val="22"/>
          <w:u w:val="none"/>
        </w:rPr>
        <w:t>承担，主要职责：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（一）负责专家库建设、管理的组织协调工作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（二）研究和决定专家库建设和运行过程中的重大事项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（三）组织专家申报、出库入库、培训和考核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评价</w:t>
      </w:r>
      <w:r>
        <w:rPr>
          <w:rFonts w:hint="default" w:eastAsia="方正仿宋_GBK"/>
          <w:color w:val="auto"/>
          <w:sz w:val="32"/>
          <w:szCs w:val="22"/>
          <w:u w:val="none"/>
        </w:rPr>
        <w:t>等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（四）组织召开专家库管理工作会议等。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黑体_GBK" w:eastAsia="方正黑体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第二章  专家出入库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第六条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专家入库基本条件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（一）</w:t>
      </w:r>
      <w:r>
        <w:rPr>
          <w:rFonts w:hint="default" w:eastAsia="方正仿宋_GBK"/>
          <w:color w:val="auto"/>
          <w:sz w:val="32"/>
          <w:szCs w:val="22"/>
          <w:u w:val="none"/>
        </w:rPr>
        <w:t>政治立场坚定、作风正派、廉洁自律，具有良好的科学精神和职业道德。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二</w:t>
      </w:r>
      <w:r>
        <w:rPr>
          <w:rFonts w:hint="default" w:eastAsia="方正仿宋_GBK"/>
          <w:color w:val="auto"/>
          <w:sz w:val="32"/>
          <w:szCs w:val="22"/>
          <w:u w:val="none"/>
        </w:rPr>
        <w:t>）社会公信力高，工作责任心强，能够独立、客观、公正、实事求是地提出专业意见和建议。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三</w:t>
      </w:r>
      <w:r>
        <w:rPr>
          <w:rFonts w:hint="default" w:eastAsia="方正仿宋_GBK"/>
          <w:color w:val="auto"/>
          <w:sz w:val="32"/>
          <w:szCs w:val="22"/>
          <w:u w:val="none"/>
        </w:rPr>
        <w:t>）具有较高的专业学术水平，熟悉相关领域或行业的发展动态，熟悉相关政策、标准和法律法规。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四</w:t>
      </w:r>
      <w:r>
        <w:rPr>
          <w:rFonts w:hint="default" w:eastAsia="方正仿宋_GBK"/>
          <w:color w:val="auto"/>
          <w:sz w:val="32"/>
          <w:szCs w:val="22"/>
          <w:u w:val="none"/>
        </w:rPr>
        <w:t>）从事相关专业领域工作累计5年以上。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五</w:t>
      </w:r>
      <w:r>
        <w:rPr>
          <w:rFonts w:hint="default" w:eastAsia="方正仿宋_GBK"/>
          <w:color w:val="auto"/>
          <w:sz w:val="32"/>
          <w:szCs w:val="22"/>
          <w:u w:val="none"/>
        </w:rPr>
        <w:t>）在时间和精力上能保证完成相关服务工作。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六</w:t>
      </w:r>
      <w:r>
        <w:rPr>
          <w:rFonts w:hint="default" w:eastAsia="方正仿宋_GBK"/>
          <w:color w:val="auto"/>
          <w:sz w:val="32"/>
          <w:szCs w:val="22"/>
          <w:u w:val="none"/>
        </w:rPr>
        <w:t>）年龄一般不超过65周岁；院士、博士生导师、享受国务院或市（省）政府特殊津贴的专家，若法定退休年龄大于65周岁的，则从其法定退休年龄。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default" w:eastAsia="方正仿宋_GBK"/>
          <w:color w:val="auto"/>
          <w:sz w:val="32"/>
          <w:szCs w:val="22"/>
          <w:u w:val="none"/>
        </w:rPr>
      </w:pPr>
      <w:r>
        <w:rPr>
          <w:rFonts w:hint="default" w:eastAsia="方正仿宋_GBK"/>
          <w:color w:val="auto"/>
          <w:sz w:val="32"/>
          <w:szCs w:val="22"/>
          <w:u w:val="none"/>
        </w:rPr>
        <w:t>（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七</w:t>
      </w:r>
      <w:r>
        <w:rPr>
          <w:rFonts w:hint="default" w:eastAsia="方正仿宋_GBK"/>
          <w:color w:val="auto"/>
          <w:sz w:val="32"/>
          <w:szCs w:val="22"/>
          <w:u w:val="none"/>
        </w:rPr>
        <w:t>）没有违法</w:t>
      </w:r>
      <w:r>
        <w:rPr>
          <w:rFonts w:hint="default" w:eastAsia="方正仿宋_GBK"/>
          <w:color w:val="auto"/>
          <w:sz w:val="32"/>
          <w:szCs w:val="22"/>
          <w:u w:val="none"/>
          <w:lang w:eastAsia="zh-CN"/>
        </w:rPr>
        <w:t>、失信</w:t>
      </w:r>
      <w:r>
        <w:rPr>
          <w:rFonts w:hint="default" w:eastAsia="方正仿宋_GBK"/>
          <w:color w:val="auto"/>
          <w:sz w:val="32"/>
          <w:szCs w:val="22"/>
          <w:u w:val="none"/>
        </w:rPr>
        <w:t>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第七条  </w:t>
      </w:r>
      <w:r>
        <w:rPr>
          <w:rFonts w:hint="eastAsia" w:eastAsia="方正仿宋_GBK"/>
          <w:sz w:val="32"/>
          <w:szCs w:val="22"/>
          <w:u w:val="none"/>
        </w:rPr>
        <w:t>专家分类及入库条件</w:t>
      </w:r>
      <w:r>
        <w:rPr>
          <w:rFonts w:hint="eastAsia" w:eastAsia="方正仿宋_GBK"/>
          <w:sz w:val="32"/>
          <w:szCs w:val="22"/>
          <w:u w:val="none"/>
          <w:lang w:eastAsia="zh-CN"/>
        </w:rPr>
        <w:t>。</w:t>
      </w:r>
      <w:r>
        <w:rPr>
          <w:rFonts w:hint="eastAsia" w:eastAsia="方正仿宋_GBK"/>
          <w:sz w:val="32"/>
          <w:szCs w:val="22"/>
          <w:u w:val="none"/>
        </w:rPr>
        <w:t>除符合第六条外，并适用于以下情形</w:t>
      </w:r>
      <w:r>
        <w:rPr>
          <w:rFonts w:hint="eastAsia" w:eastAsia="方正仿宋_GBK"/>
          <w:sz w:val="32"/>
          <w:szCs w:val="2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（一）技术类专家。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主要是从事科技研发，具有较高专业水平的专家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1. </w:t>
      </w:r>
      <w:r>
        <w:rPr>
          <w:rFonts w:hint="eastAsia" w:eastAsia="方正仿宋_GBK"/>
          <w:color w:val="auto"/>
          <w:sz w:val="32"/>
          <w:szCs w:val="22"/>
          <w:u w:val="none"/>
        </w:rPr>
        <w:t>获得国家科技奖励、中国专利金奖、市（省、部）级科技奖励二等奖以上、市（省、部）专利金奖，并在成果完成人中排名前三位的人员。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. </w:t>
      </w:r>
      <w:r>
        <w:rPr>
          <w:rFonts w:hint="eastAsia" w:eastAsia="方正仿宋_GBK"/>
          <w:color w:val="auto"/>
          <w:sz w:val="32"/>
          <w:szCs w:val="22"/>
          <w:u w:val="none"/>
        </w:rPr>
        <w:t>获得正高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级</w:t>
      </w:r>
      <w:r>
        <w:rPr>
          <w:rFonts w:hint="eastAsia" w:eastAsia="方正仿宋_GBK"/>
          <w:color w:val="auto"/>
          <w:sz w:val="32"/>
          <w:szCs w:val="22"/>
          <w:u w:val="none"/>
        </w:rPr>
        <w:t>专业技术职称或博士学位；获得硕士学位或副高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级</w:t>
      </w:r>
      <w:r>
        <w:rPr>
          <w:rFonts w:hint="eastAsia" w:eastAsia="方正仿宋_GBK"/>
          <w:color w:val="auto"/>
          <w:sz w:val="32"/>
          <w:szCs w:val="22"/>
          <w:u w:val="none"/>
        </w:rPr>
        <w:t>专业技术职称3年以上。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. </w:t>
      </w:r>
      <w:r>
        <w:rPr>
          <w:rFonts w:hint="eastAsia" w:eastAsia="方正仿宋_GBK"/>
          <w:color w:val="auto"/>
          <w:sz w:val="32"/>
          <w:szCs w:val="22"/>
          <w:u w:val="none"/>
        </w:rPr>
        <w:t>近三年作为项目组主要成员（排名前3位）承担过市（省、部）级以上科研项目或取得研究成果、出版专著。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u w:val="none"/>
          <w:lang w:val="en-US" w:eastAsia="zh-CN"/>
        </w:rPr>
        <w:t>市级以上科技创新平台基地、</w:t>
      </w:r>
      <w:r>
        <w:rPr>
          <w:rFonts w:hint="eastAsia" w:eastAsia="方正仿宋_GBK" w:cs="Times New Roman"/>
          <w:color w:val="auto"/>
          <w:sz w:val="32"/>
          <w:szCs w:val="22"/>
          <w:u w:val="none"/>
          <w:lang w:val="en-US" w:eastAsia="zh-CN"/>
        </w:rPr>
        <w:t>创新创业团队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4"/>
          <w:sz w:val="32"/>
          <w:szCs w:val="32"/>
          <w:u w:val="none"/>
        </w:rPr>
        <w:t>的技术负责人或技术骨干。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. </w:t>
      </w:r>
      <w:r>
        <w:rPr>
          <w:rFonts w:hint="eastAsia" w:eastAsia="方正仿宋_GBK"/>
          <w:color w:val="auto"/>
          <w:sz w:val="32"/>
          <w:szCs w:val="22"/>
          <w:u w:val="none"/>
        </w:rPr>
        <w:t>紧缺实用型人才；研究成果突出的优秀中青年学者（有学士以上学位或中级专业技术职称）；区级以上行业学术学科带头人。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（二）经济、财务类专家。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主要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熟悉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科研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经费管理，有财务会计（审计）专业背景的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专家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，具备以下条件之一：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2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获得注册会计师、注册审计师、高级会计师（经济师、统计师、审计师）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u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任职资格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2"/>
          <w:u w:val="none"/>
          <w:lang w:eastAsia="zh-CN"/>
        </w:rPr>
        <w:t>之一</w:t>
      </w:r>
      <w:r>
        <w:rPr>
          <w:rFonts w:hint="eastAsia" w:eastAsia="方正仿宋_GBK" w:cs="Times New Roman"/>
          <w:color w:val="auto"/>
          <w:sz w:val="32"/>
          <w:szCs w:val="2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从事资本运营</w:t>
      </w:r>
      <w:r>
        <w:rPr>
          <w:rFonts w:hint="eastAsia" w:eastAsia="方正仿宋_GBK" w:cs="Times New Roman"/>
          <w:color w:val="auto"/>
          <w:sz w:val="32"/>
          <w:szCs w:val="2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金融服务等</w:t>
      </w:r>
      <w:r>
        <w:rPr>
          <w:rFonts w:hint="eastAsia" w:eastAsia="方正仿宋_GBK" w:cs="Times New Roman"/>
          <w:color w:val="auto"/>
          <w:sz w:val="32"/>
          <w:szCs w:val="22"/>
          <w:u w:val="none"/>
          <w:lang w:eastAsia="zh-CN"/>
        </w:rPr>
        <w:t>行业的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高级管理人员等。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（三）管理类专家。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主要是具有丰富科技管理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、政策研究或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决策咨询经验的高级管理人员，应具备以下条件之一：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1. </w:t>
      </w:r>
      <w:r>
        <w:rPr>
          <w:rFonts w:hint="eastAsia" w:eastAsia="方正仿宋_GBK"/>
          <w:sz w:val="32"/>
          <w:szCs w:val="22"/>
          <w:u w:val="none"/>
        </w:rPr>
        <w:t>熟悉现代企业管理的高层管理人员或高校管理专业教授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高校、科研机构、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市级以上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科技创新平台基地的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管理人员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val="en-US" w:eastAsia="zh-CN"/>
        </w:rPr>
        <w:t xml:space="preserve">3. </w:t>
      </w:r>
      <w:r>
        <w:rPr>
          <w:rFonts w:hint="eastAsia" w:eastAsia="方正仿宋_GBK"/>
          <w:sz w:val="32"/>
          <w:szCs w:val="22"/>
          <w:u w:val="none"/>
        </w:rPr>
        <w:t>创业服务机构的创业导师、管理人员。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第八条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u w:val="none"/>
          <w:lang w:eastAsia="zh-CN"/>
        </w:rPr>
        <w:t>专家入库方式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</w:pPr>
      <w:r>
        <w:rPr>
          <w:rFonts w:hint="eastAsia" w:eastAsia="方正仿宋_GBK" w:cs="Times New Roman"/>
          <w:color w:val="auto"/>
          <w:sz w:val="32"/>
          <w:szCs w:val="22"/>
          <w:u w:val="none"/>
          <w:lang w:eastAsia="zh-CN"/>
        </w:rPr>
        <w:t>专家入库实行常年受理，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遵循自愿原则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采取</w:t>
      </w:r>
      <w:r>
        <w:rPr>
          <w:rFonts w:hint="eastAsia" w:eastAsia="方正仿宋_GBK" w:cs="Times New Roman"/>
          <w:color w:val="auto"/>
          <w:sz w:val="32"/>
          <w:szCs w:val="22"/>
          <w:u w:val="none"/>
          <w:lang w:eastAsia="zh-CN"/>
        </w:rPr>
        <w:t>自主申报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  <w:lang w:eastAsia="zh-CN"/>
        </w:rPr>
        <w:t>、定向邀请和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异地专家库共建共享协议入库三种方式。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（一）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自主申报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申请人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经所在单位核实同意后，在重庆三峡科技创新服务平台—科技人才管理系统在线申报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  <w:t>，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区科技局审核后入库。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（二）定向邀请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科技局根据工作需要主动邀请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区内外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专家学者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  <w:lang w:eastAsia="zh-CN"/>
        </w:rPr>
        <w:t>加入专家库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22"/>
          <w:u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（三）异地专家库共建共享协议入库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22"/>
          <w:u w:val="none"/>
          <w:lang w:eastAsia="zh-CN"/>
        </w:rPr>
        <w:t>区科技局与区外科技专家库管理部门签订协议，实现异地专家库共建共享。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z w:val="32"/>
          <w:szCs w:val="2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  <w:u w:val="none"/>
          <w:lang w:eastAsia="zh-CN"/>
        </w:rPr>
        <w:t>第九条</w:t>
      </w:r>
      <w:r>
        <w:rPr>
          <w:rFonts w:hint="eastAsia" w:eastAsia="方正仿宋_GBK"/>
          <w:sz w:val="32"/>
          <w:szCs w:val="22"/>
          <w:u w:val="none"/>
          <w:lang w:val="en-US" w:eastAsia="zh-CN"/>
        </w:rPr>
        <w:t xml:space="preserve">  专家入库程序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（一）入库申请。</w:t>
      </w:r>
      <w:r>
        <w:rPr>
          <w:rFonts w:hint="eastAsia" w:eastAsia="方正仿宋_GBK"/>
          <w:sz w:val="32"/>
          <w:szCs w:val="22"/>
          <w:u w:val="none"/>
        </w:rPr>
        <w:t>专家自愿填写《重庆市万州区科技咨询专家登记表》，并附上相关证明材料</w:t>
      </w:r>
      <w:r>
        <w:rPr>
          <w:rFonts w:hint="eastAsia" w:eastAsia="方正仿宋_GBK" w:cs="Times New Roman"/>
          <w:color w:val="auto"/>
          <w:sz w:val="32"/>
          <w:szCs w:val="22"/>
          <w:u w:val="none"/>
          <w:lang w:eastAsia="zh-CN"/>
        </w:rPr>
        <w:t>，</w:t>
      </w:r>
      <w:r>
        <w:rPr>
          <w:rFonts w:hint="eastAsia" w:eastAsia="方正仿宋_GBK"/>
          <w:sz w:val="32"/>
          <w:szCs w:val="22"/>
        </w:rPr>
        <w:t>经所在单位核实同意后</w:t>
      </w:r>
      <w:r>
        <w:rPr>
          <w:rFonts w:hint="eastAsia" w:eastAsia="方正仿宋_GBK"/>
          <w:sz w:val="32"/>
          <w:szCs w:val="22"/>
          <w:u w:val="none"/>
        </w:rPr>
        <w:t>提交区</w:t>
      </w:r>
      <w:r>
        <w:rPr>
          <w:rFonts w:hint="eastAsia" w:eastAsia="方正仿宋_GBK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sz w:val="32"/>
          <w:szCs w:val="2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（二）资格核实。</w:t>
      </w:r>
      <w:r>
        <w:rPr>
          <w:rFonts w:hint="eastAsia" w:eastAsia="方正仿宋_GBK"/>
          <w:sz w:val="32"/>
          <w:szCs w:val="22"/>
          <w:u w:val="none"/>
        </w:rPr>
        <w:t>区</w:t>
      </w:r>
      <w:r>
        <w:rPr>
          <w:rFonts w:hint="eastAsia" w:eastAsia="方正仿宋_GBK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sz w:val="32"/>
          <w:szCs w:val="22"/>
          <w:u w:val="none"/>
        </w:rPr>
        <w:t>核实申请专家入库的相关资料，提出拟入库专家名单。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（三）公示。</w:t>
      </w:r>
      <w:r>
        <w:rPr>
          <w:rFonts w:hint="eastAsia" w:eastAsia="方正仿宋_GBK"/>
          <w:sz w:val="32"/>
          <w:szCs w:val="22"/>
          <w:u w:val="none"/>
        </w:rPr>
        <w:t>区</w:t>
      </w:r>
      <w:r>
        <w:rPr>
          <w:rFonts w:hint="eastAsia" w:eastAsia="方正仿宋_GBK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sz w:val="32"/>
          <w:szCs w:val="22"/>
          <w:u w:val="none"/>
        </w:rPr>
        <w:t>将拟入库专家名单予以公示，公示期为7</w:t>
      </w:r>
      <w:r>
        <w:rPr>
          <w:rFonts w:hint="eastAsia" w:eastAsia="方正仿宋_GBK"/>
          <w:sz w:val="32"/>
          <w:szCs w:val="22"/>
          <w:u w:val="none"/>
          <w:lang w:val="en-US" w:eastAsia="zh-CN"/>
        </w:rPr>
        <w:t>个工作日</w:t>
      </w:r>
      <w:r>
        <w:rPr>
          <w:rFonts w:hint="eastAsia" w:eastAsia="方正仿宋_GBK"/>
          <w:sz w:val="32"/>
          <w:szCs w:val="2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（四）对公示的专家名单有异议的，可在公示期内以书面形式向区科技局实名提出。逾期或匿名异议不予受理。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（五）区科技局对异议进行核实，做出处理决定；异议处理决定在异议受理之日起15个工作日内做出，并书面告知异议申请人和专家本人。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（六）批准入库。</w:t>
      </w:r>
      <w:r>
        <w:rPr>
          <w:rFonts w:hint="eastAsia" w:eastAsia="方正仿宋_GBK"/>
          <w:sz w:val="32"/>
          <w:szCs w:val="22"/>
          <w:u w:val="none"/>
        </w:rPr>
        <w:t>经公示无异议，或异议核实通过的专家，批准入库并公告。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eastAsia="方正仿宋_GBK"/>
          <w:sz w:val="32"/>
          <w:szCs w:val="22"/>
          <w:u w:val="none"/>
        </w:rPr>
        <w:t>异地专</w:t>
      </w:r>
      <w:r>
        <w:rPr>
          <w:rFonts w:hint="eastAsia" w:eastAsia="方正仿宋_GBK"/>
          <w:sz w:val="32"/>
          <w:szCs w:val="22"/>
          <w:u w:val="none"/>
          <w:lang w:eastAsia="zh-CN"/>
        </w:rPr>
        <w:t>家</w:t>
      </w:r>
      <w:r>
        <w:rPr>
          <w:rFonts w:hint="eastAsia" w:eastAsia="方正仿宋_GBK"/>
          <w:sz w:val="32"/>
          <w:szCs w:val="22"/>
          <w:u w:val="none"/>
        </w:rPr>
        <w:t>按双方专家库管理部门所签订的专家库共建共享协议的规定入库。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有以下情形之一的专家应予出库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val="en-US"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（一）因个人原因需要退出专家库的</w:t>
      </w:r>
      <w:r>
        <w:rPr>
          <w:rFonts w:hint="eastAsia" w:eastAsia="方正仿宋_GBK"/>
          <w:color w:val="auto"/>
          <w:sz w:val="32"/>
          <w:szCs w:val="2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（二）在参加专家服务活动过程中，存在徇私舞弊、索取相关单位或个人的馈赠、宴请或</w:t>
      </w:r>
      <w:r>
        <w:rPr>
          <w:rFonts w:hint="eastAsia" w:eastAsia="方正仿宋_GBK"/>
          <w:color w:val="auto"/>
          <w:sz w:val="32"/>
          <w:szCs w:val="22"/>
          <w:u w:val="none"/>
          <w:lang w:val="en-US" w:eastAsia="zh-CN"/>
        </w:rPr>
        <w:t>牟取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不正当利益的。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（三）接受服务活动邀请后无故缺席2次以上的。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（四）不能客观公正履行职责的。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（五）触犯法律、法规而被追究法律责任的。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（六）未经同意，泄</w:t>
      </w:r>
      <w:r>
        <w:rPr>
          <w:rFonts w:hint="eastAsia" w:eastAsia="方正仿宋_GBK"/>
          <w:color w:val="auto"/>
          <w:sz w:val="32"/>
          <w:szCs w:val="22"/>
          <w:u w:val="none"/>
          <w:lang w:val="en-US" w:eastAsia="zh-CN"/>
        </w:rPr>
        <w:t>露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服务的内容、过程和结果等重要信息的。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（七）其他情形不适宜担任专家的。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一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sz w:val="32"/>
          <w:szCs w:val="22"/>
          <w:u w:val="none"/>
        </w:rPr>
        <w:t>专家出库程序：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（一）核实。</w:t>
      </w:r>
      <w:r>
        <w:rPr>
          <w:rFonts w:hint="eastAsia" w:eastAsia="方正仿宋_GBK"/>
          <w:sz w:val="32"/>
          <w:szCs w:val="22"/>
          <w:u w:val="none"/>
        </w:rPr>
        <w:t>由区</w:t>
      </w:r>
      <w:r>
        <w:rPr>
          <w:rFonts w:hint="eastAsia" w:eastAsia="方正仿宋_GBK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sz w:val="32"/>
          <w:szCs w:val="22"/>
          <w:u w:val="none"/>
        </w:rPr>
        <w:t>核实相关情况。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（二）公示。</w:t>
      </w:r>
      <w:r>
        <w:rPr>
          <w:rFonts w:hint="eastAsia" w:eastAsia="方正仿宋_GBK"/>
          <w:sz w:val="32"/>
          <w:szCs w:val="22"/>
          <w:u w:val="none"/>
        </w:rPr>
        <w:t>由区</w:t>
      </w:r>
      <w:r>
        <w:rPr>
          <w:rFonts w:hint="eastAsia" w:eastAsia="方正仿宋_GBK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sz w:val="32"/>
          <w:szCs w:val="22"/>
          <w:u w:val="none"/>
        </w:rPr>
        <w:t>就核实的拟出库专家名单予以公示，公示期</w:t>
      </w:r>
      <w:r>
        <w:rPr>
          <w:rFonts w:hint="eastAsia" w:eastAsia="方正仿宋_GBK"/>
          <w:sz w:val="32"/>
          <w:szCs w:val="22"/>
          <w:u w:val="none"/>
          <w:lang w:eastAsia="zh-CN"/>
        </w:rPr>
        <w:t>为</w:t>
      </w:r>
      <w:r>
        <w:rPr>
          <w:rFonts w:hint="eastAsia" w:eastAsia="方正仿宋_GBK"/>
          <w:sz w:val="32"/>
          <w:szCs w:val="22"/>
          <w:u w:val="none"/>
        </w:rPr>
        <w:t>5</w:t>
      </w:r>
      <w:r>
        <w:rPr>
          <w:rFonts w:hint="eastAsia" w:eastAsia="方正仿宋_GBK"/>
          <w:sz w:val="32"/>
          <w:szCs w:val="22"/>
          <w:u w:val="none"/>
          <w:lang w:val="en-US" w:eastAsia="zh-CN"/>
        </w:rPr>
        <w:t>个工作日</w:t>
      </w:r>
      <w:r>
        <w:rPr>
          <w:rFonts w:hint="eastAsia" w:eastAsia="方正仿宋_GBK"/>
          <w:sz w:val="32"/>
          <w:szCs w:val="2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（三）异议处理。</w:t>
      </w:r>
      <w:r>
        <w:rPr>
          <w:rFonts w:hint="eastAsia" w:eastAsia="方正仿宋_GBK"/>
          <w:sz w:val="32"/>
          <w:szCs w:val="22"/>
          <w:u w:val="none"/>
        </w:rPr>
        <w:t>参照入库异议处理程序执行。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（四）批准出库。</w:t>
      </w:r>
      <w:r>
        <w:rPr>
          <w:rFonts w:hint="eastAsia" w:eastAsia="方正仿宋_GBK"/>
          <w:sz w:val="32"/>
          <w:szCs w:val="22"/>
          <w:u w:val="none"/>
        </w:rPr>
        <w:t>由</w:t>
      </w:r>
      <w:r>
        <w:rPr>
          <w:rFonts w:hint="eastAsia" w:eastAsia="方正仿宋_GBK"/>
          <w:sz w:val="32"/>
          <w:szCs w:val="22"/>
          <w:u w:val="none"/>
          <w:lang w:eastAsia="zh-CN"/>
        </w:rPr>
        <w:t>区科技局局长</w:t>
      </w:r>
      <w:r>
        <w:rPr>
          <w:rFonts w:hint="eastAsia" w:eastAsia="方正仿宋_GBK"/>
          <w:sz w:val="32"/>
          <w:szCs w:val="22"/>
          <w:u w:val="none"/>
        </w:rPr>
        <w:t>办公会批准并公告，同步更新专家库信息。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黑体_GBK" w:eastAsia="方正黑体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第三章  使用管理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二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重庆市万州区属各部门、各镇乡（街道）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、开发区</w:t>
      </w:r>
      <w:r>
        <w:rPr>
          <w:rFonts w:hint="eastAsia" w:eastAsia="方正仿宋_GBK"/>
          <w:color w:val="auto"/>
          <w:sz w:val="32"/>
          <w:szCs w:val="22"/>
          <w:u w:val="none"/>
        </w:rPr>
        <w:t>和科技服务中介机构可申请使用专家库。使用异地专家，依据专家库共建共享协议执行。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三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专家库使用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方式。</w:t>
      </w:r>
      <w:r>
        <w:rPr>
          <w:rFonts w:hint="eastAsia" w:eastAsia="方正仿宋_GBK"/>
          <w:sz w:val="32"/>
          <w:szCs w:val="22"/>
          <w:lang w:eastAsia="zh-CN"/>
        </w:rPr>
        <w:t>采取</w:t>
      </w:r>
      <w:r>
        <w:rPr>
          <w:rFonts w:hint="eastAsia" w:eastAsia="方正仿宋_GBK"/>
          <w:color w:val="auto"/>
          <w:sz w:val="32"/>
          <w:szCs w:val="22"/>
          <w:u w:val="none"/>
        </w:rPr>
        <w:t>随机抽取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方式</w:t>
      </w:r>
      <w:r>
        <w:rPr>
          <w:rFonts w:hint="eastAsia" w:eastAsia="方正仿宋_GBK"/>
          <w:sz w:val="32"/>
          <w:szCs w:val="22"/>
          <w:lang w:eastAsia="zh-CN"/>
        </w:rPr>
        <w:t>，</w:t>
      </w:r>
      <w:r>
        <w:rPr>
          <w:rFonts w:hint="eastAsia" w:eastAsia="方正仿宋_GBK"/>
          <w:sz w:val="32"/>
          <w:szCs w:val="22"/>
          <w:u w:val="none"/>
          <w:lang w:eastAsia="zh-CN"/>
        </w:rPr>
        <w:t>即</w:t>
      </w:r>
      <w:r>
        <w:rPr>
          <w:rFonts w:hint="eastAsia" w:eastAsia="方正仿宋_GBK"/>
          <w:sz w:val="32"/>
          <w:szCs w:val="22"/>
          <w:u w:val="none"/>
        </w:rPr>
        <w:t>由使用单位根据需要设置抽取专家条件、数量等，从专家库中随机抽取专家，专家抽取一次开展一次服务活动。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方正黑体_GBK" w:eastAsia="方正黑体_GBK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sz w:val="32"/>
          <w:szCs w:val="22"/>
          <w:u w:val="none"/>
          <w:lang w:eastAsia="zh-CN"/>
        </w:rPr>
        <w:t>四</w:t>
      </w:r>
      <w:r>
        <w:rPr>
          <w:rFonts w:hint="eastAsia" w:ascii="方正黑体_GBK" w:eastAsia="方正黑体_GBK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sz w:val="32"/>
          <w:szCs w:val="22"/>
          <w:u w:val="none"/>
        </w:rPr>
        <w:t>专家抽取程序。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6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（一）设定条件。</w:t>
      </w:r>
      <w:r>
        <w:rPr>
          <w:rFonts w:hint="eastAsia" w:eastAsia="方正仿宋_GBK"/>
          <w:sz w:val="32"/>
          <w:szCs w:val="22"/>
          <w:u w:val="none"/>
        </w:rPr>
        <w:t>使用单位提出使用专家事由，提出抽取专家的要求，由使用单位专门负责人审批。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6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（二）抽取专家。</w:t>
      </w:r>
      <w:r>
        <w:rPr>
          <w:rFonts w:hint="eastAsia" w:eastAsia="方正仿宋_GBK"/>
          <w:sz w:val="32"/>
          <w:szCs w:val="22"/>
          <w:u w:val="none"/>
        </w:rPr>
        <w:t>使用单位设定专家抽取条件后，由专家库管理系统按1:1的比例随机抽取专家，形成候选专家名单。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sz w:val="32"/>
          <w:szCs w:val="22"/>
          <w:u w:val="none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22"/>
          <w:u w:val="none"/>
          <w:lang w:eastAsia="zh-CN"/>
        </w:rPr>
        <w:t>（三）确定专家。</w:t>
      </w:r>
      <w:r>
        <w:rPr>
          <w:rFonts w:hint="eastAsia" w:eastAsia="方正仿宋_GBK"/>
          <w:sz w:val="32"/>
          <w:szCs w:val="22"/>
          <w:u w:val="none"/>
        </w:rPr>
        <w:t>使用单位负责与候选专家联系，最终确定抽取专家名单；若确定参加服务活动的专家人数未达到要求人数时，不足部分再按1:1的比例补充抽取。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五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评价。使用单位应当在专家参加服务活动结束后五个工作日内，按照重庆市万州区专家库管理要求，从工作态度、专业水平、知识面、表达能力等方面对每位专家参加本次服务活动工作情况进行公正、客观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六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专家库实行动态管理。使用单位在使用过程中知悉专家信息有变化的，应及时向区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color w:val="auto"/>
          <w:sz w:val="32"/>
          <w:szCs w:val="22"/>
          <w:u w:val="none"/>
        </w:rPr>
        <w:t>反映。区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color w:val="auto"/>
          <w:sz w:val="32"/>
          <w:szCs w:val="22"/>
          <w:u w:val="none"/>
        </w:rPr>
        <w:t>对专家库信息进行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动态</w:t>
      </w:r>
      <w:r>
        <w:rPr>
          <w:rFonts w:hint="eastAsia" w:eastAsia="方正仿宋_GBK"/>
          <w:color w:val="auto"/>
          <w:sz w:val="32"/>
          <w:szCs w:val="22"/>
          <w:u w:val="none"/>
        </w:rPr>
        <w:t>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黑体_GBK" w:eastAsia="方正黑体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第四章  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七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专家参与服务活动应履行以下义务：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（一）按照客观、公正、独立的原则，参与服务等活动，提出专业意见，不得委托他人代替服务。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（二）严格遵守工作纪律及保密规定，严禁泄露在服务过程中知悉的技术秘密、商业秘密和个人隐私。严禁泄露项目服务的内容、过程及结果等重要信息，不得侵犯被服务项目的知识产权。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（三）参与服务的活动与本人或所在单位有利害关系，影响公正履行职责的，应当回避。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（四）不得接受或索取被服务项目有关单位、个人的馈赠、宴请或谋取其他不正当利益。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（五）个人信息发生变动时，应当及时报请区科技局更新信息。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（六）参加区科技局及管理机构组织的相关培训。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八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专家参与服务活动的权利：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（一）以个人身份独立提出意见和建议，不受任何单位或个人干预。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（二）按照有关规定获取相应劳动报酬。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（三）有权拒绝参加自己不熟悉的专业技术领域的服务活动。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（四）可自愿退出专家库。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九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专家参加服务活动时，存在以下情况之一的，应当回避：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（一）作为项目负责人或项目成员参加服务项目的。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（二）三年内曾在服务项目</w:t>
      </w:r>
      <w:bookmarkStart w:id="0" w:name="_GoBack"/>
      <w:bookmarkEnd w:id="0"/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承担单位任职或担任顾问的。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（三）配偶或直系亲属在服务项目的承担单位中任职或担任顾问的。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（四）与服务项目的承担单位发生法律纠纷的。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（五）其他可能影响公正服务的。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黑体_GBK" w:eastAsia="方正黑体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第五章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二十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使用单位应加强对使用专家库的管理，严禁私自复制、下载、泄露、转让或出售专家库中的信息和资料。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二十一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使用单位存在以下行为之一的，经区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科技局</w:t>
      </w:r>
      <w:r>
        <w:rPr>
          <w:rFonts w:hint="eastAsia" w:eastAsia="方正仿宋_GBK"/>
          <w:color w:val="auto"/>
          <w:sz w:val="32"/>
          <w:szCs w:val="22"/>
          <w:u w:val="none"/>
        </w:rPr>
        <w:t>核实，暂停其使用专家库，整改后方可重新开放：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（一）将专家信息泄露给其他未经授权单位或个人的。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（二）在对专家抽取、确认及评价等过程中未如实填写相关信息的。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（三）未及时对专家进行评价且逾期2个月的。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（四）对专家进行恶意评价的。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第二十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二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相关行政机关工作人员违反本办法的，按照公务员行为规范有关规定处理。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eastAsia="方正仿宋_GBK"/>
          <w:color w:val="auto"/>
          <w:sz w:val="32"/>
          <w:szCs w:val="22"/>
          <w:u w:val="none"/>
        </w:rPr>
        <w:t>因专家个人的违法、违规等行为对有关单位造成损失的，应当由专家承担相应的责任。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黑体_GBK" w:eastAsia="方正黑体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第六章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第二十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三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本办法由重庆市万州区</w:t>
      </w:r>
      <w:r>
        <w:rPr>
          <w:rFonts w:hint="eastAsia" w:eastAsia="方正仿宋_GBK"/>
          <w:color w:val="auto"/>
          <w:sz w:val="32"/>
          <w:szCs w:val="22"/>
          <w:u w:val="none"/>
          <w:lang w:val="en-US" w:eastAsia="zh-CN"/>
        </w:rPr>
        <w:t>科学技术局</w:t>
      </w:r>
      <w:r>
        <w:rPr>
          <w:rFonts w:hint="eastAsia" w:eastAsia="方正仿宋_GBK"/>
          <w:color w:val="auto"/>
          <w:sz w:val="32"/>
          <w:szCs w:val="22"/>
          <w:u w:val="none"/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22"/>
          <w:u w:val="none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>第二十</w:t>
      </w:r>
      <w:r>
        <w:rPr>
          <w:rFonts w:hint="eastAsia" w:ascii="方正黑体_GBK" w:eastAsia="方正黑体_GBK"/>
          <w:color w:val="auto"/>
          <w:sz w:val="32"/>
          <w:szCs w:val="22"/>
          <w:u w:val="none"/>
          <w:lang w:eastAsia="zh-CN"/>
        </w:rPr>
        <w:t>四</w:t>
      </w:r>
      <w:r>
        <w:rPr>
          <w:rFonts w:hint="eastAsia" w:ascii="方正黑体_GBK" w:eastAsia="方正黑体_GBK"/>
          <w:color w:val="auto"/>
          <w:sz w:val="32"/>
          <w:szCs w:val="22"/>
          <w:u w:val="none"/>
        </w:rPr>
        <w:t xml:space="preserve">条  </w:t>
      </w:r>
      <w:r>
        <w:rPr>
          <w:rFonts w:hint="eastAsia" w:eastAsia="方正仿宋_GBK"/>
          <w:color w:val="auto"/>
          <w:sz w:val="32"/>
          <w:szCs w:val="22"/>
          <w:u w:val="none"/>
        </w:rPr>
        <w:t>本办法自发布之日起施行。《重庆市万州区科技咨询专家库管理暂行办法》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22"/>
          <w:u w:val="none"/>
        </w:rPr>
        <w:t>万州科委发〔2018〕19号）</w:t>
      </w:r>
      <w:r>
        <w:rPr>
          <w:rFonts w:hint="eastAsia" w:eastAsia="方正仿宋_GBK"/>
          <w:color w:val="auto"/>
          <w:sz w:val="32"/>
          <w:szCs w:val="22"/>
          <w:u w:val="none"/>
          <w:lang w:eastAsia="zh-CN"/>
        </w:rPr>
        <w:t>同时废止。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703EB2-47D8-4367-A852-EC76BA4A17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547022-0293-48CF-AE86-82E4C2E9399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BD6B49-1070-46E5-8F20-AAEA6301BBF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B1606BE-2277-4261-90CD-0820812D5A5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9FC10E7-E31E-4F9E-B2D5-E6FC69E0BC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CDC9E67-8561-4594-9013-2FB4563044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beforeAutospacing="0" w:afterAutospacing="0"/>
      <w:ind w:left="4788" w:leftChars="2280" w:firstLine="3600" w:firstLineChars="2000"/>
      <w:jc w:val="both"/>
      <w:rPr>
        <w:rFonts w:ascii="Times New Roman" w:hAnsi="Times New Roman" w:eastAsia="仿宋" w:cs="Times New Roman"/>
        <w:kern w:val="0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245745</wp:posOffset>
              </wp:positionV>
              <wp:extent cx="5616575" cy="1905"/>
              <wp:effectExtent l="0" t="10795" r="3175" b="1587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3pt;margin-top:19.35pt;height:0.15pt;width:442.25pt;z-index:251660288;mso-width-relative:page;mso-height-relative:page;" filled="f" stroked="t" coordsize="21600,21600" o:gfxdata="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qCco1AAA&#10;AAcBAAAPAAAAAAAAAAEAIAAAACIAAABkcnMvZG93bnJldi54bWxQSwECFAAUAAAACACHTuJAil7t&#10;h+kBAACyAwAADgAAAAAAAAABACAAAAAjAQAAZHJzL2Uyb0RvYy54bWxQSwUGAAAAAAYABgBZAQAA&#10;fgUAAAAA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200" cy="22098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4pt;width:36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m++AW0gAAAAMBAAAPAAAAAAAAAAEAIAAAACIAAABkcnMvZG93bnJldi54bWxQSwECFAAUAAAA&#10;CACHTuJAWdjkNrsBAABSAwAADgAAAAAAAAABACAAAAAhAQAAZHJzL2Uyb0RvYy54bWxQSwUGAAAA&#10;AAYABgBZAQAAT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hint="eastAsia" w:ascii="宋体" w:hAnsi="宋体" w:eastAsia="宋体" w:cs="宋体"/>
        <w:b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  <w:lang w:val="en-US" w:eastAsia="zh-CN" w:bidi="ar-SA"/>
      </w:rPr>
      <w:t>重庆市万州区科学技术局发布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</w:pPr>
    <w:r>
      <w:rPr>
        <w:rFonts w:hint="eastAsia" w:ascii="方正仿宋_GBK" w:hAnsi="方正仿宋_GBK" w:eastAsia="方正仿宋_GBK" w:cs="方正仿宋_GBK"/>
        <w:b/>
        <w:bCs/>
        <w:color w:val="000000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R5KzUAAAACAEAAA8AAAAAAAAA&#10;AQAgAAAAIgAAAGRycy9kb3ducmV2LnhtbFBLAQIUABQAAAAIAIdO4kDUzkhV3AEAAH0DAAAOAAAA&#10;AAAAAAEAIAAAACMBAABkcnMvZTJvRG9jLnhtbFBLBQYAAAAABgAGAFkBAABx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重庆市万州区科学技术局</w:t>
    </w:r>
    <w:r>
      <w:rPr>
        <w:rFonts w:hint="eastAsia" w:ascii="宋体" w:hAnsi="宋体" w:cs="宋体"/>
        <w:b/>
        <w:bCs/>
        <w:color w:val="005192"/>
        <w:kern w:val="2"/>
        <w:sz w:val="32"/>
        <w:szCs w:val="24"/>
        <w:lang w:val="en-US" w:eastAsia="zh-CN" w:bidi="ar-SA"/>
      </w:rPr>
      <w:t>行政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Hans" w:bidi="ar-SA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GIxMzI0Mjg3MGExZTAwMDMzNTFhNzdhNTJlYWIifQ=="/>
  </w:docVars>
  <w:rsids>
    <w:rsidRoot w:val="04B7716D"/>
    <w:rsid w:val="002B247F"/>
    <w:rsid w:val="00473031"/>
    <w:rsid w:val="004946ED"/>
    <w:rsid w:val="00665BAD"/>
    <w:rsid w:val="0067722F"/>
    <w:rsid w:val="00ED5E64"/>
    <w:rsid w:val="01255E02"/>
    <w:rsid w:val="012D2227"/>
    <w:rsid w:val="0159301C"/>
    <w:rsid w:val="018A786A"/>
    <w:rsid w:val="01C809D9"/>
    <w:rsid w:val="021A5425"/>
    <w:rsid w:val="027C0A68"/>
    <w:rsid w:val="028C73C0"/>
    <w:rsid w:val="02FD7E57"/>
    <w:rsid w:val="038139C4"/>
    <w:rsid w:val="03E237EB"/>
    <w:rsid w:val="04221299"/>
    <w:rsid w:val="045720DD"/>
    <w:rsid w:val="04B7716D"/>
    <w:rsid w:val="05070240"/>
    <w:rsid w:val="05230FF2"/>
    <w:rsid w:val="06200090"/>
    <w:rsid w:val="071D4539"/>
    <w:rsid w:val="07296274"/>
    <w:rsid w:val="074A11C8"/>
    <w:rsid w:val="07800309"/>
    <w:rsid w:val="07A5520D"/>
    <w:rsid w:val="08601B25"/>
    <w:rsid w:val="08B9657B"/>
    <w:rsid w:val="091C3EA6"/>
    <w:rsid w:val="095B3DCD"/>
    <w:rsid w:val="095C32AA"/>
    <w:rsid w:val="098D247A"/>
    <w:rsid w:val="09C70217"/>
    <w:rsid w:val="0A4725AB"/>
    <w:rsid w:val="0AC37AD4"/>
    <w:rsid w:val="0AC92A9D"/>
    <w:rsid w:val="0AE71648"/>
    <w:rsid w:val="0AF743A5"/>
    <w:rsid w:val="0B2B6A23"/>
    <w:rsid w:val="0B6566DB"/>
    <w:rsid w:val="0BA50D18"/>
    <w:rsid w:val="0BB4318C"/>
    <w:rsid w:val="0BCC665B"/>
    <w:rsid w:val="0BDD7C67"/>
    <w:rsid w:val="0BDE79BF"/>
    <w:rsid w:val="0C4B49F9"/>
    <w:rsid w:val="0C742E48"/>
    <w:rsid w:val="0CB5315F"/>
    <w:rsid w:val="0DF946BA"/>
    <w:rsid w:val="0E0C3BBB"/>
    <w:rsid w:val="0E3E3571"/>
    <w:rsid w:val="0E572004"/>
    <w:rsid w:val="0E843E51"/>
    <w:rsid w:val="0EEE56EB"/>
    <w:rsid w:val="0F1F6E9B"/>
    <w:rsid w:val="0F3B6F66"/>
    <w:rsid w:val="0F4A4485"/>
    <w:rsid w:val="0F4E4230"/>
    <w:rsid w:val="0F6954E2"/>
    <w:rsid w:val="0F772ACF"/>
    <w:rsid w:val="10432566"/>
    <w:rsid w:val="105A46BB"/>
    <w:rsid w:val="107514F4"/>
    <w:rsid w:val="10872494"/>
    <w:rsid w:val="112C2CC7"/>
    <w:rsid w:val="11927BC8"/>
    <w:rsid w:val="11A9555E"/>
    <w:rsid w:val="11AF41D5"/>
    <w:rsid w:val="1234496C"/>
    <w:rsid w:val="130769A5"/>
    <w:rsid w:val="131119A8"/>
    <w:rsid w:val="13407773"/>
    <w:rsid w:val="1349263C"/>
    <w:rsid w:val="13692093"/>
    <w:rsid w:val="13812DB8"/>
    <w:rsid w:val="14035E1E"/>
    <w:rsid w:val="1424570B"/>
    <w:rsid w:val="1488560F"/>
    <w:rsid w:val="14BF5434"/>
    <w:rsid w:val="14CD7B51"/>
    <w:rsid w:val="15323E58"/>
    <w:rsid w:val="15382189"/>
    <w:rsid w:val="157F3000"/>
    <w:rsid w:val="158A5A42"/>
    <w:rsid w:val="158C66E7"/>
    <w:rsid w:val="15DA769A"/>
    <w:rsid w:val="160E7FE2"/>
    <w:rsid w:val="171A1946"/>
    <w:rsid w:val="17792C77"/>
    <w:rsid w:val="17D336D0"/>
    <w:rsid w:val="185E2916"/>
    <w:rsid w:val="18816F98"/>
    <w:rsid w:val="18826EA4"/>
    <w:rsid w:val="18964F93"/>
    <w:rsid w:val="189D7BD5"/>
    <w:rsid w:val="18A47F7E"/>
    <w:rsid w:val="18D80F53"/>
    <w:rsid w:val="18F3644F"/>
    <w:rsid w:val="191247D4"/>
    <w:rsid w:val="193B0C69"/>
    <w:rsid w:val="19A30E80"/>
    <w:rsid w:val="19A41384"/>
    <w:rsid w:val="19D96C3F"/>
    <w:rsid w:val="19E80F89"/>
    <w:rsid w:val="19EA040A"/>
    <w:rsid w:val="1ABA46D4"/>
    <w:rsid w:val="1BF702F2"/>
    <w:rsid w:val="1CA46769"/>
    <w:rsid w:val="1D552DD9"/>
    <w:rsid w:val="1D6A70D5"/>
    <w:rsid w:val="1D7C2114"/>
    <w:rsid w:val="1D835251"/>
    <w:rsid w:val="1DEA3522"/>
    <w:rsid w:val="1E900087"/>
    <w:rsid w:val="1EA561A7"/>
    <w:rsid w:val="1EE75CB3"/>
    <w:rsid w:val="1F1A1BE5"/>
    <w:rsid w:val="1F302E49"/>
    <w:rsid w:val="1F9A4AD4"/>
    <w:rsid w:val="1F9D06F7"/>
    <w:rsid w:val="1FB46918"/>
    <w:rsid w:val="20040F03"/>
    <w:rsid w:val="200460C8"/>
    <w:rsid w:val="2007440C"/>
    <w:rsid w:val="20176124"/>
    <w:rsid w:val="203B5652"/>
    <w:rsid w:val="20455207"/>
    <w:rsid w:val="208122DA"/>
    <w:rsid w:val="20E43C53"/>
    <w:rsid w:val="21103DF2"/>
    <w:rsid w:val="21342E5F"/>
    <w:rsid w:val="21F77FBB"/>
    <w:rsid w:val="221019CA"/>
    <w:rsid w:val="223B3B64"/>
    <w:rsid w:val="227E248B"/>
    <w:rsid w:val="237650AC"/>
    <w:rsid w:val="238971A8"/>
    <w:rsid w:val="23A423C5"/>
    <w:rsid w:val="23B761AC"/>
    <w:rsid w:val="23C10881"/>
    <w:rsid w:val="23C33D0B"/>
    <w:rsid w:val="246F2B72"/>
    <w:rsid w:val="253F29D5"/>
    <w:rsid w:val="256E7B98"/>
    <w:rsid w:val="259A7028"/>
    <w:rsid w:val="25A63839"/>
    <w:rsid w:val="260B0BFC"/>
    <w:rsid w:val="262A63D2"/>
    <w:rsid w:val="264439EB"/>
    <w:rsid w:val="26605AC7"/>
    <w:rsid w:val="269A7A53"/>
    <w:rsid w:val="26E11784"/>
    <w:rsid w:val="26FD3682"/>
    <w:rsid w:val="27027A9F"/>
    <w:rsid w:val="27175237"/>
    <w:rsid w:val="272913F0"/>
    <w:rsid w:val="27424E56"/>
    <w:rsid w:val="27754B9C"/>
    <w:rsid w:val="277A32BD"/>
    <w:rsid w:val="278C483C"/>
    <w:rsid w:val="27B22F7F"/>
    <w:rsid w:val="27B84ED8"/>
    <w:rsid w:val="2808488A"/>
    <w:rsid w:val="283F5560"/>
    <w:rsid w:val="28D30C27"/>
    <w:rsid w:val="29A458B7"/>
    <w:rsid w:val="29E71EE8"/>
    <w:rsid w:val="2A0023A4"/>
    <w:rsid w:val="2A756869"/>
    <w:rsid w:val="2A92326E"/>
    <w:rsid w:val="2A9A7AFE"/>
    <w:rsid w:val="2B442F70"/>
    <w:rsid w:val="2BA844F5"/>
    <w:rsid w:val="2C13377D"/>
    <w:rsid w:val="2CF15D6B"/>
    <w:rsid w:val="2CF9368E"/>
    <w:rsid w:val="2D02778F"/>
    <w:rsid w:val="2D21794C"/>
    <w:rsid w:val="2D282F3D"/>
    <w:rsid w:val="2D3930FE"/>
    <w:rsid w:val="2D8160EC"/>
    <w:rsid w:val="2DB07B7B"/>
    <w:rsid w:val="2DCB00AC"/>
    <w:rsid w:val="2E0A358C"/>
    <w:rsid w:val="2E137E88"/>
    <w:rsid w:val="2EF064BE"/>
    <w:rsid w:val="2F095CC0"/>
    <w:rsid w:val="2F6F7D2B"/>
    <w:rsid w:val="2F7F2215"/>
    <w:rsid w:val="2FAC5B94"/>
    <w:rsid w:val="2FF7387C"/>
    <w:rsid w:val="304F0629"/>
    <w:rsid w:val="308E245B"/>
    <w:rsid w:val="30976095"/>
    <w:rsid w:val="30A27C8C"/>
    <w:rsid w:val="315B0DFF"/>
    <w:rsid w:val="316F54CE"/>
    <w:rsid w:val="31754519"/>
    <w:rsid w:val="31921AAF"/>
    <w:rsid w:val="31B71515"/>
    <w:rsid w:val="31C54DA0"/>
    <w:rsid w:val="31F120C7"/>
    <w:rsid w:val="32110C25"/>
    <w:rsid w:val="324D3B5D"/>
    <w:rsid w:val="325154C6"/>
    <w:rsid w:val="32696CB3"/>
    <w:rsid w:val="326C1F45"/>
    <w:rsid w:val="32A44E0E"/>
    <w:rsid w:val="32C253D7"/>
    <w:rsid w:val="32C9436E"/>
    <w:rsid w:val="331006FF"/>
    <w:rsid w:val="33957A02"/>
    <w:rsid w:val="33DA14EB"/>
    <w:rsid w:val="3435004D"/>
    <w:rsid w:val="344D0934"/>
    <w:rsid w:val="346B7454"/>
    <w:rsid w:val="34A84CFE"/>
    <w:rsid w:val="34CA155F"/>
    <w:rsid w:val="34F85035"/>
    <w:rsid w:val="353A36AA"/>
    <w:rsid w:val="359A53D6"/>
    <w:rsid w:val="35CE05E0"/>
    <w:rsid w:val="35F90279"/>
    <w:rsid w:val="36485109"/>
    <w:rsid w:val="36657792"/>
    <w:rsid w:val="36920CBF"/>
    <w:rsid w:val="36D17D57"/>
    <w:rsid w:val="3721591F"/>
    <w:rsid w:val="372C45FE"/>
    <w:rsid w:val="375A6BCB"/>
    <w:rsid w:val="37875D5D"/>
    <w:rsid w:val="37D83F93"/>
    <w:rsid w:val="388A0117"/>
    <w:rsid w:val="38BD0287"/>
    <w:rsid w:val="39396CB4"/>
    <w:rsid w:val="394722BE"/>
    <w:rsid w:val="394A21F0"/>
    <w:rsid w:val="39A10A87"/>
    <w:rsid w:val="39A65E2F"/>
    <w:rsid w:val="39E015DB"/>
    <w:rsid w:val="3ABD5DEE"/>
    <w:rsid w:val="3ACC1BD5"/>
    <w:rsid w:val="3AD22BEB"/>
    <w:rsid w:val="3AD80542"/>
    <w:rsid w:val="3B056AA7"/>
    <w:rsid w:val="3B117EE8"/>
    <w:rsid w:val="3B1307E1"/>
    <w:rsid w:val="3B36108A"/>
    <w:rsid w:val="3C1732DC"/>
    <w:rsid w:val="3C8F6BBD"/>
    <w:rsid w:val="3C9506EC"/>
    <w:rsid w:val="3CAE7E3D"/>
    <w:rsid w:val="3CBB45AF"/>
    <w:rsid w:val="3CC950FD"/>
    <w:rsid w:val="3CDA026D"/>
    <w:rsid w:val="3E223437"/>
    <w:rsid w:val="3E672CBA"/>
    <w:rsid w:val="3EFB5137"/>
    <w:rsid w:val="3F0467C6"/>
    <w:rsid w:val="3FDD0ADD"/>
    <w:rsid w:val="40043424"/>
    <w:rsid w:val="401F6C03"/>
    <w:rsid w:val="40992874"/>
    <w:rsid w:val="40BA72F9"/>
    <w:rsid w:val="40D77FB6"/>
    <w:rsid w:val="41C71300"/>
    <w:rsid w:val="41E97240"/>
    <w:rsid w:val="428B4A24"/>
    <w:rsid w:val="42EE24D9"/>
    <w:rsid w:val="436624E6"/>
    <w:rsid w:val="43AA67BE"/>
    <w:rsid w:val="43C47533"/>
    <w:rsid w:val="43CF607B"/>
    <w:rsid w:val="43ED075C"/>
    <w:rsid w:val="43F230F0"/>
    <w:rsid w:val="443A547D"/>
    <w:rsid w:val="444E0560"/>
    <w:rsid w:val="44891F7A"/>
    <w:rsid w:val="44DC3CC1"/>
    <w:rsid w:val="44E766A8"/>
    <w:rsid w:val="44F47B33"/>
    <w:rsid w:val="452808DB"/>
    <w:rsid w:val="453174BD"/>
    <w:rsid w:val="45DC17F0"/>
    <w:rsid w:val="469A0CC3"/>
    <w:rsid w:val="46CD35FF"/>
    <w:rsid w:val="47054C6E"/>
    <w:rsid w:val="47190AF5"/>
    <w:rsid w:val="47C63E08"/>
    <w:rsid w:val="47F67D9B"/>
    <w:rsid w:val="48136E79"/>
    <w:rsid w:val="48420A18"/>
    <w:rsid w:val="48623DBF"/>
    <w:rsid w:val="486D5D4E"/>
    <w:rsid w:val="488631DD"/>
    <w:rsid w:val="49342620"/>
    <w:rsid w:val="495A6EFE"/>
    <w:rsid w:val="49BB5BEF"/>
    <w:rsid w:val="49E30F00"/>
    <w:rsid w:val="4A113B9D"/>
    <w:rsid w:val="4A592702"/>
    <w:rsid w:val="4A6307F7"/>
    <w:rsid w:val="4A9106FD"/>
    <w:rsid w:val="4ABF34BD"/>
    <w:rsid w:val="4ADF1682"/>
    <w:rsid w:val="4B027194"/>
    <w:rsid w:val="4B162422"/>
    <w:rsid w:val="4B37473E"/>
    <w:rsid w:val="4C1434C8"/>
    <w:rsid w:val="4C3E48B5"/>
    <w:rsid w:val="4C610C2A"/>
    <w:rsid w:val="4C703901"/>
    <w:rsid w:val="4C903796"/>
    <w:rsid w:val="4CE647FC"/>
    <w:rsid w:val="4E6941A2"/>
    <w:rsid w:val="4E955C20"/>
    <w:rsid w:val="4F6E4541"/>
    <w:rsid w:val="50E8664E"/>
    <w:rsid w:val="50F00470"/>
    <w:rsid w:val="50F26719"/>
    <w:rsid w:val="51674CDE"/>
    <w:rsid w:val="51714DE5"/>
    <w:rsid w:val="51B94E7A"/>
    <w:rsid w:val="51C76A1E"/>
    <w:rsid w:val="52377DDC"/>
    <w:rsid w:val="523C270C"/>
    <w:rsid w:val="5283753E"/>
    <w:rsid w:val="52A743B5"/>
    <w:rsid w:val="52F646E4"/>
    <w:rsid w:val="53BB48AB"/>
    <w:rsid w:val="547B3057"/>
    <w:rsid w:val="54AD4386"/>
    <w:rsid w:val="54D446BE"/>
    <w:rsid w:val="5508167C"/>
    <w:rsid w:val="553F6D3D"/>
    <w:rsid w:val="557A3C9E"/>
    <w:rsid w:val="55A00177"/>
    <w:rsid w:val="55E4027B"/>
    <w:rsid w:val="563B7952"/>
    <w:rsid w:val="565A678F"/>
    <w:rsid w:val="56BE2A0C"/>
    <w:rsid w:val="56C836F9"/>
    <w:rsid w:val="56C85BFD"/>
    <w:rsid w:val="56E300AC"/>
    <w:rsid w:val="571132F2"/>
    <w:rsid w:val="57482A8C"/>
    <w:rsid w:val="57936007"/>
    <w:rsid w:val="57E00F16"/>
    <w:rsid w:val="582901C7"/>
    <w:rsid w:val="583875C3"/>
    <w:rsid w:val="58427BC1"/>
    <w:rsid w:val="593A05D6"/>
    <w:rsid w:val="59467B74"/>
    <w:rsid w:val="595D13A5"/>
    <w:rsid w:val="5A9619CD"/>
    <w:rsid w:val="5A9B55D4"/>
    <w:rsid w:val="5AB1243E"/>
    <w:rsid w:val="5AC02939"/>
    <w:rsid w:val="5ADB52BC"/>
    <w:rsid w:val="5ADB597E"/>
    <w:rsid w:val="5B100399"/>
    <w:rsid w:val="5C64011C"/>
    <w:rsid w:val="5CB6700A"/>
    <w:rsid w:val="5CF96E35"/>
    <w:rsid w:val="5D5A0E23"/>
    <w:rsid w:val="5E2D5764"/>
    <w:rsid w:val="5E7B7C64"/>
    <w:rsid w:val="5EF0768F"/>
    <w:rsid w:val="5F6800B6"/>
    <w:rsid w:val="5F7A1C50"/>
    <w:rsid w:val="5F9675A6"/>
    <w:rsid w:val="5FB07420"/>
    <w:rsid w:val="5FE607AD"/>
    <w:rsid w:val="5FF82474"/>
    <w:rsid w:val="60F23B22"/>
    <w:rsid w:val="617D40A3"/>
    <w:rsid w:val="620D0B5A"/>
    <w:rsid w:val="621C07E6"/>
    <w:rsid w:val="621C5DFA"/>
    <w:rsid w:val="622D4D58"/>
    <w:rsid w:val="623517C1"/>
    <w:rsid w:val="62983EC5"/>
    <w:rsid w:val="62F02B14"/>
    <w:rsid w:val="63FA0728"/>
    <w:rsid w:val="63FE4199"/>
    <w:rsid w:val="64321481"/>
    <w:rsid w:val="64556C28"/>
    <w:rsid w:val="649B24D7"/>
    <w:rsid w:val="64F16511"/>
    <w:rsid w:val="655514F5"/>
    <w:rsid w:val="6583161C"/>
    <w:rsid w:val="66CE771F"/>
    <w:rsid w:val="67015822"/>
    <w:rsid w:val="671478D8"/>
    <w:rsid w:val="67713939"/>
    <w:rsid w:val="677442CB"/>
    <w:rsid w:val="67872F3E"/>
    <w:rsid w:val="680A7611"/>
    <w:rsid w:val="68825CF3"/>
    <w:rsid w:val="68A858E4"/>
    <w:rsid w:val="68CF24E4"/>
    <w:rsid w:val="6909757F"/>
    <w:rsid w:val="691D64E3"/>
    <w:rsid w:val="69436EE3"/>
    <w:rsid w:val="69856A6D"/>
    <w:rsid w:val="69EB67A5"/>
    <w:rsid w:val="6A043BC4"/>
    <w:rsid w:val="6A3A1E06"/>
    <w:rsid w:val="6A6E4615"/>
    <w:rsid w:val="6A7760BC"/>
    <w:rsid w:val="6AFF6BBA"/>
    <w:rsid w:val="6B0C5766"/>
    <w:rsid w:val="6B1A3338"/>
    <w:rsid w:val="6B331F81"/>
    <w:rsid w:val="6B721A2E"/>
    <w:rsid w:val="6B8B3CDC"/>
    <w:rsid w:val="6C1301EB"/>
    <w:rsid w:val="6C5A148F"/>
    <w:rsid w:val="6C627BA9"/>
    <w:rsid w:val="6C8934D3"/>
    <w:rsid w:val="6D39312D"/>
    <w:rsid w:val="6DD47C9E"/>
    <w:rsid w:val="6E257BFB"/>
    <w:rsid w:val="6E661D1D"/>
    <w:rsid w:val="6ED110C8"/>
    <w:rsid w:val="6ED870F8"/>
    <w:rsid w:val="6EDF5C21"/>
    <w:rsid w:val="6F1C062E"/>
    <w:rsid w:val="6F9927D2"/>
    <w:rsid w:val="6FE20C80"/>
    <w:rsid w:val="701E3A86"/>
    <w:rsid w:val="70244E73"/>
    <w:rsid w:val="709A7A5C"/>
    <w:rsid w:val="710E4375"/>
    <w:rsid w:val="712F680D"/>
    <w:rsid w:val="713308E8"/>
    <w:rsid w:val="714A4FF2"/>
    <w:rsid w:val="71CD7F1E"/>
    <w:rsid w:val="71DF0E79"/>
    <w:rsid w:val="72253C9E"/>
    <w:rsid w:val="72610664"/>
    <w:rsid w:val="72921C44"/>
    <w:rsid w:val="72C271B1"/>
    <w:rsid w:val="72F83160"/>
    <w:rsid w:val="73435FA8"/>
    <w:rsid w:val="73465C7A"/>
    <w:rsid w:val="734B2473"/>
    <w:rsid w:val="73525B5B"/>
    <w:rsid w:val="73CA615D"/>
    <w:rsid w:val="73D31874"/>
    <w:rsid w:val="744B78B7"/>
    <w:rsid w:val="748F6DFF"/>
    <w:rsid w:val="754A2EC2"/>
    <w:rsid w:val="755F25B7"/>
    <w:rsid w:val="75CC724C"/>
    <w:rsid w:val="75E05AA1"/>
    <w:rsid w:val="76154191"/>
    <w:rsid w:val="762138CC"/>
    <w:rsid w:val="76A55F01"/>
    <w:rsid w:val="76E0043D"/>
    <w:rsid w:val="77373801"/>
    <w:rsid w:val="77521120"/>
    <w:rsid w:val="77C61FD8"/>
    <w:rsid w:val="77DB0426"/>
    <w:rsid w:val="78261945"/>
    <w:rsid w:val="785E45C7"/>
    <w:rsid w:val="79752E15"/>
    <w:rsid w:val="797F1EE5"/>
    <w:rsid w:val="79E263D5"/>
    <w:rsid w:val="7A4016B3"/>
    <w:rsid w:val="7A996FD7"/>
    <w:rsid w:val="7AC0743F"/>
    <w:rsid w:val="7AEC72BB"/>
    <w:rsid w:val="7BA546EB"/>
    <w:rsid w:val="7BCA3022"/>
    <w:rsid w:val="7BF22E42"/>
    <w:rsid w:val="7BFE423D"/>
    <w:rsid w:val="7C2C3CFE"/>
    <w:rsid w:val="7C430D4C"/>
    <w:rsid w:val="7C6A18EA"/>
    <w:rsid w:val="7C6A1D0A"/>
    <w:rsid w:val="7C796182"/>
    <w:rsid w:val="7C9D19F4"/>
    <w:rsid w:val="7CD21208"/>
    <w:rsid w:val="7D2012E9"/>
    <w:rsid w:val="7D20578D"/>
    <w:rsid w:val="7EF52BCA"/>
    <w:rsid w:val="7F0C2BB4"/>
    <w:rsid w:val="7F2856C5"/>
    <w:rsid w:val="7F63430C"/>
    <w:rsid w:val="7FC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1"/>
    <w:qFormat/>
    <w:uiPriority w:val="0"/>
    <w:pPr>
      <w:spacing w:line="590" w:lineRule="exact"/>
    </w:pPr>
    <w:rPr>
      <w:rFonts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区科技局</Company>
  <Pages>10</Pages>
  <Words>3579</Words>
  <Characters>3608</Characters>
  <Lines>0</Lines>
  <Paragraphs>0</Paragraphs>
  <TotalTime>9</TotalTime>
  <ScaleCrop>false</ScaleCrop>
  <LinksUpToDate>false</LinksUpToDate>
  <CharactersWithSpaces>3676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2020-05-13T02:25:00Z</dcterms:created>
  <dc:creator>申  华[13330286917]</dc:creator>
  <cp:lastModifiedBy>子      开</cp:lastModifiedBy>
  <cp:lastPrinted>2022-04-15T03:23:00Z</cp:lastPrinted>
  <dcterms:modified xsi:type="dcterms:W3CDTF">2023-10-27T08:36:20Z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A67F73081A6A4E89A035DBB4A34931E1_13</vt:lpwstr>
  </property>
</Properties>
</file>