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仿宋_GBK" w:eastAsia="方正仿宋_GBK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仿宋_GBK" w:eastAsia="方正仿宋_GBK"/>
          <w:sz w:val="44"/>
          <w:szCs w:val="44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pacing w:val="0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2"/>
          <w:sz w:val="44"/>
          <w:szCs w:val="44"/>
          <w:lang w:val="en-US" w:eastAsia="zh-CN" w:bidi="ar"/>
        </w:rPr>
        <w:t>重庆市万州区科学技术局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pacing w:val="0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2"/>
          <w:sz w:val="44"/>
          <w:szCs w:val="44"/>
          <w:lang w:val="en-US" w:eastAsia="zh-CN" w:bidi="ar"/>
        </w:rPr>
        <w:t>关于印发《重庆市万州区技术创新中心建设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pacing w:val="0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2"/>
          <w:sz w:val="44"/>
          <w:szCs w:val="44"/>
          <w:lang w:val="en-US" w:eastAsia="zh-CN" w:bidi="ar"/>
        </w:rPr>
        <w:t>运行管理办法（试行）》的通知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right="0"/>
        <w:jc w:val="center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万州科局发〔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2022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19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号</w:t>
      </w:r>
    </w:p>
    <w:p>
      <w:pPr>
        <w:pStyle w:val="10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600" w:lineRule="exact"/>
        <w:ind w:left="0" w:right="0"/>
        <w:jc w:val="center"/>
        <w:rPr>
          <w:rFonts w:hint="eastAsia" w:ascii="方正仿宋_GBK" w:hAnsi="方正仿宋_GBK" w:eastAsia="方正仿宋_GBK" w:cs="方正仿宋_GBK"/>
          <w:color w:val="000000"/>
          <w:spacing w:val="0"/>
          <w:kern w:val="0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"/>
        </w:rPr>
        <w:t>各有关单位：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"/>
        </w:rPr>
        <w:t>现将《重庆市万州区技术创新中心建设运行管理办法（试行）》印发给你们，请请遵照执行。</w:t>
      </w:r>
    </w:p>
    <w:p>
      <w:pPr>
        <w:pStyle w:val="2"/>
        <w:rPr>
          <w:rFonts w:hint="default"/>
        </w:rPr>
      </w:pPr>
    </w:p>
    <w:p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kern w:val="0"/>
          <w:sz w:val="32"/>
          <w:szCs w:val="32"/>
          <w:lang w:val="en-US" w:eastAsia="zh-CN" w:bidi="ar"/>
        </w:rPr>
        <w:t>重庆市万州区科学技术局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="6080" w:firstLineChars="1900"/>
        <w:jc w:val="both"/>
        <w:rPr>
          <w:rFonts w:hint="eastAsia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"/>
        </w:rPr>
        <w:t>2022</w:t>
      </w:r>
      <w:r>
        <w:rPr>
          <w:rFonts w:hint="eastAsia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"/>
        </w:rPr>
        <w:t>14</w:t>
      </w:r>
      <w:r>
        <w:rPr>
          <w:rFonts w:hint="eastAsia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pacing w:val="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pacing w:val="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pacing w:val="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pacing w:val="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pacing w:val="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pacing w:val="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pacing w:val="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pacing w:val="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pacing w:val="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right="0"/>
        <w:jc w:val="center"/>
        <w:rPr>
          <w:rFonts w:hint="default" w:ascii="Times New Roman" w:hAnsi="Times New Roman" w:eastAsia="方正楷体_GBK" w:cs="Times New Roman"/>
          <w:spacing w:val="0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2"/>
          <w:sz w:val="44"/>
          <w:szCs w:val="44"/>
          <w:lang w:val="en-US" w:eastAsia="zh-CN" w:bidi="ar"/>
        </w:rPr>
        <w:t>重庆市万州区技术创新中心建设运行管理办法（试行）</w:t>
      </w:r>
    </w:p>
    <w:p>
      <w:pPr>
        <w:pStyle w:val="6"/>
        <w:keepNext w:val="0"/>
        <w:keepLines w:val="0"/>
        <w:widowControl w:val="0"/>
        <w:suppressLineNumbers w:val="0"/>
        <w:autoSpaceDE w:val="0"/>
        <w:autoSpaceDN/>
        <w:spacing w:line="600" w:lineRule="exact"/>
        <w:ind w:left="0" w:firstLine="0" w:firstLineChars="0"/>
        <w:jc w:val="center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第一章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总则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第一条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为贯彻党的十九大关于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建立以企业为主体、市场为导向、产学研深度融合的技术创新体系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的战略部署，落实《国家技术创新中心建设工作指引》《关于推进国家技术创新中心建设的总体方案（暂行）》《国家技术创新中心建设运行管理办法（暂行）》，规范万州区技术创新中心建设和运行，制定本办法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第二条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万州区技术创新中心（以下简称创新中心）是我区技术创新体系建设的重要组成部分，是推进三峡库区科技创新高地建设的重要载体。创新中心以关键技术研发为核心使命，产学研协同推动科技成果转移转化与产业化，为区域和产业发展提供源头技术供给，为科技型中小企业孵化、培育和发展提供创新服务，为支撑全区产业向中高端迈进、实现高质量发展发挥战略引领作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第三条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创新中心建设遵循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聚焦关键、改革牵引、开放协同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的原则，实行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择优建设、绩效管理、动态调整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的管理机制。创新中心应为独立法人实体，针对不同领域竞争态势和创新规律，探索不同类型的组建模式。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第四条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创新中心应全面加强党的建设。根据《中国共产党章程》规定，设立党的组织，强化政治引领，切实保证党的领导贯彻落实到位。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第二章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管理职责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第五条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重庆市万州区科学技术局（以下简称区科技局）负责创新中心规划布局和宏观管理，主要职责是：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．贯彻和落实国家、市有关技术创新中心建设、管理的政策。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．制定创新中心建设规划和政策，建立创新中心建设与运行管理制度，指导创新中心的建设和运行。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．负责创新中心的立项建设、调整优化和合并撤销。组织开展创新中心建设运行情况年度报告和绩效评估，并根据评估结果进行动态调整。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．支持创新中心承担国家、省（直辖市）、地（市）重大科研任务，推动项目、基地、人才一体化布局实施。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第六条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区级有关部门和万州经开区、渝东新区科技管理部门负责创新中心的培育、推荐和监督管理，主要职责是：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．落实有关创新中心建设的规划和政策。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．组织开展本行业、本地区创新中心的培育和推荐工作。对创新中心的建设运行进行监督管理，协调解决创新中心建设、运行和发展中的问题，统筹资源支持创新中心的建设和发展。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．协助组织创新中心开展年度报告和绩效评估。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第七条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创新中心负责本中心的建设和运行，主要职责是：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．制定创新中心章程，履行主体责任。承担落实科研作风学风和科研诚信的主体责任。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．构建科学合理的科技创新人才队伍，吸引集聚各类创新人才，充分调动各类人员积极性。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．在运营管理、研发投入、人才集聚等方面加强体制机制创新，建立健全内部管理制度，为创新中心高水平运行提供支撑保障。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．多元化筹措建设运行经费，按规定管理和使用经费。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．按要求开展建设运行年度报告，配合做好绩效评估等工作。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Calibri" w:hAnsi="Calibri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．创新中心涉及重大事项变更，应书面报区科技局批准。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第三章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</w:rPr>
        <w:t xml:space="preserve">  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组建程序及条件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第八条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创新中心主要依托我区规模以上企业和高等院校、科研院所、医疗卫生单位建设，建设周期一般不超过三年。可采用多种组建模式：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．在龙头企业优势地位突出、行业集中度高的领域，主要由龙头企业牵头，产业链有关企业、高校、科研院所等参与建设。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．在多家企业均衡竞争、行业集中度较低的领域，可以由多家行业骨干企业联合相关高校、科研院所，通过组建平台型公司、产业技术创新战略联盟或创新联合体等方式，共同投资建设。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．在主要由技术研发牵引推动、市场还未培育成熟的领域，可以由具有技术优势的高校、科研院所牵头，有关企业作为重要的主体参与建设。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第九条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组建创新中心应具备下列基本条件：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．在万州区注册登记的企业、高等院校、科研院所、医疗卫生单位，具有法人独立资格。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shd w:val="clear" w:fill="FFFFFF"/>
        </w:rPr>
        <w:t>近三年无不良信用记录，未发生重大违法行为、重大质量事故、较大及以上安全事故。依托单位是企业的，应是规模以上企业。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．与区委、区政府重大战略、重大任务、重大工程紧密结合，符合产业与技术创新发展趋势。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．建设主体单位有稳定的技术团队，科技创新优势突出、代表性强，改革创新积极性高，具有联合产学研各方、整合创新资源、组织实施重大科技创新任务的优势和能力。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．多个单位联合建设创新中心的必须有联合建设协议书，明确牵头单位，以及参与单位在创新中心建设与运行中的权利、义务和责任。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caps w:val="0"/>
          <w:spacing w:val="0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第十条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申报组建创新中心流程：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spacing w:val="0"/>
          <w:kern w:val="2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．建设主体单位结合自身优势和具体情况，向区科技局提出建设意向申请，并出具区级有关部门或万州经开区、渝东新区科技管理部门推荐意见。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spacing w:val="0"/>
          <w:kern w:val="2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．区科技局会同</w:t>
      </w:r>
      <w:r>
        <w:rPr>
          <w:rFonts w:hint="eastAsia" w:ascii="方正仿宋_GBK" w:hAnsi="方正仿宋_GBK" w:eastAsia="方正仿宋_GBK" w:cs="方正仿宋_GBK"/>
          <w:i w:val="0"/>
          <w:caps w:val="0"/>
          <w:spacing w:val="0"/>
          <w:kern w:val="2"/>
          <w:sz w:val="32"/>
          <w:szCs w:val="32"/>
        </w:rPr>
        <w:t>区级有关部门或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万州经开区、渝东新区科技管理部门，在统筹平衡的基础上，指导建设主体编制建设方案与前期筹备。建设方案一般以三年为周期，明确发展目标、重点任务、管理运行机制、保障措施、工作进度、考核指标、利益分配机制等内容。同时，做好筹建理事会（董事会）、实施法人实体化运行等前期准备工作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．区科技局对符合组建条件的创新中心组织开展专家咨询论证，并按照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择优、择重、择需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和“以认促建”的原则开展建设。符合认定条件的，经局长办公会研究同意后发文予以认定并批准建设，建设期一般不超过三年。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黑体_GBK" w:cs="Times New Roman"/>
          <w:i w:val="0"/>
          <w:caps w:val="0"/>
          <w:spacing w:val="0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spacing w:val="0"/>
          <w:kern w:val="2"/>
          <w:sz w:val="32"/>
          <w:szCs w:val="32"/>
          <w:lang w:val="en-US" w:eastAsia="zh-CN" w:bidi="ar"/>
        </w:rPr>
        <w:t>第四章</w:t>
      </w:r>
      <w:r>
        <w:rPr>
          <w:rFonts w:hint="default" w:ascii="Times New Roman" w:hAnsi="Times New Roman" w:eastAsia="方正黑体_GBK" w:cs="Times New Roman"/>
          <w:i w:val="0"/>
          <w:caps w:val="0"/>
          <w:spacing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黑体_GBK" w:hAnsi="方正黑体_GBK" w:eastAsia="方正黑体_GBK" w:cs="方正黑体_GBK"/>
          <w:i w:val="0"/>
          <w:caps w:val="0"/>
          <w:spacing w:val="0"/>
          <w:kern w:val="2"/>
          <w:sz w:val="32"/>
          <w:szCs w:val="32"/>
          <w:lang w:val="en-US" w:eastAsia="zh-CN" w:bidi="ar"/>
        </w:rPr>
        <w:t>运行与管理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第十一条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创新中心应设立理事会（董事会）、专家委员会，实行理事会（董事会）领导下的中心主任（总经理）负责制。中心理事会（董事会）、专家委员会成立后报区科技局备案。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第十二条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创新中心实行理事会（董事会）决策制。理事会（董事会）由参与创新中心建设的法人单位等方面代表组成。主要任务如下：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．制定创新中心章程。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．聘任创新中心主任（总经理）。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．聘任专家委员会委员。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．确定年度工作计划，并对建设运行中的重大问题进行决策。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．制定建设方案。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第十三条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创新中心实行中心主任（总经理）负责制。创新中心主任（总经理）应具有较强的组织管理能力。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第十四条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创新中心实行专家委员会咨询制。专家委员会负责研究确定创新中心的发展目标、重点技术创新任务等，并对相关重大事项提出意见建议。专家委员会由区内外优秀专家组成，其中建设主体单位人员数不超过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1/3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，专家委员会主任一般应由非牵头单位的人员担任。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第十五条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创新中心实行固定与流动相结合的人员聘用制度，应通过市场化机制加强人才的选拔与聘任。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第十六条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创新中心应全面落实科技成果转化奖励、股权分红激励等政策措施，建立市场化的绩效评价与收入分配激励机制。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第十七条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创新中心应充分依托高校、科研院所的优势学科和科研资源，协同开展关键共性技术攻关、成果转移转化和技术创新服务。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第十八条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构建政府引导、市场化运作的良性机制，区级有关部门和万州经开区、渝东新区科技管理部门支持创新中心建设，引导创新中心通过竞争性课题、市场化服务收入等方式扩展资金来源渠道。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第十九条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创新中心应加强知识产权保护与运用。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第二十条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创新中心实行年度报告制度，每年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日前报区科技局备案。年度报告主要内容包括本年度推动建设任务的实施进展、存在的问题以及下一步工作考虑，并附有必要的建设运行客观数据。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第二十一条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创新中心建设运行期间需变更名称、注册地或其他重大事项的，应提出书面申请，经区级有关部门或万州经开区、渝东新区科技管理部门审核后报区科技局批准。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第五章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绩效评估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第二十二条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区科技局组织对认定授牌的创新中心开展绩效评估。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第二十三条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绩效评估以客观数据为主要评估依据，评估的内容主要包括：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．创新中心运行基本情况。内部管理制度健全完善和新型科研体制机制探索创新情况、科研投入与收入情况、人才及团队建设情况；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．技术研发与行业引领能力。获得国家、省部级、地市级奖励，主持制定国家（行业）标准、省级（地方）标准，授权发明专利、实用新型专利，开发新产品（品种），在国际期刊发表一批有影响力的论文论著等量化考核指标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．技术转化与产业提升能力。主要以技术转化效益、横向课题经费、企业效益、科技成果转移转化、开放程度等为量化考核指标。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．服务创新创业发展水平。提供创新创业孵化、专业化科技服务、培育带动科技型小微企业创新发展等情况。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．其他需要评估的内容。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第二十四条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对创新中心的绩效评估一般以三年为一个周期，评估结果分为“优秀、良好、合格、不合格”四类。对于建设运行效果好，提前完成建设任务的，由创新中心提出申请，区科技局组织开展绩效评估。评估结果为“优秀”的，</w:t>
      </w:r>
      <w:r>
        <w:rPr>
          <w:rFonts w:hint="eastAsia" w:ascii="方正仿宋_GBK" w:hAnsi="方正仿宋_GBK" w:eastAsia="方正仿宋_GBK" w:cs="方正仿宋_GBK"/>
          <w:i w:val="0"/>
          <w:caps w:val="0"/>
          <w:spacing w:val="0"/>
          <w:kern w:val="2"/>
          <w:sz w:val="32"/>
          <w:szCs w:val="32"/>
          <w:lang w:val="en-US" w:eastAsia="zh-CN" w:bidi="ar"/>
        </w:rPr>
        <w:t>优先推荐申报市级技术创新中心，优先支持区级科技计划项目。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评估结果为“不合格”的，应限期半年整改，整改后验收仍不合格的，撤销认定。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对成功创建国家技术创新中心的，按照市级支持资金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1:0.5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的比例给予区级配套支持。对成功创建市级技术创新中心的，一次性补助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50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万元。对成功创建区级技术创新中心的，给予最高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万元的补助。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第二十五条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区科技局依照国家、市、区有关规定对创新中心建设和运行管理中的相关行为、相关主体实施诚信管理。有下列情形之一的，撤销区级技术创新中心认定，且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年内不得重新申报。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"/>
        </w:rPr>
        <w:t>（一）存在严重弄虚作假行为的。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</w:rPr>
        <w:t>（二）发生科研严重失信问题的。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"/>
        </w:rPr>
        <w:t>（三）牵头组建单位破产或被列入经营异常名录和严重失信主体名单的。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"/>
        </w:rPr>
        <w:t>（四）不履行年度报告义务、无正当理由不参加评估或中途退出评估的。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第二十六条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绩效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评估过程中，参与各方不得弄虚作假，不得以任何方式影响评估。发现弄虚作假、违反科研诚信情况的按有关规定处理。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第六章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附则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第二十七条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创新中心统一命名为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重庆市万州区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XXX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技术创新中心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。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第二十八条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本办法由区科技局负责解释。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第二十九条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本办法自印发之日起试行，试行期三年。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5B79726-D751-49B7-A322-D4DCD02F917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D995895-7B01-4A95-93CE-DB0AFF554BF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BCFCE6E-D8E5-440A-ADD3-4174A0E91658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B0D083D8-65A6-48D7-85DD-47B49A850FD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106ED2B1-18C6-4274-812B-D7B5576C0E0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2A25229-FCB0-4D8C-B9C1-A9EF9F9F142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enter" w:pos="4153"/>
        <w:tab w:val="right" w:pos="8306"/>
      </w:tabs>
      <w:snapToGrid w:val="0"/>
      <w:spacing w:beforeAutospacing="0" w:afterAutospacing="0"/>
      <w:ind w:left="4788" w:leftChars="2280" w:firstLine="3600" w:firstLineChars="2000"/>
      <w:jc w:val="both"/>
      <w:rPr>
        <w:rFonts w:eastAsia="仿宋"/>
        <w:sz w:val="32"/>
        <w:szCs w:val="48"/>
      </w:rPr>
    </w:pPr>
    <w:r>
      <w:rPr>
        <w:rFonts w:ascii="Calibri" w:hAnsi="Calibri" w:eastAsia="宋体"/>
        <w:kern w:val="2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245745</wp:posOffset>
              </wp:positionV>
              <wp:extent cx="5616575" cy="1905"/>
              <wp:effectExtent l="0" t="10795" r="3175" b="15875"/>
              <wp:wrapNone/>
              <wp:docPr id="5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3" o:spid="_x0000_s1026" o:spt="20" style="position:absolute;left:0pt;margin-left:1.3pt;margin-top:19.35pt;height:0.15pt;width:442.25pt;z-index:251660288;mso-width-relative:page;mso-height-relative:page;" filled="f" stroked="t" coordsize="21600,21600" o:gfxdata="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XqCco1AAAAAcBAAAPAAAAAAAAAAEAIAAAACIAAABkcnMvZG93bnJldi54bWxQSwECFAAU&#10;AAAACACHTuJA48oqY/UBAAD3AwAADgAAAAAAAAABACAAAAAjAQAAZHJzL2Uyb0RvYy54bWxQSwUG&#10;AAAAAAYABgBZAQAAigUAAAAA&#10;">
              <v:fill on="f" focussize="0,0"/>
              <v:stroke weight="1.75pt" color="#005192" joinstyle="miter"/>
              <v:imagedata o:title=""/>
              <o:lock v:ext="edit" aspectratio="f"/>
            </v:line>
          </w:pict>
        </mc:Fallback>
      </mc:AlternateContent>
    </w:r>
    <w:r>
      <w:rPr>
        <w:rFonts w:ascii="Calibri" w:hAnsi="Calibri" w:eastAsia="宋体"/>
        <w:kern w:val="2"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7200" cy="22098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widowControl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7.4pt;width:36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m++AW0gAAAAMBAAAPAAAAAAAAAAEA&#10;IAAAACIAAABkcnMvZG93bnJldi54bWxQSwECFAAUAAAACACHTuJAgbUdFdwBAACuAwAADgAAAAAA&#10;AAABACAAAAAhAQAAZHJzL2Uyb0RvYy54bWxQSwUGAAAAAAYABgBZAQAAb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widowControl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  <w:tabs>
        <w:tab w:val="center" w:pos="4153"/>
        <w:tab w:val="right" w:pos="8306"/>
      </w:tabs>
      <w:wordWrap w:val="0"/>
      <w:snapToGrid w:val="0"/>
      <w:spacing w:beforeAutospacing="0" w:afterAutospacing="0"/>
      <w:jc w:val="right"/>
      <w:rPr>
        <w:rFonts w:ascii="宋体" w:hAnsi="宋体" w:eastAsia="宋体" w:cs="宋体"/>
        <w:b/>
        <w:color w:val="005192"/>
        <w:sz w:val="28"/>
        <w:szCs w:val="44"/>
      </w:rPr>
    </w:pPr>
    <w:r>
      <w:rPr>
        <w:rFonts w:hint="eastAsia" w:ascii="宋体" w:hAnsi="宋体" w:eastAsia="宋体" w:cs="宋体"/>
        <w:b/>
        <w:color w:val="005192"/>
        <w:kern w:val="2"/>
        <w:sz w:val="28"/>
        <w:szCs w:val="44"/>
      </w:rPr>
      <w:t>重庆市万州区</w:t>
    </w:r>
    <w:r>
      <w:rPr>
        <w:rFonts w:hint="eastAsia" w:ascii="宋体" w:hAnsi="宋体" w:cs="宋体"/>
        <w:b/>
        <w:color w:val="005192"/>
        <w:kern w:val="2"/>
        <w:sz w:val="28"/>
        <w:szCs w:val="44"/>
        <w:lang w:val="en-US" w:eastAsia="zh-CN"/>
      </w:rPr>
      <w:t>科学技术局</w:t>
    </w:r>
    <w:r>
      <w:rPr>
        <w:rFonts w:hint="eastAsia" w:ascii="宋体" w:hAnsi="宋体" w:eastAsia="宋体" w:cs="宋体"/>
        <w:b/>
        <w:color w:val="005192"/>
        <w:kern w:val="2"/>
        <w:sz w:val="28"/>
        <w:szCs w:val="44"/>
      </w:rPr>
      <w:t>发布</w: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enter" w:pos="4153"/>
        <w:tab w:val="right" w:pos="8306"/>
      </w:tabs>
      <w:snapToGrid w:val="0"/>
      <w:spacing w:beforeAutospacing="0" w:afterAutospacing="0"/>
      <w:jc w:val="both"/>
      <w:textAlignment w:val="center"/>
      <w:rPr>
        <w:rFonts w:ascii="方正仿宋_GBK" w:hAnsi="方正仿宋_GBK" w:eastAsia="方正仿宋_GBK" w:cs="方正仿宋_GBK"/>
        <w:b/>
        <w:color w:val="000000"/>
        <w:sz w:val="32"/>
      </w:rPr>
    </w:pPr>
    <w:r>
      <w:rPr>
        <w:rFonts w:ascii="Calibri" w:hAnsi="Calibri" w:eastAsia="宋体"/>
        <w:kern w:val="2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3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xHkrNQAAAAIAQAADwAAAAAAAAABACAAAAAiAAAAZHJzL2Rvd25yZXYueG1sUEsBAhQAFAAA&#10;AAgAh07iQJdFPx7zAQAA9AMAAA4AAAAAAAAAAQAgAAAAIwEAAGRycy9lMm9Eb2MueG1sUEsFBgAA&#10;AAAGAAYAWQEAAIgFAAAAAA==&#10;">
              <v:fill on="f" focussize="0,0"/>
              <v:stroke weight="1.75pt" color="#005192" joinstyle="miter"/>
              <v:imagedata o:title=""/>
              <o:lock v:ext="edit" aspectratio="f"/>
            </v:line>
          </w:pict>
        </mc:Fallback>
      </mc:AlternateContent>
    </w:r>
  </w:p>
  <w:p>
    <w:pPr>
      <w:pStyle w:val="10"/>
      <w:tabs>
        <w:tab w:val="center" w:pos="4153"/>
        <w:tab w:val="right" w:pos="8306"/>
      </w:tabs>
      <w:snapToGrid w:val="0"/>
      <w:spacing w:beforeAutospacing="0" w:afterAutospacing="0"/>
      <w:jc w:val="both"/>
      <w:textAlignment w:val="center"/>
      <w:rPr>
        <w:rFonts w:ascii="宋体" w:hAnsi="宋体" w:eastAsia="宋体" w:cs="宋体"/>
        <w:b/>
        <w:color w:val="005192"/>
        <w:sz w:val="32"/>
        <w:szCs w:val="32"/>
      </w:rPr>
    </w:pPr>
    <w:r>
      <w:rPr>
        <w:rFonts w:hint="eastAsia" w:ascii="宋体" w:hAnsi="宋体" w:eastAsia="宋体" w:cs="宋体"/>
        <w:b/>
        <w:color w:val="005192"/>
        <w:kern w:val="2"/>
        <w:sz w:val="32"/>
      </w:rPr>
      <w:drawing>
        <wp:inline distT="0" distB="0" distL="114300" distR="114300">
          <wp:extent cx="304800" cy="304800"/>
          <wp:effectExtent l="0" t="0" r="0" b="0"/>
          <wp:docPr id="4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color w:val="005192"/>
        <w:kern w:val="2"/>
        <w:sz w:val="32"/>
      </w:rPr>
      <w:t>重庆市万州区</w:t>
    </w:r>
    <w:r>
      <w:rPr>
        <w:rFonts w:hint="eastAsia" w:ascii="宋体" w:hAnsi="宋体" w:cs="宋体"/>
        <w:b/>
        <w:color w:val="005192"/>
        <w:kern w:val="2"/>
        <w:sz w:val="32"/>
        <w:lang w:val="en-US" w:eastAsia="zh-CN"/>
      </w:rPr>
      <w:t>科学技术局</w:t>
    </w:r>
    <w:r>
      <w:rPr>
        <w:rFonts w:hint="eastAsia" w:ascii="宋体" w:hAnsi="宋体" w:eastAsia="宋体" w:cs="宋体"/>
        <w:b/>
        <w:color w:val="005192"/>
        <w:kern w:val="2"/>
        <w:sz w:val="32"/>
      </w:rPr>
      <w:t>行政</w:t>
    </w:r>
    <w:r>
      <w:rPr>
        <w:rFonts w:hint="eastAsia" w:ascii="宋体" w:hAnsi="宋体" w:eastAsia="宋体" w:cs="宋体"/>
        <w:b/>
        <w:color w:val="005192"/>
        <w:kern w:val="2"/>
        <w:sz w:val="32"/>
        <w:szCs w:val="32"/>
      </w:rPr>
      <w:t>规范性文件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OTBiZjlmMjQ4N2NjZDI4NmM0YjczMTE0M2ZjNzEifQ=="/>
  </w:docVars>
  <w:rsids>
    <w:rsidRoot w:val="00172A27"/>
    <w:rsid w:val="00313002"/>
    <w:rsid w:val="00654E5E"/>
    <w:rsid w:val="0095179C"/>
    <w:rsid w:val="056730BB"/>
    <w:rsid w:val="13CF4F79"/>
    <w:rsid w:val="1635123D"/>
    <w:rsid w:val="19AE76A1"/>
    <w:rsid w:val="19C37FA2"/>
    <w:rsid w:val="1B751859"/>
    <w:rsid w:val="2379249C"/>
    <w:rsid w:val="28D92F06"/>
    <w:rsid w:val="2F11571A"/>
    <w:rsid w:val="3216328B"/>
    <w:rsid w:val="33F4600E"/>
    <w:rsid w:val="34D50116"/>
    <w:rsid w:val="354035B5"/>
    <w:rsid w:val="39853E98"/>
    <w:rsid w:val="3B3F4CCB"/>
    <w:rsid w:val="3B5F0EF6"/>
    <w:rsid w:val="3F3123BF"/>
    <w:rsid w:val="41E23B0E"/>
    <w:rsid w:val="41EE3934"/>
    <w:rsid w:val="472441A3"/>
    <w:rsid w:val="490C03E3"/>
    <w:rsid w:val="49922DD2"/>
    <w:rsid w:val="4B25671E"/>
    <w:rsid w:val="4BF247DE"/>
    <w:rsid w:val="50A626B1"/>
    <w:rsid w:val="55C31567"/>
    <w:rsid w:val="5A150ADC"/>
    <w:rsid w:val="5D3B5F80"/>
    <w:rsid w:val="620B1689"/>
    <w:rsid w:val="65CF11FD"/>
    <w:rsid w:val="770E428C"/>
    <w:rsid w:val="7F8159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590" w:lineRule="exact"/>
    </w:pPr>
    <w:rPr>
      <w:rFonts w:ascii="Times New Roman" w:hAnsi="Times New Roman" w:eastAsia="仿宋_GB2312" w:cs="Times New Roman"/>
      <w:sz w:val="32"/>
      <w:szCs w:val="24"/>
    </w:rPr>
  </w:style>
  <w:style w:type="paragraph" w:customStyle="1" w:styleId="3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6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方正仿宋_GBK" w:cs="Times New Roman"/>
      <w:kern w:val="2"/>
      <w:sz w:val="32"/>
      <w:szCs w:val="32"/>
      <w:lang w:val="en-US" w:eastAsia="zh-CN" w:bidi="ar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styleId="9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3">
    <w:name w:val="页眉 Char"/>
    <w:basedOn w:val="12"/>
    <w:link w:val="9"/>
    <w:qFormat/>
    <w:uiPriority w:val="0"/>
    <w:rPr>
      <w:rFonts w:hint="default" w:ascii="Calibri" w:hAnsi="Calibri" w:eastAsia="宋体" w:cs="Times New Roman"/>
      <w:kern w:val="2"/>
      <w:sz w:val="18"/>
      <w:szCs w:val="24"/>
    </w:rPr>
  </w:style>
  <w:style w:type="character" w:customStyle="1" w:styleId="14">
    <w:name w:val="页脚 Char"/>
    <w:basedOn w:val="12"/>
    <w:link w:val="8"/>
    <w:qFormat/>
    <w:uiPriority w:val="0"/>
    <w:rPr>
      <w:rFonts w:hint="default" w:ascii="Calibri" w:hAnsi="Calibri" w:eastAsia="宋体" w:cs="Times New Roman"/>
      <w:kern w:val="2"/>
      <w:sz w:val="18"/>
      <w:szCs w:val="24"/>
    </w:rPr>
  </w:style>
  <w:style w:type="character" w:customStyle="1" w:styleId="15">
    <w:name w:val="批注框文本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32"/>
    </w:rPr>
  </w:style>
  <w:style w:type="paragraph" w:customStyle="1" w:styleId="1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方正仿宋_GBK"/>
      <w:color w:val="000000"/>
      <w:sz w:val="24"/>
      <w:szCs w:val="24"/>
      <w:lang w:val="en-US" w:eastAsia="zh-CN" w:bidi="ar-SA"/>
    </w:rPr>
  </w:style>
  <w:style w:type="character" w:customStyle="1" w:styleId="18">
    <w:name w:val="15"/>
    <w:basedOn w:val="12"/>
    <w:qFormat/>
    <w:uiPriority w:val="0"/>
    <w:rPr>
      <w:rFonts w:hint="default" w:ascii="Times New Roman" w:hAnsi="Times New Roman" w:cs="Times New Roman"/>
    </w:rPr>
  </w:style>
  <w:style w:type="character" w:customStyle="1" w:styleId="19">
    <w:name w:val="10"/>
    <w:basedOn w:val="12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3892</Words>
  <Characters>3911</Characters>
  <Lines>1</Lines>
  <Paragraphs>1</Paragraphs>
  <TotalTime>4</TotalTime>
  <ScaleCrop>false</ScaleCrop>
  <LinksUpToDate>false</LinksUpToDate>
  <CharactersWithSpaces>3981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2022-06-08T08:48:00Z</dcterms:created>
  <dc:creator>Administrator</dc:creator>
  <cp:lastModifiedBy>cqfjyxw</cp:lastModifiedBy>
  <dcterms:modified xsi:type="dcterms:W3CDTF">2023-05-24T03:12:15Z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4338B75F6A664CC6B37CA4E4AC2FD4BB</vt:lpwstr>
  </property>
</Properties>
</file>