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600" w:lineRule="exact"/>
        <w:jc w:val="center"/>
        <w:rPr>
          <w:rFonts w:ascii="华文中宋" w:hAnsi="华文中宋" w:eastAsia="华文中宋" w:cs="华文中宋"/>
          <w:sz w:val="44"/>
          <w:szCs w:val="44"/>
        </w:rPr>
      </w:pPr>
      <w:r>
        <w:rPr>
          <w:rFonts w:hint="eastAsia" w:ascii="华文中宋" w:hAnsi="华文中宋" w:eastAsia="华文中宋" w:cs="华文中宋"/>
          <w:sz w:val="44"/>
          <w:szCs w:val="44"/>
        </w:rPr>
        <w:t xml:space="preserve"> </w:t>
      </w:r>
    </w:p>
    <w:p>
      <w:pPr>
        <w:spacing w:line="600" w:lineRule="exact"/>
        <w:jc w:val="center"/>
        <w:rPr>
          <w:rFonts w:ascii="华文中宋" w:hAnsi="华文中宋" w:eastAsia="华文中宋" w:cs="华文中宋"/>
          <w:sz w:val="24"/>
          <w:szCs w:val="2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重庆市万州区金融工作办公室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202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3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年部门预算情况说明</w:t>
      </w:r>
    </w:p>
    <w:p>
      <w:pPr>
        <w:spacing w:line="600" w:lineRule="exact"/>
        <w:ind w:firstLine="640" w:firstLineChars="200"/>
        <w:rPr>
          <w:rFonts w:hint="eastAsia" w:ascii="方正黑体_GBK" w:hAnsi="方正黑体_GBK" w:eastAsia="方正黑体_GBK" w:cs="方正黑体_GBK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一、单位基本情况</w:t>
      </w:r>
    </w:p>
    <w:p>
      <w:pPr>
        <w:spacing w:line="600" w:lineRule="exact"/>
        <w:ind w:firstLine="640" w:firstLineChars="200"/>
        <w:rPr>
          <w:rFonts w:ascii="方正楷体_GBK" w:hAnsi="方正楷体_GBK" w:eastAsia="方正楷体_GBK" w:cs="方正楷体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（一）职能职责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rPr>
          <w:rFonts w:hint="eastAsia" w:ascii="方正仿宋_GBK" w:hAnsi="仿宋_GB2312" w:eastAsia="方正仿宋_GBK" w:cs="仿宋_GB2312"/>
          <w:sz w:val="32"/>
        </w:rPr>
      </w:pPr>
      <w:r>
        <w:rPr>
          <w:rFonts w:hint="eastAsia" w:ascii="方正仿宋_GBK" w:hAnsi="仿宋_GB2312" w:eastAsia="方正仿宋_GBK" w:cs="仿宋_GB2312"/>
          <w:sz w:val="32"/>
        </w:rPr>
        <w:t>1.贯彻执行有关金融工作的方针政策和法律、法规、规章，提出我区金融工作措施并组织实施。拟订全区金融业发展规划并组织实施。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rPr>
          <w:rFonts w:hint="eastAsia" w:ascii="方正仿宋_GBK" w:hAnsi="仿宋_GB2312" w:eastAsia="方正仿宋_GBK" w:cs="仿宋_GB2312"/>
          <w:sz w:val="32"/>
        </w:rPr>
      </w:pPr>
      <w:r>
        <w:rPr>
          <w:rFonts w:hint="eastAsia" w:ascii="方正仿宋_GBK" w:hAnsi="仿宋_GB2312" w:eastAsia="方正仿宋_GBK" w:cs="仿宋_GB2312"/>
          <w:sz w:val="32"/>
        </w:rPr>
        <w:t>2.协助市金融监管局对小额贷款公司、融资担保公司、区域性股权市场、典当行、融资租赁公司、商业保理公司、地方资产管理公司、金融要素市场等开展相关管理工作。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rPr>
          <w:rFonts w:hint="eastAsia" w:ascii="方正仿宋_GBK" w:hAnsi="仿宋_GB2312" w:eastAsia="方正仿宋_GBK" w:cs="仿宋_GB2312"/>
          <w:sz w:val="32"/>
        </w:rPr>
      </w:pPr>
      <w:r>
        <w:rPr>
          <w:rFonts w:hint="eastAsia" w:ascii="方正仿宋_GBK" w:hAnsi="仿宋_GB2312" w:eastAsia="方正仿宋_GBK" w:cs="仿宋_GB2312"/>
          <w:sz w:val="32"/>
        </w:rPr>
        <w:t>3.承担牵头应对金融突发事件、开展全区打击非法金融活动的责任。配合中央在万金融监管机构规范和维护地方金融秩序，防范化解金融风险。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rPr>
          <w:rFonts w:hint="eastAsia" w:ascii="方正仿宋_GBK" w:hAnsi="仿宋_GB2312" w:eastAsia="方正仿宋_GBK" w:cs="仿宋_GB2312"/>
          <w:sz w:val="32"/>
        </w:rPr>
      </w:pPr>
      <w:r>
        <w:rPr>
          <w:rFonts w:hint="eastAsia" w:ascii="方正仿宋_GBK" w:hAnsi="仿宋_GB2312" w:eastAsia="方正仿宋_GBK" w:cs="仿宋_GB2312"/>
          <w:sz w:val="32"/>
        </w:rPr>
        <w:t>4.按照属地和分级原则，依法依规履行对地方金融的风险处置责任，负责本行政区域内非法金融活动的防范和处置。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rPr>
          <w:rFonts w:hint="eastAsia" w:ascii="方正仿宋_GBK" w:hAnsi="仿宋_GB2312" w:eastAsia="方正仿宋_GBK" w:cs="仿宋_GB2312"/>
          <w:sz w:val="32"/>
        </w:rPr>
      </w:pPr>
      <w:r>
        <w:rPr>
          <w:rFonts w:hint="eastAsia" w:ascii="方正仿宋_GBK" w:hAnsi="仿宋_GB2312" w:eastAsia="方正仿宋_GBK" w:cs="仿宋_GB2312"/>
          <w:sz w:val="32"/>
        </w:rPr>
        <w:t>5.协调、引导金融机构为经济社会发展服务。负责拟上市公司的培育、推荐工作，发展多层次资本市场。推动发展普惠金融，改善和强化小微企业金融服务，推进农村金融改革和发展，强化农村金融服务。推动发展金融科技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rPr>
          <w:rFonts w:hint="eastAsia" w:ascii="方正仿宋_GBK" w:hAnsi="仿宋_GB2312" w:eastAsia="方正仿宋_GBK" w:cs="仿宋_GB2312"/>
          <w:sz w:val="32"/>
        </w:rPr>
      </w:pPr>
      <w:r>
        <w:rPr>
          <w:rFonts w:hint="eastAsia" w:ascii="方正仿宋_GBK" w:hAnsi="仿宋_GB2312" w:eastAsia="方正仿宋_GBK" w:cs="仿宋_GB2312"/>
          <w:sz w:val="32"/>
        </w:rPr>
        <w:t>6.营造良好金融生态环境，负责在万金融机构、金融中介机构的联络、协调和服务工作。负责职责范围内金融人才队伍建设工作。</w:t>
      </w:r>
    </w:p>
    <w:p>
      <w:pPr>
        <w:spacing w:line="600" w:lineRule="exact"/>
        <w:ind w:firstLine="640" w:firstLineChars="200"/>
        <w:rPr>
          <w:rFonts w:hint="eastAsia" w:ascii="方正仿宋_GBK" w:hAnsi="仿宋_GB2312" w:eastAsia="方正仿宋_GBK" w:cs="仿宋_GB2312"/>
          <w:sz w:val="32"/>
        </w:rPr>
      </w:pPr>
      <w:r>
        <w:rPr>
          <w:rFonts w:hint="eastAsia" w:ascii="方正仿宋_GBK" w:hAnsi="仿宋_GB2312" w:eastAsia="方正仿宋_GBK" w:cs="仿宋_GB2312"/>
          <w:sz w:val="32"/>
        </w:rPr>
        <w:t>7.完成区委、区政府交办的其他任务。</w:t>
      </w:r>
    </w:p>
    <w:p>
      <w:pPr>
        <w:spacing w:line="600" w:lineRule="exact"/>
        <w:ind w:firstLine="640" w:firstLineChars="200"/>
        <w:rPr>
          <w:rFonts w:ascii="方正楷体_GBK" w:hAnsi="方正楷体_GBK" w:eastAsia="方正楷体_GBK" w:cs="方正楷体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（二）单位构成</w:t>
      </w:r>
    </w:p>
    <w:p>
      <w:pPr>
        <w:numPr>
          <w:ilvl w:val="0"/>
          <w:numId w:val="0"/>
        </w:numPr>
        <w:spacing w:line="600" w:lineRule="exact"/>
        <w:ind w:firstLine="640" w:firstLineChars="200"/>
        <w:jc w:val="both"/>
        <w:rPr>
          <w:rFonts w:hint="eastAsia" w:ascii="方正仿宋_GBK" w:hAnsi="方正仿宋_GBK" w:eastAsia="方正仿宋_GBK" w:cs="方正仿宋_GBK"/>
          <w:sz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lang w:eastAsia="zh-CN"/>
        </w:rPr>
        <w:t>本单位设置综合科、金融发展科、金融稳定科</w:t>
      </w:r>
      <w:r>
        <w:rPr>
          <w:rFonts w:hint="eastAsia" w:ascii="方正仿宋_GBK" w:hAnsi="方正仿宋_GBK" w:eastAsia="方正仿宋_GBK" w:cs="方正仿宋_GBK"/>
          <w:sz w:val="32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sz w:val="32"/>
          <w:lang w:eastAsia="zh-CN"/>
        </w:rPr>
        <w:t>个科室。</w:t>
      </w:r>
    </w:p>
    <w:p>
      <w:pPr>
        <w:numPr>
          <w:ilvl w:val="0"/>
          <w:numId w:val="0"/>
        </w:numPr>
        <w:spacing w:line="600" w:lineRule="exact"/>
        <w:ind w:firstLine="640" w:firstLineChars="200"/>
        <w:jc w:val="both"/>
        <w:rPr>
          <w:rFonts w:hint="eastAsia" w:ascii="方正仿宋_GBK" w:hAnsi="方正仿宋_GBK" w:eastAsia="方正仿宋_GBK" w:cs="方正仿宋_GBK"/>
          <w:sz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lang w:val="en-US" w:eastAsia="zh-CN"/>
        </w:rPr>
        <w:t>1.</w:t>
      </w:r>
      <w:r>
        <w:rPr>
          <w:rFonts w:hint="eastAsia" w:ascii="方正仿宋_GBK" w:hAnsi="方正仿宋_GBK" w:eastAsia="方正仿宋_GBK" w:cs="方正仿宋_GBK"/>
          <w:sz w:val="32"/>
          <w:lang w:eastAsia="zh-CN"/>
        </w:rPr>
        <w:t>综合科。负责机关日常运转工作，承担机关文电、机要、保密、督查、安全保卫、档案、文秘、应急和政务值班、会务、信息宣传、后勤、财务、人事、编制等工作。负责机关的党群工作。负责职责范围内金融人才队伍建设工作。</w:t>
      </w:r>
    </w:p>
    <w:p>
      <w:pPr>
        <w:numPr>
          <w:ilvl w:val="0"/>
          <w:numId w:val="0"/>
        </w:numPr>
        <w:spacing w:line="600" w:lineRule="exact"/>
        <w:ind w:firstLine="640" w:firstLineChars="200"/>
        <w:jc w:val="both"/>
        <w:rPr>
          <w:rFonts w:hint="eastAsia" w:ascii="方正仿宋_GBK" w:hAnsi="方正仿宋_GBK" w:eastAsia="方正仿宋_GBK" w:cs="方正仿宋_GBK"/>
          <w:sz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lang w:val="en-US" w:eastAsia="zh-CN"/>
        </w:rPr>
        <w:t>2.金融发展科。拟定全区金融业发展规划并组织实施。承担区金融工作领导小组的日常工作。</w:t>
      </w:r>
      <w:r>
        <w:rPr>
          <w:rFonts w:hint="eastAsia" w:ascii="方正仿宋_GBK" w:hAnsi="方正仿宋_GBK" w:eastAsia="方正仿宋_GBK" w:cs="方正仿宋_GBK"/>
          <w:sz w:val="32"/>
          <w:lang w:eastAsia="zh-CN"/>
        </w:rPr>
        <w:t>联系服务在万银行业、保险业、证券业机构。指导小额贷款公司、融资担保公司、典当行、融资租赁公司、商业保理公司、地方资产管理公司行业发展，引导金融机构服务实体经济，配合市金融监管局对地方新金融业开展相关管理工作。承担拟上市公司的培育、推荐工作。推进发展金融科技。加强普惠金融、绿色金融服务。</w:t>
      </w:r>
    </w:p>
    <w:p>
      <w:pPr>
        <w:numPr>
          <w:ilvl w:val="0"/>
          <w:numId w:val="0"/>
        </w:numPr>
        <w:spacing w:line="600" w:lineRule="exact"/>
        <w:ind w:firstLine="640" w:firstLineChars="200"/>
        <w:jc w:val="both"/>
        <w:rPr>
          <w:rFonts w:hint="eastAsia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lang w:val="en-US" w:eastAsia="zh-CN"/>
        </w:rPr>
        <w:t>3.金融稳定科（挂信访科牌子）。</w:t>
      </w:r>
      <w:r>
        <w:rPr>
          <w:rFonts w:hint="eastAsia" w:ascii="方正仿宋_GBK" w:hAnsi="方正仿宋_GBK" w:eastAsia="方正仿宋_GBK" w:cs="方正仿宋_GBK"/>
          <w:sz w:val="32"/>
          <w:lang w:eastAsia="zh-CN"/>
        </w:rPr>
        <w:t>按照属地和分级原则，依法依规履行对地方金融的风险处置责任，负责本行政区域内非法金融活动的防范和处置。承担区打击非法金融活动领导小组的日常工作，贯彻落实打击非法金融活动规章制度，牵头制定打击非法金融活动各项机制。牵头制定实施全区金融安全事件应急预案。牵头负责地方金融领域信访维稳工作。</w:t>
      </w:r>
    </w:p>
    <w:p>
      <w:pPr>
        <w:spacing w:line="600" w:lineRule="exact"/>
        <w:ind w:firstLine="640" w:firstLineChars="200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二、部门收支总体情况</w:t>
      </w:r>
    </w:p>
    <w:p>
      <w:pPr>
        <w:spacing w:line="60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（一）收入预算：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202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年年初预算数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541.50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万元，其中：一般公共预算财政拨款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541.50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万元，上年结转收入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0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万元。收入预算较上年增加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49.47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万元，主要是一般公共预算财政拨款较上年增加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49.47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万元，上年结转收入较上年增加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0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万元。</w:t>
      </w:r>
    </w:p>
    <w:p>
      <w:pPr>
        <w:spacing w:line="60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（二）支出预算：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202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年年初预算数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541.50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万元，其中：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eastAsia="zh-CN"/>
        </w:rPr>
        <w:t>一般公共服务支出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136.17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  <w:t>万元，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公共</w:t>
      </w:r>
      <w:r>
        <w:rPr>
          <w:rFonts w:ascii="方正仿宋_GBK" w:hAnsi="方正仿宋_GBK" w:eastAsia="方正仿宋_GBK" w:cs="方正仿宋_GBK"/>
          <w:sz w:val="32"/>
          <w:szCs w:val="32"/>
        </w:rPr>
        <w:t>安全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支出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0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万元，社会保障和就业支出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24.12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万元，卫生健康支出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7.81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万元，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金融支出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360万元，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住房保障支出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13.4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万元。支出预算较上年增加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49.47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万元，主要是基本支出预算增加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55.47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万元，项目支出预算减少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6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万元。</w:t>
      </w:r>
    </w:p>
    <w:p>
      <w:pPr>
        <w:spacing w:line="600" w:lineRule="exact"/>
        <w:ind w:firstLine="640" w:firstLineChars="200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三、部门预算情况说明</w:t>
      </w:r>
    </w:p>
    <w:p>
      <w:pPr>
        <w:spacing w:line="60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202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年一般公共预算财政拨款收入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541.5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万元，一般公共预算财政拨款支出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541.5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万元，比上年增加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49.47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万元，其中：基本支出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181.5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万元，比上年增加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55.47万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元，主要原因是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预算口径变化，健康休养费、年度考核等纳入年初预算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，主要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用于保障在职人员工资福利、商品和服务支出及社会保险缴费；项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目支出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360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万元，比上年减少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6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万元，主要原因是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三个项目预算支出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减少，主要用于巨灾保险、严重精神障碍患者监护人责任险、金融协调工作、地方金融监管等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重庆市万州区金融工作办公室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202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年未使用政府性基金预算拨款安排的支出，与上年保持一致。 </w:t>
      </w:r>
    </w:p>
    <w:p>
      <w:pPr>
        <w:spacing w:line="600" w:lineRule="exact"/>
        <w:ind w:firstLine="640" w:firstLineChars="200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四、“三公”经费情况说明</w:t>
      </w:r>
    </w:p>
    <w:p>
      <w:pPr>
        <w:spacing w:line="600" w:lineRule="exact"/>
        <w:ind w:firstLine="6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202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年“三公”经费预算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1.3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万元，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与上年一致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，其中：因公出国（境）费用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0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万元，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与上年一致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，主要原因是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我单位无因公出国（境）计划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；公务接待费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1.3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万元，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与上年一致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，主要原因是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保证“三公”经费不增加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；公务用车运行维护费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0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万元，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与上年一致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，主要原因是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我单位无公车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；公务用车购置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0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万元，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与上年一致，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主要原因是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我单位无公车购置计划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五、其他重要事项的情况说明</w:t>
      </w:r>
    </w:p>
    <w:p>
      <w:pPr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1.机关运行经费。202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年一般公共预算财政拨款运行经费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23.45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万元，比上年减少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0.54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万元，主要原因为单位在编人员变动。主要用于办公费、印刷费、邮电费、物管费、差旅费、会议费、培训费及其他商品和服务支出等。</w:t>
      </w:r>
    </w:p>
    <w:p>
      <w:pPr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2.政府采购情况。所属各预算单位政府采购预算总额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316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万元，</w:t>
      </w:r>
      <w:r>
        <w:rPr>
          <w:rFonts w:ascii="方正仿宋_GBK" w:hAnsi="方正仿宋_GBK" w:eastAsia="方正仿宋_GBK" w:cs="方正仿宋_GBK"/>
          <w:sz w:val="32"/>
          <w:szCs w:val="32"/>
        </w:rPr>
        <w:t>其中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：政府采购货物预算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0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万元，政府采购工程预算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0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万元，政府采购服务预算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316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万元。一般公共预算拨款政府采购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316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万元，</w:t>
      </w:r>
      <w:r>
        <w:rPr>
          <w:rFonts w:ascii="方正仿宋_GBK" w:hAnsi="方正仿宋_GBK" w:eastAsia="方正仿宋_GBK" w:cs="方正仿宋_GBK"/>
          <w:sz w:val="32"/>
          <w:szCs w:val="32"/>
        </w:rPr>
        <w:t>其中：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政府采购货物预算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0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万元，政府采购工程预算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0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万元，政府采购服务预算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316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万元。</w:t>
      </w:r>
    </w:p>
    <w:p>
      <w:pPr>
        <w:ind w:left="105" w:leftChars="50" w:firstLine="480" w:firstLineChars="15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3.绩效目标设置情况。202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年项目支出均实行了绩效目标管理，涉及一般公共预算当年财政拨款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360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万元。</w:t>
      </w:r>
    </w:p>
    <w:p>
      <w:pPr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4.国有资产占有使用情况。截止202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年12月，所属各预算单位共有车辆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0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辆，其中一般公务用车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0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辆，202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年一般公共预算安排购置车辆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0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辆，其中一般公务用车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0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辆，执法执勤用车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0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辆。</w:t>
      </w:r>
    </w:p>
    <w:p>
      <w:pPr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部门预算公开联系人：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梁腾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 联系方式：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58118359</w:t>
      </w:r>
      <w:r>
        <w:rPr>
          <w:rFonts w:ascii="方正仿宋_GBK" w:hAnsi="方正仿宋_GBK" w:eastAsia="方正仿宋_GBK" w:cs="方正仿宋_GBK"/>
          <w:sz w:val="32"/>
          <w:szCs w:val="32"/>
        </w:rPr>
        <w:t xml:space="preserve"> </w:t>
      </w:r>
    </w:p>
    <w:sectPr>
      <w:pgSz w:w="11906" w:h="16838"/>
      <w:pgMar w:top="1440" w:right="1440" w:bottom="144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楷体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QyZDc2MWUzY2M3NzA2NzlkZjFiZmVmMjEwNjNkNzMifQ=="/>
  </w:docVars>
  <w:rsids>
    <w:rsidRoot w:val="00B25CF0"/>
    <w:rsid w:val="000065FF"/>
    <w:rsid w:val="00025D49"/>
    <w:rsid w:val="000E6986"/>
    <w:rsid w:val="000E7A86"/>
    <w:rsid w:val="00104156"/>
    <w:rsid w:val="001C295B"/>
    <w:rsid w:val="001F62A7"/>
    <w:rsid w:val="00201E27"/>
    <w:rsid w:val="00295D2E"/>
    <w:rsid w:val="002F0B32"/>
    <w:rsid w:val="00315FF1"/>
    <w:rsid w:val="00326B00"/>
    <w:rsid w:val="00357D5D"/>
    <w:rsid w:val="00366915"/>
    <w:rsid w:val="003C56C2"/>
    <w:rsid w:val="003F3271"/>
    <w:rsid w:val="00412B49"/>
    <w:rsid w:val="0048380D"/>
    <w:rsid w:val="005124F3"/>
    <w:rsid w:val="00562209"/>
    <w:rsid w:val="005A5BC6"/>
    <w:rsid w:val="006E66F0"/>
    <w:rsid w:val="00746575"/>
    <w:rsid w:val="0075644E"/>
    <w:rsid w:val="0076031D"/>
    <w:rsid w:val="00825E43"/>
    <w:rsid w:val="00892B61"/>
    <w:rsid w:val="009027F8"/>
    <w:rsid w:val="009A024E"/>
    <w:rsid w:val="009C0C1E"/>
    <w:rsid w:val="00A85988"/>
    <w:rsid w:val="00AB4CBD"/>
    <w:rsid w:val="00AF7912"/>
    <w:rsid w:val="00B25CF0"/>
    <w:rsid w:val="00B67C25"/>
    <w:rsid w:val="00BA6131"/>
    <w:rsid w:val="00BB7769"/>
    <w:rsid w:val="00C264FA"/>
    <w:rsid w:val="00CB5754"/>
    <w:rsid w:val="00CC1EFB"/>
    <w:rsid w:val="00CC6777"/>
    <w:rsid w:val="00D17EA8"/>
    <w:rsid w:val="00DE312C"/>
    <w:rsid w:val="00E10E1B"/>
    <w:rsid w:val="00E4250B"/>
    <w:rsid w:val="00E438FD"/>
    <w:rsid w:val="00E83EC4"/>
    <w:rsid w:val="00F07238"/>
    <w:rsid w:val="00F35787"/>
    <w:rsid w:val="00F602BE"/>
    <w:rsid w:val="00FE3041"/>
    <w:rsid w:val="09203474"/>
    <w:rsid w:val="0A62440C"/>
    <w:rsid w:val="15204125"/>
    <w:rsid w:val="1FC93D27"/>
    <w:rsid w:val="34560C12"/>
    <w:rsid w:val="497E0F57"/>
    <w:rsid w:val="6706672D"/>
    <w:rsid w:val="6C7812C6"/>
    <w:rsid w:val="709E0320"/>
    <w:rsid w:val="7DA42D0D"/>
    <w:rsid w:val="7F3B0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576" w:lineRule="auto"/>
      <w:outlineLvl w:val="0"/>
    </w:pPr>
    <w:rPr>
      <w:b/>
      <w:bCs/>
      <w:kern w:val="44"/>
      <w:sz w:val="44"/>
      <w:szCs w:val="44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9"/>
    <w:qFormat/>
    <w:uiPriority w:val="0"/>
    <w:rPr>
      <w:sz w:val="18"/>
      <w:szCs w:val="18"/>
    </w:rPr>
  </w:style>
  <w:style w:type="paragraph" w:styleId="4">
    <w:name w:val="footer"/>
    <w:basedOn w:val="1"/>
    <w:link w:val="11"/>
    <w:qFormat/>
    <w:uiPriority w:val="0"/>
    <w:pPr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9">
    <w:name w:val="批注框文本 字符"/>
    <w:link w:val="3"/>
    <w:qFormat/>
    <w:uiPriority w:val="0"/>
    <w:rPr>
      <w:kern w:val="2"/>
      <w:sz w:val="18"/>
      <w:szCs w:val="18"/>
    </w:rPr>
  </w:style>
  <w:style w:type="character" w:customStyle="1" w:styleId="10">
    <w:name w:val="页眉 字符"/>
    <w:link w:val="5"/>
    <w:qFormat/>
    <w:uiPriority w:val="0"/>
    <w:rPr>
      <w:kern w:val="2"/>
      <w:sz w:val="18"/>
      <w:szCs w:val="18"/>
    </w:rPr>
  </w:style>
  <w:style w:type="character" w:customStyle="1" w:styleId="11">
    <w:name w:val="页脚 字符"/>
    <w:link w:val="4"/>
    <w:qFormat/>
    <w:uiPriority w:val="0"/>
    <w:rPr>
      <w:kern w:val="2"/>
      <w:sz w:val="18"/>
      <w:szCs w:val="18"/>
    </w:rPr>
  </w:style>
  <w:style w:type="paragraph" w:styleId="12">
    <w:name w:val="List Paragraph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1920</Words>
  <Characters>2067</Characters>
  <Lines>8</Lines>
  <Paragraphs>2</Paragraphs>
  <TotalTime>1</TotalTime>
  <ScaleCrop>false</ScaleCrop>
  <LinksUpToDate>false</LinksUpToDate>
  <CharactersWithSpaces>2073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2021-12-14T03:09:00Z</dcterms:created>
  <dc:creator>Administrator</dc:creator>
  <cp:lastModifiedBy>Administrator</cp:lastModifiedBy>
  <cp:lastPrinted>2023-01-06T03:26:00Z</cp:lastPrinted>
  <dcterms:modified xsi:type="dcterms:W3CDTF">2023-03-17T02:43:50Z</dcterms:modified>
  <cp:revision>52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9FBE35CD168246C1BBB8BBD766E94371</vt:lpwstr>
  </property>
</Properties>
</file>