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重庆市万州区国有资产监督管理委员会</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Cs/>
          <w:color w:val="auto"/>
          <w:sz w:val="44"/>
          <w:szCs w:val="44"/>
          <w:u w:val="none"/>
          <w:lang w:eastAsia="zh-CN"/>
        </w:rPr>
      </w:pPr>
      <w:r>
        <w:rPr>
          <w:rFonts w:hint="eastAsia" w:ascii="Times New Roman" w:hAnsi="Times New Roman" w:eastAsia="方正小标宋_GBK" w:cs="Times New Roman"/>
          <w:color w:val="auto"/>
          <w:sz w:val="44"/>
          <w:szCs w:val="44"/>
          <w:u w:val="none"/>
        </w:rPr>
        <w:t>关于印发《</w:t>
      </w:r>
      <w:r>
        <w:rPr>
          <w:rFonts w:hint="eastAsia" w:ascii="方正小标宋_GBK" w:hAnsi="方正小标宋_GBK" w:eastAsia="方正小标宋_GBK" w:cs="方正小标宋_GBK"/>
          <w:bCs/>
          <w:color w:val="auto"/>
          <w:sz w:val="44"/>
          <w:szCs w:val="44"/>
          <w:u w:val="none"/>
          <w:lang w:eastAsia="zh-CN"/>
        </w:rPr>
        <w:t>关于进一步深化区属国有企业</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方正小标宋_GBK" w:cs="Times New Roman"/>
          <w:color w:val="auto"/>
          <w:sz w:val="44"/>
          <w:szCs w:val="44"/>
          <w:u w:val="none"/>
          <w:lang w:eastAsia="zh-CN"/>
        </w:rPr>
      </w:pPr>
      <w:r>
        <w:rPr>
          <w:rFonts w:hint="eastAsia" w:ascii="方正小标宋_GBK" w:hAnsi="方正小标宋_GBK" w:eastAsia="方正小标宋_GBK" w:cs="方正小标宋_GBK"/>
          <w:bCs/>
          <w:color w:val="auto"/>
          <w:sz w:val="44"/>
          <w:szCs w:val="44"/>
          <w:u w:val="none"/>
          <w:lang w:eastAsia="zh-CN"/>
        </w:rPr>
        <w:t>法治建设的实施意见</w:t>
      </w:r>
      <w:r>
        <w:rPr>
          <w:rFonts w:hint="eastAsia" w:ascii="Times New Roman" w:hAnsi="Times New Roman" w:eastAsia="方正小标宋_GBK" w:cs="Times New Roman"/>
          <w:color w:val="auto"/>
          <w:sz w:val="44"/>
          <w:szCs w:val="44"/>
          <w:u w:val="none"/>
        </w:rPr>
        <w:t>》的通知</w:t>
      </w:r>
    </w:p>
    <w:p>
      <w:pPr>
        <w:spacing w:line="520" w:lineRule="exact"/>
        <w:rPr>
          <w:rFonts w:hint="eastAsia" w:ascii="方正仿宋_GBK"/>
          <w:szCs w:val="24"/>
        </w:rPr>
      </w:pPr>
    </w:p>
    <w:p>
      <w:pPr>
        <w:spacing w:line="590" w:lineRule="exact"/>
        <w:jc w:val="center"/>
        <w:rPr>
          <w:rFonts w:hint="eastAsia" w:ascii="Times New Roman" w:hAnsi="Times New Roman" w:eastAsia="方正仿宋_GBK" w:cs="方正小标宋_GBK"/>
          <w:b w:val="0"/>
          <w:bCs w:val="0"/>
          <w:smallCaps w:val="0"/>
          <w:color w:val="auto"/>
          <w:spacing w:val="0"/>
          <w:w w:val="100"/>
          <w:sz w:val="32"/>
          <w:szCs w:val="32"/>
        </w:rPr>
      </w:pPr>
      <w:r>
        <w:rPr>
          <w:rFonts w:hint="default" w:ascii="Times New Roman" w:hAnsi="Times New Roman" w:eastAsia="方正仿宋_GBK" w:cs="Times New Roman"/>
          <w:sz w:val="32"/>
          <w:szCs w:val="32"/>
        </w:rPr>
        <w:t>万州国资</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outlineLvl w:val="9"/>
        <w:rPr>
          <w:rFonts w:hint="eastAsia"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outlineLvl w:val="9"/>
        <w:rPr>
          <w:rFonts w:hint="eastAsia" w:ascii="Times New Roman" w:hAnsi="Times New Roman" w:eastAsia="方正仿宋_GBK" w:cs="Times New Roman"/>
          <w:color w:val="auto"/>
          <w:sz w:val="32"/>
          <w:szCs w:val="32"/>
          <w:u w:val="none"/>
        </w:rPr>
      </w:pPr>
      <w:r>
        <w:rPr>
          <w:rFonts w:hint="eastAsia" w:eastAsia="方正仿宋_GBK" w:cs="Times New Roman"/>
          <w:color w:val="auto"/>
          <w:sz w:val="32"/>
          <w:szCs w:val="32"/>
          <w:u w:val="none"/>
          <w:lang w:eastAsia="zh-CN"/>
        </w:rPr>
        <w:t>区属</w:t>
      </w:r>
      <w:r>
        <w:rPr>
          <w:rFonts w:hint="eastAsia" w:ascii="Times New Roman" w:hAnsi="Times New Roman" w:eastAsia="方正仿宋_GBK" w:cs="Times New Roman"/>
          <w:color w:val="auto"/>
          <w:sz w:val="32"/>
          <w:szCs w:val="32"/>
          <w:u w:val="none"/>
          <w:lang w:eastAsia="zh-CN"/>
        </w:rPr>
        <w:t>国有企业</w:t>
      </w:r>
      <w:r>
        <w:rPr>
          <w:rFonts w:hint="eastAsia"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rPr>
        <w:t>为深入学习贯彻习近平法治思想，认真落实中央全面依法治国战略部署、市委全面依法治市工作安排、区委全面依法治区工</w:t>
      </w:r>
      <w:r>
        <w:rPr>
          <w:rFonts w:hint="eastAsia" w:ascii="Times New Roman" w:hAnsi="Times New Roman" w:eastAsia="方正仿宋_GBK" w:cs="Times New Roman"/>
          <w:color w:val="auto"/>
          <w:spacing w:val="-6"/>
          <w:sz w:val="32"/>
          <w:szCs w:val="32"/>
          <w:u w:val="none"/>
        </w:rPr>
        <w:t>作要求，持续深化区属国有企业法治建设，更好发</w:t>
      </w:r>
      <w:r>
        <w:rPr>
          <w:rFonts w:hint="eastAsia" w:ascii="Times New Roman" w:hAnsi="Times New Roman" w:eastAsia="方正仿宋_GBK" w:cs="Times New Roman"/>
          <w:color w:val="auto"/>
          <w:spacing w:val="-6"/>
          <w:sz w:val="32"/>
          <w:szCs w:val="32"/>
          <w:u w:val="none"/>
          <w:lang w:eastAsia="zh-CN"/>
        </w:rPr>
        <w:t>挥法治工作对</w:t>
      </w:r>
      <w:r>
        <w:rPr>
          <w:rFonts w:hint="default" w:ascii="Times New Roman" w:hAnsi="Times New Roman" w:eastAsia="方正仿宋_GBK" w:cs="Times New Roman"/>
          <w:color w:val="auto"/>
          <w:spacing w:val="-6"/>
          <w:sz w:val="32"/>
          <w:szCs w:val="32"/>
          <w:u w:val="none"/>
          <w:lang w:eastAsia="zh-CN"/>
        </w:rPr>
        <w:t>改革发展的支撑保障作用，区国资委制定了《关于进一步深化区属国有企业法治建设的实施意见》，已经区</w:t>
      </w:r>
      <w:r>
        <w:rPr>
          <w:rFonts w:hint="default" w:ascii="Times New Roman" w:hAnsi="Times New Roman" w:eastAsia="方正仿宋_GBK" w:cs="Times New Roman"/>
          <w:color w:val="auto"/>
          <w:spacing w:val="-6"/>
          <w:sz w:val="32"/>
          <w:szCs w:val="32"/>
          <w:u w:val="none"/>
        </w:rPr>
        <w:t>国资委</w:t>
      </w:r>
      <w:r>
        <w:rPr>
          <w:rFonts w:hint="default" w:ascii="Times New Roman" w:hAnsi="Times New Roman" w:eastAsia="方正仿宋_GBK" w:cs="Times New Roman"/>
          <w:color w:val="auto"/>
          <w:spacing w:val="-6"/>
          <w:sz w:val="32"/>
          <w:szCs w:val="32"/>
          <w:u w:val="none"/>
          <w:lang w:eastAsia="zh-CN"/>
        </w:rPr>
        <w:t>党委</w:t>
      </w:r>
      <w:r>
        <w:rPr>
          <w:rFonts w:hint="default" w:ascii="Times New Roman" w:hAnsi="Times New Roman" w:eastAsia="方正仿宋_GBK" w:cs="Times New Roman"/>
          <w:color w:val="auto"/>
          <w:spacing w:val="-6"/>
          <w:sz w:val="32"/>
          <w:szCs w:val="32"/>
          <w:u w:val="none"/>
          <w:lang w:val="en-US" w:eastAsia="zh-CN"/>
        </w:rPr>
        <w:t>2024年</w:t>
      </w:r>
      <w:r>
        <w:rPr>
          <w:rFonts w:hint="default" w:ascii="Times New Roman" w:hAnsi="Times New Roman" w:eastAsia="方正仿宋_GBK" w:cs="Times New Roman"/>
          <w:color w:val="auto"/>
          <w:spacing w:val="-6"/>
          <w:sz w:val="32"/>
          <w:szCs w:val="32"/>
          <w:u w:val="none"/>
        </w:rPr>
        <w:t>第</w:t>
      </w:r>
      <w:r>
        <w:rPr>
          <w:rFonts w:hint="default" w:ascii="Times New Roman" w:hAnsi="Times New Roman" w:eastAsia="方正仿宋_GBK" w:cs="Times New Roman"/>
          <w:color w:val="auto"/>
          <w:spacing w:val="-6"/>
          <w:sz w:val="32"/>
          <w:szCs w:val="32"/>
          <w:u w:val="none"/>
          <w:lang w:val="en-US" w:eastAsia="zh-CN"/>
        </w:rPr>
        <w:t>12</w:t>
      </w:r>
      <w:r>
        <w:rPr>
          <w:rFonts w:hint="default" w:ascii="Times New Roman" w:hAnsi="Times New Roman" w:eastAsia="方正仿宋_GBK" w:cs="Times New Roman"/>
          <w:color w:val="auto"/>
          <w:spacing w:val="-6"/>
          <w:sz w:val="32"/>
          <w:szCs w:val="32"/>
          <w:u w:val="none"/>
        </w:rPr>
        <w:t>次会议审议通过</w:t>
      </w:r>
      <w:r>
        <w:rPr>
          <w:rFonts w:hint="default" w:ascii="Times New Roman" w:hAnsi="Times New Roman" w:eastAsia="方正仿宋_GBK" w:cs="Times New Roman"/>
          <w:color w:val="auto"/>
          <w:spacing w:val="-6"/>
          <w:sz w:val="32"/>
          <w:szCs w:val="32"/>
          <w:u w:val="none"/>
          <w:lang w:eastAsia="zh-CN"/>
        </w:rPr>
        <w:t>，现印发给你们，请按照法定程序认真贯彻</w:t>
      </w:r>
      <w:r>
        <w:rPr>
          <w:rFonts w:hint="default" w:ascii="Times New Roman" w:hAnsi="Times New Roman" w:eastAsia="方正仿宋_GBK" w:cs="Times New Roman"/>
          <w:color w:val="auto"/>
          <w:sz w:val="32"/>
          <w:szCs w:val="32"/>
          <w:u w:val="none"/>
          <w:lang w:eastAsia="zh-CN"/>
        </w:rPr>
        <w:t>落实。</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center"/>
        <w:textAlignment w:val="auto"/>
        <w:outlineLvl w:val="9"/>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center"/>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 w:eastAsia="zh-CN"/>
        </w:rPr>
        <w:t xml:space="preserve">     </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重庆市万州区国有资产监督管理委员会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xml:space="preserve">  </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 w:eastAsia="zh-CN"/>
        </w:rPr>
        <w:t xml:space="preserve">  </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 w:eastAsia="zh-CN"/>
        </w:rPr>
        <w:t xml:space="preserve">   </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202</w:t>
      </w: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年</w:t>
      </w:r>
      <w:r>
        <w:rPr>
          <w:rFonts w:hint="default" w:ascii="Times New Roman" w:hAnsi="Times New Roman" w:eastAsia="方正仿宋_GBK" w:cs="Times New Roman"/>
          <w:color w:val="auto"/>
          <w:sz w:val="32"/>
          <w:szCs w:val="32"/>
          <w:u w:val="none"/>
          <w:lang w:val="en-US" w:eastAsia="zh-CN"/>
        </w:rPr>
        <w:t>7</w:t>
      </w:r>
      <w:r>
        <w:rPr>
          <w:rFonts w:hint="default" w:ascii="Times New Roman" w:hAnsi="Times New Roman" w:eastAsia="方正仿宋_GBK" w:cs="Times New Roman"/>
          <w:color w:val="auto"/>
          <w:sz w:val="32"/>
          <w:szCs w:val="32"/>
          <w:u w:val="none"/>
        </w:rPr>
        <w:t>月</w:t>
      </w:r>
      <w:r>
        <w:rPr>
          <w:rFonts w:hint="default" w:ascii="Times New Roman" w:hAnsi="Times New Roman" w:eastAsia="方正仿宋_GBK" w:cs="Times New Roman"/>
          <w:color w:val="auto"/>
          <w:sz w:val="32"/>
          <w:szCs w:val="32"/>
          <w:u w:val="none"/>
          <w:lang w:val="en-US" w:eastAsia="zh-CN"/>
        </w:rPr>
        <w:t>17</w:t>
      </w:r>
      <w:r>
        <w:rPr>
          <w:rFonts w:hint="default" w:ascii="Times New Roman" w:hAnsi="Times New Roman" w:eastAsia="方正仿宋_GBK" w:cs="Times New Roman"/>
          <w:color w:val="auto"/>
          <w:sz w:val="32"/>
          <w:szCs w:val="32"/>
          <w:u w:val="none"/>
        </w:rPr>
        <w:t>日</w:t>
      </w:r>
    </w:p>
    <w:p>
      <w:pPr>
        <w:pStyle w:val="2"/>
        <w:ind w:firstLine="640" w:firstLineChars="200"/>
        <w:rPr>
          <w:rFonts w:hint="eastAsia"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lang w:eastAsia="zh-CN"/>
        </w:rPr>
        <w:t>（此件公开发布）</w:t>
      </w:r>
    </w:p>
    <w:p>
      <w:pPr>
        <w:rPr>
          <w:rFonts w:hint="default" w:ascii="Times New Roman" w:hAnsi="Times New Roman" w:eastAsia="方正仿宋_GBK" w:cs="Times New Roman"/>
          <w:color w:val="auto"/>
          <w:sz w:val="32"/>
          <w:szCs w:val="32"/>
          <w:u w:val="none"/>
        </w:rPr>
      </w:pPr>
    </w:p>
    <w:p>
      <w:pPr>
        <w:pStyle w:val="2"/>
        <w:rPr>
          <w:rFonts w:hint="default" w:ascii="Times New Roman" w:hAnsi="Times New Roman" w:eastAsia="方正仿宋_GBK" w:cs="Times New Roman"/>
          <w:color w:val="auto"/>
          <w:sz w:val="32"/>
          <w:szCs w:val="32"/>
          <w:u w:val="none"/>
        </w:rPr>
      </w:pPr>
    </w:p>
    <w:p>
      <w:pPr>
        <w:rPr>
          <w:rFonts w:hint="default" w:ascii="Times New Roman" w:hAnsi="Times New Roman" w:eastAsia="方正仿宋_GBK" w:cs="Times New Roman"/>
          <w:color w:val="auto"/>
          <w:sz w:val="32"/>
          <w:szCs w:val="32"/>
          <w:u w:val="none"/>
        </w:rPr>
      </w:pPr>
    </w:p>
    <w:p>
      <w:pPr>
        <w:pStyle w:val="2"/>
        <w:rPr>
          <w:rFonts w:hint="default" w:ascii="Times New Roman" w:hAnsi="Times New Roman" w:eastAsia="方正仿宋_GBK" w:cs="Times New Roman"/>
          <w:color w:val="auto"/>
          <w:sz w:val="32"/>
          <w:szCs w:val="32"/>
          <w:u w:val="none"/>
        </w:rPr>
      </w:pPr>
    </w:p>
    <w:p>
      <w:pPr>
        <w:rPr>
          <w:rFonts w:hint="default" w:ascii="Times New Roman" w:hAnsi="Times New Roman" w:eastAsia="方正仿宋_GBK" w:cs="Times New Roman"/>
          <w:color w:val="auto"/>
          <w:sz w:val="32"/>
          <w:szCs w:val="32"/>
          <w:u w:val="none"/>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关于进一步深化区属国有企业法治建设的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实施意见</w:t>
      </w:r>
    </w:p>
    <w:p>
      <w:pPr>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lang w:eastAsia="zh-CN"/>
        </w:rPr>
      </w:pPr>
      <w:r>
        <w:rPr>
          <w:rFonts w:hint="eastAsia" w:ascii="方正仿宋_GBK" w:hAnsi="方正仿宋_GBK" w:eastAsia="方正仿宋_GBK" w:cs="方正仿宋_GBK"/>
          <w:sz w:val="32"/>
          <w:szCs w:val="32"/>
        </w:rPr>
        <w:t>为深入学习贯彻习近平法治思想，认真落实中央全面依法治</w:t>
      </w:r>
      <w:r>
        <w:rPr>
          <w:rFonts w:hint="default" w:ascii="Times New Roman" w:hAnsi="Times New Roman" w:eastAsia="方正仿宋_GBK" w:cs="Times New Roman"/>
          <w:b w:val="0"/>
          <w:bCs w:val="0"/>
          <w:color w:val="auto"/>
          <w:sz w:val="32"/>
          <w:szCs w:val="32"/>
          <w:u w:val="none"/>
        </w:rPr>
        <w:t>国战略部署、市委全面依法治市工作安排、区委全面依法治区工作要求，持续深化区属国有企业法治建设，更好发挥法治工作对“十四五”时期</w:t>
      </w:r>
      <w:r>
        <w:rPr>
          <w:rFonts w:hint="eastAsia" w:ascii="Times New Roman" w:hAnsi="Times New Roman" w:eastAsia="方正仿宋_GBK" w:cs="Times New Roman"/>
          <w:b w:val="0"/>
          <w:bCs w:val="0"/>
          <w:color w:val="auto"/>
          <w:sz w:val="32"/>
          <w:szCs w:val="32"/>
          <w:u w:val="none"/>
          <w:lang w:eastAsia="zh-CN"/>
        </w:rPr>
        <w:t>区</w:t>
      </w:r>
      <w:r>
        <w:rPr>
          <w:rFonts w:hint="default" w:ascii="Times New Roman" w:hAnsi="Times New Roman" w:eastAsia="方正仿宋_GBK" w:cs="Times New Roman"/>
          <w:b w:val="0"/>
          <w:bCs w:val="0"/>
          <w:color w:val="auto"/>
          <w:sz w:val="32"/>
          <w:szCs w:val="32"/>
          <w:u w:val="none"/>
        </w:rPr>
        <w:t>属国有企业</w:t>
      </w:r>
      <w:r>
        <w:rPr>
          <w:rFonts w:hint="eastAsia" w:ascii="Times New Roman" w:hAnsi="Times New Roman" w:eastAsia="方正仿宋_GBK" w:cs="Times New Roman"/>
          <w:b w:val="0"/>
          <w:bCs w:val="0"/>
          <w:color w:val="auto"/>
          <w:sz w:val="32"/>
          <w:szCs w:val="32"/>
          <w:u w:val="none"/>
          <w:lang w:eastAsia="zh-CN"/>
        </w:rPr>
        <w:t>（以下简称企业）</w:t>
      </w:r>
      <w:r>
        <w:rPr>
          <w:rFonts w:hint="default" w:ascii="Times New Roman" w:hAnsi="Times New Roman" w:eastAsia="方正仿宋_GBK" w:cs="Times New Roman"/>
          <w:b w:val="0"/>
          <w:bCs w:val="0"/>
          <w:color w:val="auto"/>
          <w:sz w:val="32"/>
          <w:szCs w:val="32"/>
          <w:u w:val="none"/>
        </w:rPr>
        <w:t>改革发展的支撑保障作用，根据《法治中国建设规划（2020—2025年）》《法治社会建设实施纲要（2020—2025年）》，以及国务院国资委《关于加强地方国有企业法治建设的指导意见》（国资</w:t>
      </w:r>
      <w:r>
        <w:rPr>
          <w:rFonts w:hint="eastAsia" w:ascii="Times New Roman" w:hAnsi="Times New Roman" w:eastAsia="方正仿宋_GBK" w:cs="Times New Roman"/>
          <w:b w:val="0"/>
          <w:bCs w:val="0"/>
          <w:color w:val="auto"/>
          <w:sz w:val="32"/>
          <w:szCs w:val="32"/>
          <w:u w:val="none"/>
          <w:lang w:eastAsia="zh-CN"/>
        </w:rPr>
        <w:t>发</w:t>
      </w:r>
      <w:r>
        <w:rPr>
          <w:rFonts w:hint="default" w:ascii="Times New Roman" w:hAnsi="Times New Roman" w:eastAsia="方正仿宋_GBK" w:cs="Times New Roman"/>
          <w:b w:val="0"/>
          <w:bCs w:val="0"/>
          <w:color w:val="auto"/>
          <w:sz w:val="32"/>
          <w:szCs w:val="32"/>
          <w:u w:val="none"/>
        </w:rPr>
        <w:t>法规〔2022〕10号），参照市国资委《关于印发〈关于进一步深化市属国有重点企业法治建设的实施意见〉的通知》（渝国资发〔2022〕7号）</w:t>
      </w:r>
      <w:r>
        <w:rPr>
          <w:rFonts w:hint="eastAsia" w:ascii="Times New Roman" w:hAnsi="Times New Roman" w:eastAsia="方正仿宋_GBK" w:cs="Times New Roman"/>
          <w:b w:val="0"/>
          <w:bCs w:val="0"/>
          <w:color w:val="auto"/>
          <w:sz w:val="32"/>
          <w:szCs w:val="32"/>
          <w:u w:val="none"/>
          <w:lang w:eastAsia="zh-CN"/>
        </w:rPr>
        <w:t>等文件</w:t>
      </w:r>
      <w:r>
        <w:rPr>
          <w:rFonts w:hint="default" w:ascii="Times New Roman" w:hAnsi="Times New Roman" w:eastAsia="方正仿宋_GBK" w:cs="Times New Roman"/>
          <w:b w:val="0"/>
          <w:bCs w:val="0"/>
          <w:color w:val="auto"/>
          <w:sz w:val="32"/>
          <w:szCs w:val="32"/>
          <w:u w:val="none"/>
        </w:rPr>
        <w:t>精神，</w:t>
      </w:r>
      <w:r>
        <w:rPr>
          <w:rFonts w:hint="default" w:ascii="Times New Roman" w:hAnsi="Times New Roman" w:eastAsia="方正仿宋_GBK" w:cs="Times New Roman"/>
          <w:b w:val="0"/>
          <w:bCs w:val="0"/>
          <w:color w:val="auto"/>
          <w:sz w:val="32"/>
          <w:szCs w:val="32"/>
          <w:u w:val="none"/>
          <w:lang w:eastAsia="zh-CN"/>
        </w:rPr>
        <w:t>现就进一步做好</w:t>
      </w:r>
      <w:r>
        <w:rPr>
          <w:rFonts w:hint="eastAsia" w:ascii="Times New Roman" w:hAnsi="Times New Roman" w:eastAsia="方正仿宋_GBK" w:cs="Times New Roman"/>
          <w:b w:val="0"/>
          <w:bCs w:val="0"/>
          <w:color w:val="auto"/>
          <w:sz w:val="32"/>
          <w:szCs w:val="32"/>
          <w:u w:val="none"/>
          <w:lang w:eastAsia="zh-CN"/>
        </w:rPr>
        <w:t>企业</w:t>
      </w:r>
      <w:r>
        <w:rPr>
          <w:rFonts w:hint="default" w:ascii="Times New Roman" w:hAnsi="Times New Roman" w:eastAsia="方正仿宋_GBK" w:cs="Times New Roman"/>
          <w:b w:val="0"/>
          <w:bCs w:val="0"/>
          <w:color w:val="auto"/>
          <w:sz w:val="32"/>
          <w:szCs w:val="32"/>
          <w:u w:val="none"/>
          <w:lang w:eastAsia="zh-CN"/>
        </w:rPr>
        <w:t>法治工作提出如下意见。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auto"/>
          <w:sz w:val="32"/>
          <w:szCs w:val="32"/>
          <w:u w:val="none"/>
          <w:vertAlign w:val="baseline"/>
        </w:rPr>
      </w:pPr>
      <w:r>
        <w:rPr>
          <w:rFonts w:hint="eastAsia" w:ascii="方正黑体_GBK" w:hAnsi="方正黑体_GBK" w:eastAsia="方正黑体_GBK" w:cs="方正黑体_GBK"/>
          <w:color w:val="auto"/>
          <w:sz w:val="32"/>
          <w:szCs w:val="32"/>
          <w:u w:val="none"/>
          <w:vertAlign w:val="baseline"/>
        </w:rPr>
        <w:t>一</w:t>
      </w:r>
      <w:r>
        <w:rPr>
          <w:rFonts w:hint="eastAsia" w:ascii="方正黑体_GBK" w:hAnsi="方正黑体_GBK" w:eastAsia="方正黑体_GBK" w:cs="方正黑体_GBK"/>
          <w:color w:val="auto"/>
          <w:sz w:val="32"/>
          <w:szCs w:val="32"/>
          <w:u w:val="none"/>
          <w:vertAlign w:val="baseline"/>
          <w:lang w:eastAsia="zh-CN"/>
        </w:rPr>
        <w:t>、</w:t>
      </w:r>
      <w:r>
        <w:rPr>
          <w:rFonts w:hint="eastAsia" w:ascii="方正黑体_GBK" w:hAnsi="方正黑体_GBK" w:eastAsia="方正黑体_GBK" w:cs="方正黑体_GBK"/>
          <w:color w:val="auto"/>
          <w:sz w:val="32"/>
          <w:szCs w:val="32"/>
          <w:u w:val="none"/>
        </w:rPr>
        <w:t>总体要求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vertAlign w:val="baseline"/>
        </w:rPr>
      </w:pPr>
      <w:r>
        <w:rPr>
          <w:rFonts w:hint="eastAsia" w:ascii="方正楷体_GBK" w:hAnsi="方正楷体_GBK" w:eastAsia="方正楷体_GBK" w:cs="方正楷体_GBK"/>
          <w:color w:val="auto"/>
          <w:sz w:val="32"/>
          <w:szCs w:val="32"/>
          <w:u w:val="none"/>
          <w:vertAlign w:val="baseline"/>
          <w:lang w:val="en-US" w:eastAsia="zh-CN"/>
        </w:rPr>
        <w:t>（一）</w:t>
      </w:r>
      <w:r>
        <w:rPr>
          <w:rFonts w:hint="eastAsia" w:ascii="方正楷体_GBK" w:hAnsi="方正楷体_GBK" w:eastAsia="方正楷体_GBK" w:cs="方正楷体_GBK"/>
          <w:color w:val="auto"/>
          <w:sz w:val="32"/>
          <w:szCs w:val="32"/>
          <w:u w:val="none"/>
          <w:vertAlign w:val="baseline"/>
        </w:rPr>
        <w:t>指导思想。</w:t>
      </w:r>
      <w:r>
        <w:rPr>
          <w:rFonts w:hint="default" w:ascii="Times New Roman" w:hAnsi="Times New Roman" w:eastAsia="方正仿宋_GBK" w:cs="Times New Roman"/>
          <w:color w:val="auto"/>
          <w:sz w:val="32"/>
          <w:szCs w:val="32"/>
          <w:u w:val="none"/>
          <w:vertAlign w:val="baseline"/>
        </w:rPr>
        <w:t>坚持以习近平新时代中国特色社会主义思想为指导，认真落实习近平法治思想，深入贯彻党的二十大和二十届二中全会精神，按照</w:t>
      </w:r>
      <w:r>
        <w:rPr>
          <w:rFonts w:hint="default" w:ascii="Times New Roman" w:hAnsi="Times New Roman" w:eastAsia="方正仿宋_GBK" w:cs="Times New Roman"/>
          <w:color w:val="auto"/>
          <w:sz w:val="32"/>
          <w:szCs w:val="32"/>
          <w:u w:val="none"/>
          <w:lang w:eastAsia="zh-CN"/>
        </w:rPr>
        <w:t>中央全面依法治国战略部署、市委全面依法治市工作安排、区委全面依法治区工作</w:t>
      </w:r>
      <w:r>
        <w:rPr>
          <w:rFonts w:hint="eastAsia" w:ascii="Times New Roman" w:hAnsi="Times New Roman" w:eastAsia="方正仿宋_GBK" w:cs="Times New Roman"/>
          <w:color w:val="auto"/>
          <w:sz w:val="32"/>
          <w:szCs w:val="32"/>
          <w:u w:val="none"/>
          <w:lang w:eastAsia="zh-CN"/>
        </w:rPr>
        <w:t>要求</w:t>
      </w:r>
      <w:r>
        <w:rPr>
          <w:rFonts w:hint="default" w:ascii="Times New Roman" w:hAnsi="Times New Roman" w:eastAsia="方正仿宋_GBK" w:cs="Times New Roman"/>
          <w:color w:val="auto"/>
          <w:sz w:val="32"/>
          <w:szCs w:val="32"/>
          <w:u w:val="none"/>
          <w:vertAlign w:val="baseline"/>
        </w:rPr>
        <w:t>，立足新发展阶段，贯彻新发展理念，构建新发展格局，</w:t>
      </w:r>
      <w:r>
        <w:rPr>
          <w:rFonts w:hint="default" w:ascii="Times New Roman" w:hAnsi="Times New Roman" w:eastAsia="方正仿宋_GBK" w:cs="Times New Roman"/>
          <w:color w:val="auto"/>
          <w:sz w:val="32"/>
          <w:szCs w:val="32"/>
          <w:u w:val="none"/>
          <w:vertAlign w:val="baseline"/>
          <w:lang w:eastAsia="zh-CN"/>
        </w:rPr>
        <w:t>紧紧围绕</w:t>
      </w:r>
      <w:r>
        <w:rPr>
          <w:rFonts w:hint="eastAsia" w:ascii="Times New Roman" w:hAnsi="Times New Roman" w:eastAsia="方正仿宋_GBK" w:cs="Times New Roman"/>
          <w:color w:val="auto"/>
          <w:sz w:val="32"/>
          <w:szCs w:val="32"/>
          <w:u w:val="none"/>
          <w:vertAlign w:val="baseline"/>
          <w:lang w:eastAsia="zh-CN"/>
        </w:rPr>
        <w:t>国企改革提效增能行动和</w:t>
      </w:r>
      <w:r>
        <w:rPr>
          <w:rFonts w:hint="default" w:ascii="Times New Roman" w:hAnsi="Times New Roman" w:eastAsia="方正仿宋_GBK" w:cs="Times New Roman"/>
          <w:color w:val="auto"/>
          <w:sz w:val="32"/>
          <w:szCs w:val="32"/>
          <w:u w:val="none"/>
          <w:vertAlign w:val="baseline"/>
          <w:lang w:eastAsia="zh-CN"/>
        </w:rPr>
        <w:t>企业“合规</w:t>
      </w:r>
      <w:r>
        <w:rPr>
          <w:rFonts w:hint="eastAsia" w:ascii="Times New Roman" w:hAnsi="Times New Roman" w:eastAsia="方正仿宋_GBK" w:cs="Times New Roman"/>
          <w:color w:val="auto"/>
          <w:sz w:val="32"/>
          <w:szCs w:val="32"/>
          <w:u w:val="none"/>
          <w:vertAlign w:val="baseline"/>
          <w:lang w:eastAsia="zh-CN"/>
        </w:rPr>
        <w:t>管理提升年</w:t>
      </w:r>
      <w:r>
        <w:rPr>
          <w:rFonts w:hint="default" w:ascii="Times New Roman" w:hAnsi="Times New Roman" w:eastAsia="方正仿宋_GBK" w:cs="Times New Roman"/>
          <w:color w:val="auto"/>
          <w:sz w:val="32"/>
          <w:szCs w:val="32"/>
          <w:u w:val="none"/>
          <w:vertAlign w:val="baseline"/>
          <w:lang w:eastAsia="zh-CN"/>
        </w:rPr>
        <w:t>”</w:t>
      </w:r>
      <w:r>
        <w:rPr>
          <w:rFonts w:hint="eastAsia" w:ascii="Times New Roman" w:hAnsi="Times New Roman" w:eastAsia="方正仿宋_GBK" w:cs="Times New Roman"/>
          <w:color w:val="auto"/>
          <w:sz w:val="32"/>
          <w:szCs w:val="32"/>
          <w:u w:val="none"/>
          <w:vertAlign w:val="baseline"/>
          <w:lang w:eastAsia="zh-CN"/>
        </w:rPr>
        <w:t>工作方案</w:t>
      </w:r>
      <w:r>
        <w:rPr>
          <w:rFonts w:hint="default" w:ascii="Times New Roman" w:hAnsi="Times New Roman" w:eastAsia="方正仿宋_GBK" w:cs="Times New Roman"/>
          <w:color w:val="auto"/>
          <w:sz w:val="32"/>
          <w:szCs w:val="32"/>
          <w:u w:val="none"/>
          <w:vertAlign w:val="baseline"/>
          <w:lang w:eastAsia="zh-CN"/>
        </w:rPr>
        <w:t>，</w:t>
      </w:r>
      <w:r>
        <w:rPr>
          <w:rFonts w:hint="default" w:ascii="Times New Roman" w:hAnsi="Times New Roman" w:eastAsia="方正仿宋_GBK" w:cs="Times New Roman"/>
          <w:color w:val="auto"/>
          <w:sz w:val="32"/>
          <w:szCs w:val="32"/>
          <w:u w:val="none"/>
          <w:vertAlign w:val="baseline"/>
        </w:rPr>
        <w:t>着力健全领导责任体系、依法治理体系、规章制度体系、合规管理体系、工作组织体系，持续提升法治工作引领支撑能力、风险管控能力、涉外保障能力、主动维权能力和数字化管理能力，不断深化治理完善、经营合规、管理规范、守法诚信的法治</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vertAlign w:val="baseline"/>
        </w:rPr>
        <w:t>建设，为加快建设</w:t>
      </w:r>
      <w:r>
        <w:rPr>
          <w:rFonts w:hint="default" w:ascii="Times New Roman" w:hAnsi="Times New Roman" w:eastAsia="方正仿宋_GBK" w:cs="Times New Roman"/>
          <w:color w:val="auto"/>
          <w:sz w:val="32"/>
          <w:szCs w:val="32"/>
          <w:u w:val="none"/>
          <w:vertAlign w:val="baseline"/>
          <w:lang w:eastAsia="zh-CN"/>
        </w:rPr>
        <w:t>具有核心竞争力</w:t>
      </w:r>
      <w:r>
        <w:rPr>
          <w:rFonts w:hint="default" w:ascii="Times New Roman" w:hAnsi="Times New Roman" w:eastAsia="方正仿宋_GBK" w:cs="Times New Roman"/>
          <w:color w:val="auto"/>
          <w:sz w:val="32"/>
          <w:szCs w:val="32"/>
          <w:u w:val="none"/>
          <w:vertAlign w:val="baseline"/>
        </w:rPr>
        <w:t>企业筑牢坚实法治基础。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楷体_GBK" w:hAnsi="方正楷体_GBK" w:eastAsia="方正楷体_GBK" w:cs="方正楷体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（二）</w:t>
      </w:r>
      <w:r>
        <w:rPr>
          <w:rFonts w:hint="eastAsia" w:ascii="方正楷体_GBK" w:hAnsi="方正楷体_GBK" w:eastAsia="方正楷体_GBK" w:cs="方正楷体_GBK"/>
          <w:color w:val="auto"/>
          <w:sz w:val="32"/>
          <w:szCs w:val="32"/>
          <w:u w:val="none"/>
        </w:rPr>
        <w:t>基本原则。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——坚持融入中心、服务大局。以服务</w:t>
      </w:r>
      <w:r>
        <w:rPr>
          <w:rFonts w:hint="default" w:ascii="Times New Roman" w:hAnsi="Times New Roman" w:eastAsia="方正仿宋_GBK" w:cs="Times New Roman"/>
          <w:color w:val="auto"/>
          <w:sz w:val="32"/>
          <w:szCs w:val="32"/>
          <w:u w:val="none"/>
          <w:lang w:eastAsia="zh-CN"/>
        </w:rPr>
        <w:t>全区战略规划和</w:t>
      </w:r>
      <w:r>
        <w:rPr>
          <w:rFonts w:hint="eastAsia" w:ascii="Times New Roman" w:hAnsi="Times New Roman" w:eastAsia="方正仿宋_GBK" w:cs="Times New Roman"/>
          <w:color w:val="auto"/>
          <w:sz w:val="32"/>
          <w:szCs w:val="32"/>
          <w:u w:val="none"/>
          <w:lang w:eastAsia="zh-CN"/>
        </w:rPr>
        <w:t>助推万州区打赢经济领域“三大改革攻坚战”</w:t>
      </w:r>
      <w:r>
        <w:rPr>
          <w:rFonts w:hint="default" w:ascii="Times New Roman" w:hAnsi="Times New Roman" w:eastAsia="方正仿宋_GBK" w:cs="Times New Roman"/>
          <w:color w:val="auto"/>
          <w:sz w:val="32"/>
          <w:szCs w:val="32"/>
          <w:u w:val="none"/>
        </w:rPr>
        <w:t>为目标，牢固树立全局意识和系统观念，法治工作全面融入完善中国特色现代企业制度、深化混合所有制改革、</w:t>
      </w:r>
      <w:r>
        <w:rPr>
          <w:rFonts w:hint="eastAsia" w:ascii="Times New Roman" w:hAnsi="Times New Roman" w:eastAsia="方正仿宋_GBK" w:cs="Times New Roman"/>
          <w:color w:val="auto"/>
          <w:sz w:val="32"/>
          <w:szCs w:val="32"/>
          <w:u w:val="none"/>
          <w:lang w:eastAsia="zh-CN"/>
        </w:rPr>
        <w:t>开展企业</w:t>
      </w:r>
      <w:r>
        <w:rPr>
          <w:rFonts w:hint="default" w:ascii="Times New Roman" w:hAnsi="Times New Roman" w:eastAsia="方正仿宋_GBK" w:cs="Times New Roman"/>
          <w:color w:val="auto"/>
          <w:sz w:val="32"/>
          <w:szCs w:val="32"/>
          <w:u w:val="none"/>
          <w:vertAlign w:val="baseline"/>
          <w:lang w:eastAsia="zh-CN"/>
        </w:rPr>
        <w:t>“合规</w:t>
      </w:r>
      <w:r>
        <w:rPr>
          <w:rFonts w:hint="eastAsia" w:ascii="Times New Roman" w:hAnsi="Times New Roman" w:eastAsia="方正仿宋_GBK" w:cs="Times New Roman"/>
          <w:color w:val="auto"/>
          <w:sz w:val="32"/>
          <w:szCs w:val="32"/>
          <w:u w:val="none"/>
          <w:vertAlign w:val="baseline"/>
          <w:lang w:eastAsia="zh-CN"/>
        </w:rPr>
        <w:t>管理提升年</w:t>
      </w:r>
      <w:r>
        <w:rPr>
          <w:rFonts w:hint="default" w:ascii="Times New Roman" w:hAnsi="Times New Roman" w:eastAsia="方正仿宋_GBK" w:cs="Times New Roman"/>
          <w:color w:val="auto"/>
          <w:sz w:val="32"/>
          <w:szCs w:val="32"/>
          <w:u w:val="none"/>
          <w:vertAlign w:val="baseline"/>
          <w:lang w:eastAsia="zh-CN"/>
        </w:rPr>
        <w:t>”</w:t>
      </w:r>
      <w:r>
        <w:rPr>
          <w:rFonts w:hint="eastAsia" w:ascii="Times New Roman" w:hAnsi="Times New Roman" w:eastAsia="方正仿宋_GBK" w:cs="Times New Roman"/>
          <w:color w:val="auto"/>
          <w:sz w:val="32"/>
          <w:szCs w:val="32"/>
          <w:u w:val="none"/>
          <w:vertAlign w:val="baseline"/>
          <w:lang w:eastAsia="zh-CN"/>
        </w:rPr>
        <w:t>行动</w:t>
      </w:r>
      <w:r>
        <w:rPr>
          <w:rFonts w:hint="eastAsia" w:ascii="Times New Roman" w:hAnsi="Times New Roman" w:eastAsia="方正仿宋_GBK" w:cs="Times New Roman"/>
          <w:color w:val="auto"/>
          <w:sz w:val="32"/>
          <w:szCs w:val="32"/>
          <w:u w:val="none"/>
          <w:lang w:eastAsia="zh-CN"/>
        </w:rPr>
        <w:t>等</w:t>
      </w:r>
      <w:r>
        <w:rPr>
          <w:rFonts w:hint="default" w:ascii="Times New Roman" w:hAnsi="Times New Roman" w:eastAsia="方正仿宋_GBK" w:cs="Times New Roman"/>
          <w:color w:val="auto"/>
          <w:sz w:val="32"/>
          <w:szCs w:val="32"/>
          <w:u w:val="none"/>
        </w:rPr>
        <w:t>重点任务，充分发挥支撑保障作用。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——坚持完善制度、夯基固本。以强化制度建设为基础，坚持尊法、学法、守法、用法，将行之有效的经验做法，及时转化为企业规章制度，嵌入业务流程，加强制度执行情况监督检查，强化制度刚性约束。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——坚持突出重点、全面深化。以落实法治建设第一责任人职责、健全法律风险防范机制、强化合规管理为重点，坚持问题导向，在做深做细做实上下更大功夫，真正发挥强管理、促经营、防风险、创价值作用。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——坚持勇于创新、拓展升级。以适应市场化、法治化发展需要为方向，结合实际拓宽法治工作领域，探索优化法务管理职能，创新工作方式，加快提升信息化、数字化、智能化水平。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vertAlign w:val="baseline"/>
        </w:rPr>
      </w:pPr>
      <w:r>
        <w:rPr>
          <w:rFonts w:hint="eastAsia" w:ascii="方正楷体_GBK" w:hAnsi="方正楷体_GBK" w:eastAsia="方正楷体_GBK" w:cs="方正楷体_GBK"/>
          <w:color w:val="auto"/>
          <w:sz w:val="32"/>
          <w:szCs w:val="32"/>
          <w:u w:val="none"/>
          <w:lang w:eastAsia="zh-CN"/>
        </w:rPr>
        <w:t>（三）</w:t>
      </w:r>
      <w:r>
        <w:rPr>
          <w:rFonts w:hint="eastAsia" w:ascii="方正楷体_GBK" w:hAnsi="方正楷体_GBK" w:eastAsia="方正楷体_GBK" w:cs="方正楷体_GBK"/>
          <w:color w:val="auto"/>
          <w:sz w:val="32"/>
          <w:szCs w:val="32"/>
          <w:u w:val="none"/>
        </w:rPr>
        <w:t>总体目标。</w:t>
      </w:r>
      <w:r>
        <w:rPr>
          <w:rFonts w:hint="default" w:ascii="Times New Roman" w:hAnsi="Times New Roman" w:eastAsia="方正仿宋_GBK" w:cs="Times New Roman"/>
          <w:color w:val="auto"/>
          <w:sz w:val="32"/>
          <w:szCs w:val="32"/>
          <w:u w:val="none"/>
          <w:vertAlign w:val="baseline"/>
          <w:lang w:eastAsia="zh-CN"/>
        </w:rPr>
        <w:t>到</w:t>
      </w:r>
      <w:r>
        <w:rPr>
          <w:rFonts w:hint="default" w:ascii="Times New Roman" w:hAnsi="Times New Roman" w:eastAsia="方正仿宋_GBK" w:cs="Times New Roman"/>
          <w:color w:val="auto"/>
          <w:sz w:val="32"/>
          <w:szCs w:val="32"/>
          <w:u w:val="none"/>
          <w:vertAlign w:val="baseline"/>
          <w:lang w:val="en-US" w:eastAsia="zh-CN"/>
        </w:rPr>
        <w:t>2025年底</w:t>
      </w:r>
      <w:r>
        <w:rPr>
          <w:rFonts w:hint="default" w:ascii="Times New Roman" w:hAnsi="Times New Roman" w:eastAsia="方正仿宋_GBK" w:cs="Times New Roman"/>
          <w:color w:val="auto"/>
          <w:sz w:val="32"/>
          <w:szCs w:val="32"/>
          <w:u w:val="none"/>
          <w:vertAlign w:val="baseline"/>
        </w:rPr>
        <w:t>，</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vertAlign w:val="baseline"/>
        </w:rPr>
        <w:t>法治理念更加强化、治理机制更加完善、制度体系更加优化、组织机构更加健全、管理方式更加科学、作用发挥更加有效，法治建设取得更大进展，为企业深化改革、高质量发展提供更加有力的支撑保障。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color w:val="auto"/>
          <w:sz w:val="32"/>
          <w:szCs w:val="32"/>
          <w:u w:val="none"/>
          <w:lang w:eastAsia="zh-CN"/>
        </w:rPr>
        <w:t>二、</w:t>
      </w:r>
      <w:r>
        <w:rPr>
          <w:rFonts w:hint="eastAsia" w:ascii="方正黑体_GBK" w:hAnsi="方正黑体_GBK" w:eastAsia="方正黑体_GBK" w:cs="方正黑体_GBK"/>
          <w:color w:val="auto"/>
          <w:sz w:val="32"/>
          <w:szCs w:val="32"/>
          <w:u w:val="none"/>
        </w:rPr>
        <w:t>着力健全法治工作体系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（四）</w:t>
      </w:r>
      <w:r>
        <w:rPr>
          <w:rFonts w:hint="eastAsia" w:ascii="方正楷体_GBK" w:hAnsi="方正楷体_GBK" w:eastAsia="方正楷体_GBK" w:cs="方正楷体_GBK"/>
          <w:color w:val="auto"/>
          <w:sz w:val="32"/>
          <w:szCs w:val="32"/>
          <w:u w:val="none"/>
        </w:rPr>
        <w:t>着力健全领导责任体系。</w:t>
      </w:r>
      <w:r>
        <w:rPr>
          <w:rFonts w:hint="default" w:ascii="Times New Roman" w:hAnsi="Times New Roman" w:eastAsia="方正仿宋_GBK" w:cs="Times New Roman"/>
          <w:color w:val="auto"/>
          <w:sz w:val="32"/>
          <w:szCs w:val="32"/>
          <w:u w:val="none"/>
        </w:rPr>
        <w:t>坚持企业党委对依法治企工作的全面领导，不断完善党委定期专题学法、定期听取工作汇报、干部任前法治谈话、述职必述法</w:t>
      </w:r>
      <w:r>
        <w:rPr>
          <w:rFonts w:hint="eastAsia" w:ascii="Times New Roman" w:hAnsi="Times New Roman" w:eastAsia="方正仿宋_GBK" w:cs="Times New Roman"/>
          <w:color w:val="auto"/>
          <w:sz w:val="32"/>
          <w:szCs w:val="32"/>
          <w:u w:val="none"/>
          <w:lang w:eastAsia="zh-CN"/>
        </w:rPr>
        <w:t>、领导干部应知应会党内法规和国家法律清单</w:t>
      </w:r>
      <w:r>
        <w:rPr>
          <w:rFonts w:hint="default" w:ascii="Times New Roman" w:hAnsi="Times New Roman" w:eastAsia="方正仿宋_GBK" w:cs="Times New Roman"/>
          <w:color w:val="auto"/>
          <w:sz w:val="32"/>
          <w:szCs w:val="32"/>
          <w:u w:val="none"/>
        </w:rPr>
        <w:t>等制度</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切实发挥党委把方向、管大局、</w:t>
      </w:r>
      <w:r>
        <w:rPr>
          <w:rFonts w:hint="default" w:ascii="Times New Roman" w:hAnsi="Times New Roman" w:eastAsia="方正仿宋_GBK" w:cs="Times New Roman"/>
          <w:color w:val="auto"/>
          <w:sz w:val="32"/>
          <w:szCs w:val="32"/>
          <w:u w:val="none"/>
          <w:lang w:eastAsia="zh-CN"/>
        </w:rPr>
        <w:t>促</w:t>
      </w:r>
      <w:r>
        <w:rPr>
          <w:rFonts w:hint="default" w:ascii="Times New Roman" w:hAnsi="Times New Roman" w:eastAsia="方正仿宋_GBK" w:cs="Times New Roman"/>
          <w:color w:val="auto"/>
          <w:sz w:val="32"/>
          <w:szCs w:val="32"/>
          <w:u w:val="none"/>
        </w:rPr>
        <w:t>落实作用。强化董事会定战略、作决策、防风险职能，推进法治建设，把法治建设纳入整体工作统筹谋划，将进展情况作为年度工作报告的重要内容</w:t>
      </w:r>
      <w:r>
        <w:rPr>
          <w:rFonts w:hint="eastAsia" w:ascii="Times New Roman" w:hAnsi="Times New Roman" w:eastAsia="方正仿宋_GBK" w:cs="Times New Roman"/>
          <w:color w:val="auto"/>
          <w:sz w:val="32"/>
          <w:szCs w:val="32"/>
          <w:u w:val="none"/>
          <w:lang w:eastAsia="zh-CN"/>
        </w:rPr>
        <w:t>，组织开展法治理论知识考试和旁听庭审等工作</w:t>
      </w:r>
      <w:r>
        <w:rPr>
          <w:rFonts w:hint="default" w:ascii="Times New Roman" w:hAnsi="Times New Roman" w:eastAsia="方正仿宋_GBK" w:cs="Times New Roman"/>
          <w:color w:val="auto"/>
          <w:sz w:val="32"/>
          <w:szCs w:val="32"/>
          <w:u w:val="none"/>
        </w:rPr>
        <w:t>。健全</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rPr>
        <w:t>主要负责人履行推进法治建设第一责任人职责工作机制，党委书记、董事长、总经理各司其职，对重点问题亲自研究、部署协调、推动解决。将第一责任人职责要求向子企业延伸，把落实情况纳入领导人员综合考核评价体系，将法治素养和依法履职情况作为考察使用干部的重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pacing w:val="-6"/>
          <w:sz w:val="32"/>
          <w:szCs w:val="32"/>
          <w:u w:val="none"/>
          <w:lang w:eastAsia="zh-CN"/>
        </w:rPr>
      </w:pPr>
      <w:r>
        <w:rPr>
          <w:rFonts w:hint="eastAsia" w:ascii="方正楷体_GBK" w:hAnsi="方正楷体_GBK" w:eastAsia="方正楷体_GBK" w:cs="方正楷体_GBK"/>
          <w:color w:val="auto"/>
          <w:sz w:val="32"/>
          <w:szCs w:val="32"/>
          <w:u w:val="none"/>
          <w:lang w:eastAsia="zh-CN"/>
        </w:rPr>
        <w:t>（五）</w:t>
      </w:r>
      <w:r>
        <w:rPr>
          <w:rFonts w:hint="eastAsia" w:ascii="方正楷体_GBK" w:hAnsi="方正楷体_GBK" w:eastAsia="方正楷体_GBK" w:cs="方正楷体_GBK"/>
          <w:color w:val="auto"/>
          <w:sz w:val="32"/>
          <w:szCs w:val="32"/>
          <w:u w:val="none"/>
        </w:rPr>
        <w:t>着力健全依法治理体系。</w:t>
      </w:r>
      <w:r>
        <w:rPr>
          <w:rFonts w:hint="default" w:ascii="Times New Roman" w:hAnsi="Times New Roman" w:eastAsia="方正仿宋_GBK" w:cs="Times New Roman"/>
          <w:color w:val="auto"/>
          <w:sz w:val="32"/>
          <w:szCs w:val="32"/>
          <w:u w:val="none"/>
        </w:rPr>
        <w:t>高度重视章程在公司治理中的统领地位，切实发挥总法律顾问和法务管理机构专业审核把关作用，科学配置各治理主体权利、义务和责任，明晰履职程序和要求，保障章程依法制定、依法实施。多元投资主体企业严格依据法律法规、国有资产监管规定和公司章程，明确股东权利义务、股东会定位与职权，规范议事决策方式和程序，完善运作制度机制，强化决议执行和监督，切实维护股东合法权益。优化董事会成员知识结构，通过选聘法律专业背景人员担任董事、加强法律培训等方式，提升董事会依法决策水平。落实总法律顾问</w:t>
      </w:r>
      <w:r>
        <w:rPr>
          <w:rFonts w:hint="default" w:ascii="Times New Roman" w:hAnsi="Times New Roman" w:eastAsia="方正仿宋_GBK" w:cs="Times New Roman"/>
          <w:color w:val="auto"/>
          <w:sz w:val="32"/>
          <w:szCs w:val="32"/>
          <w:u w:val="none"/>
          <w:lang w:eastAsia="zh-CN"/>
        </w:rPr>
        <w:t>（外聘法律顾问）</w:t>
      </w:r>
      <w:r>
        <w:rPr>
          <w:rFonts w:hint="eastAsia" w:ascii="Times New Roman" w:hAnsi="Times New Roman" w:eastAsia="方正仿宋_GBK" w:cs="Times New Roman"/>
          <w:color w:val="auto"/>
          <w:sz w:val="32"/>
          <w:szCs w:val="32"/>
          <w:u w:val="none"/>
          <w:lang w:eastAsia="zh-CN"/>
        </w:rPr>
        <w:t>、法务管理机构负责人</w:t>
      </w:r>
      <w:r>
        <w:rPr>
          <w:rFonts w:hint="default" w:ascii="Times New Roman" w:hAnsi="Times New Roman" w:eastAsia="方正仿宋_GBK" w:cs="Times New Roman"/>
          <w:color w:val="auto"/>
          <w:sz w:val="32"/>
          <w:szCs w:val="32"/>
          <w:u w:val="none"/>
        </w:rPr>
        <w:t>列席党委会议、董事会会议参与研究讨论或审议涉及法律合规相关议题，参加总经理办公会议等重要决策会议制度，将合法合规性审查和重大风险评估作为重大决策事项必经前置程序。依法规范行使股东权，认真研究制定子企业章程，严格按照公司治理结构，通过股东（大）会决议、</w:t>
      </w:r>
      <w:r>
        <w:rPr>
          <w:rFonts w:hint="default" w:ascii="Times New Roman" w:hAnsi="Times New Roman" w:eastAsia="方正仿宋_GBK" w:cs="Times New Roman"/>
          <w:color w:val="auto"/>
          <w:spacing w:val="-6"/>
          <w:sz w:val="32"/>
          <w:szCs w:val="32"/>
          <w:u w:val="none"/>
        </w:rPr>
        <w:t>推荐高级管理人员等方式行权履职，切实防范公司人格混同等风险。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eastAsia" w:ascii="方正楷体_GBK" w:hAnsi="方正楷体_GBK" w:eastAsia="方正楷体_GBK" w:cs="方正楷体_GBK"/>
          <w:color w:val="auto"/>
          <w:sz w:val="32"/>
          <w:szCs w:val="32"/>
          <w:u w:val="none"/>
          <w:lang w:eastAsia="zh-CN"/>
        </w:rPr>
        <w:t>（六）</w:t>
      </w:r>
      <w:r>
        <w:rPr>
          <w:rFonts w:hint="eastAsia" w:ascii="方正楷体_GBK" w:hAnsi="方正楷体_GBK" w:eastAsia="方正楷体_GBK" w:cs="方正楷体_GBK"/>
          <w:color w:val="auto"/>
          <w:sz w:val="32"/>
          <w:szCs w:val="32"/>
          <w:u w:val="none"/>
        </w:rPr>
        <w:t>着力健全规章制度体系。</w:t>
      </w:r>
      <w:r>
        <w:rPr>
          <w:rFonts w:hint="default" w:ascii="Times New Roman" w:hAnsi="Times New Roman" w:eastAsia="方正仿宋_GBK" w:cs="Times New Roman"/>
          <w:color w:val="auto"/>
          <w:sz w:val="32"/>
          <w:szCs w:val="32"/>
          <w:u w:val="none"/>
        </w:rPr>
        <w:t>明确法务管理机构归口管理职责，健全规章制度制定、执行、评估、改进等工作机制，加强法律审核把关，强化对制度的全生命周期管理。根据适用范围、重要程度、管理幅度等，构建分层分类的制度体系框架，确保结构清晰、内容完整，相互衔接、有效协同，切实提高科学性和系统性。定期开展制度梳理，编制立改废计划，完善重点改革任务配套制度，及时修订重要领域管理规范，不断增强针对性和实效性。加强对规章制度的宣贯培训，定期对执行情况开展监督检查和综合评价，增强制度刚性约束，推动制度有效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（七）</w:t>
      </w:r>
      <w:r>
        <w:rPr>
          <w:rFonts w:hint="eastAsia" w:ascii="方正楷体_GBK" w:hAnsi="方正楷体_GBK" w:eastAsia="方正楷体_GBK" w:cs="方正楷体_GBK"/>
          <w:color w:val="auto"/>
          <w:sz w:val="32"/>
          <w:szCs w:val="32"/>
          <w:u w:val="none"/>
        </w:rPr>
        <w:t>着力健全合规管理体系。</w:t>
      </w:r>
      <w:r>
        <w:rPr>
          <w:rFonts w:hint="default" w:ascii="Times New Roman" w:hAnsi="Times New Roman" w:eastAsia="方正仿宋_GBK" w:cs="Times New Roman"/>
          <w:color w:val="auto"/>
          <w:sz w:val="32"/>
          <w:szCs w:val="32"/>
          <w:u w:val="none"/>
          <w:lang w:eastAsia="zh-CN"/>
        </w:rPr>
        <w:t>建立</w:t>
      </w:r>
      <w:r>
        <w:rPr>
          <w:rFonts w:hint="default" w:ascii="Times New Roman" w:hAnsi="Times New Roman" w:eastAsia="方正仿宋_GBK" w:cs="Times New Roman"/>
          <w:color w:val="auto"/>
          <w:sz w:val="32"/>
          <w:szCs w:val="32"/>
          <w:u w:val="none"/>
        </w:rPr>
        <w:t>合规管理工作机制，健全企业主要负责人领导、</w:t>
      </w:r>
      <w:r>
        <w:rPr>
          <w:rFonts w:hint="default" w:ascii="Times New Roman" w:hAnsi="Times New Roman" w:eastAsia="方正仿宋_GBK" w:cs="Times New Roman"/>
          <w:b w:val="0"/>
          <w:bCs w:val="0"/>
          <w:color w:val="auto"/>
          <w:sz w:val="32"/>
          <w:szCs w:val="32"/>
          <w:u w:val="none"/>
        </w:rPr>
        <w:t>总法律顾</w:t>
      </w:r>
      <w:r>
        <w:rPr>
          <w:rFonts w:hint="default" w:ascii="Times New Roman" w:hAnsi="Times New Roman" w:eastAsia="方正仿宋_GBK" w:cs="Times New Roman"/>
          <w:color w:val="auto"/>
          <w:sz w:val="32"/>
          <w:szCs w:val="32"/>
          <w:u w:val="none"/>
        </w:rPr>
        <w:t>问</w:t>
      </w:r>
      <w:r>
        <w:rPr>
          <w:rFonts w:hint="default" w:ascii="Times New Roman" w:hAnsi="Times New Roman" w:eastAsia="方正仿宋_GBK" w:cs="Times New Roman"/>
          <w:b w:val="0"/>
          <w:bCs w:val="0"/>
          <w:color w:val="auto"/>
          <w:sz w:val="32"/>
          <w:szCs w:val="32"/>
          <w:u w:val="none"/>
        </w:rPr>
        <w:t>（未设总法律顾问的由总经理）</w:t>
      </w:r>
      <w:r>
        <w:rPr>
          <w:rFonts w:hint="default" w:ascii="Times New Roman" w:hAnsi="Times New Roman" w:eastAsia="方正仿宋_GBK" w:cs="Times New Roman"/>
          <w:color w:val="auto"/>
          <w:sz w:val="32"/>
          <w:szCs w:val="32"/>
          <w:u w:val="none"/>
        </w:rPr>
        <w:t>牵头、法务管理机构归口、相关部门协同联动的合规管理体系。发挥法务管理机构统筹协调、组织推动、督促落实作用，加强合规制度建设，开展合规审查与考核，保障体系有效运行。强化业务部门、经营单位和项目一线主体责任，通过设置兼职合规管理员、将合规要求嵌入岗位职责和业务流程、抓好重点领域合规管理等措施，有效防范、及时处置合规风险。探索构建法律、合规、内控、风险管理协同运作机制，加强统筹协调，提高管理效能。推动合规要求向各级子企业延伸，加大基层单位合规管理力度，到2025年</w:t>
      </w:r>
      <w:r>
        <w:rPr>
          <w:rFonts w:hint="default" w:ascii="Times New Roman" w:hAnsi="Times New Roman" w:eastAsia="方正仿宋_GBK" w:cs="Times New Roman"/>
          <w:color w:val="auto"/>
          <w:sz w:val="32"/>
          <w:szCs w:val="32"/>
          <w:u w:val="none"/>
          <w:lang w:eastAsia="zh-CN"/>
        </w:rPr>
        <w:t>在企业</w:t>
      </w:r>
      <w:r>
        <w:rPr>
          <w:rFonts w:hint="default" w:ascii="Times New Roman" w:hAnsi="Times New Roman" w:eastAsia="方正仿宋_GBK" w:cs="Times New Roman"/>
          <w:color w:val="auto"/>
          <w:sz w:val="32"/>
          <w:szCs w:val="32"/>
          <w:u w:val="none"/>
        </w:rPr>
        <w:t>基本建立全面覆盖、有效运行的合规管理体系。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pacing w:val="-6"/>
          <w:sz w:val="32"/>
          <w:szCs w:val="32"/>
          <w:u w:val="none"/>
        </w:rPr>
      </w:pPr>
      <w:r>
        <w:rPr>
          <w:rFonts w:hint="eastAsia" w:ascii="方正楷体_GBK" w:hAnsi="方正楷体_GBK" w:eastAsia="方正楷体_GBK" w:cs="方正楷体_GBK"/>
          <w:color w:val="auto"/>
          <w:sz w:val="32"/>
          <w:szCs w:val="32"/>
          <w:u w:val="none"/>
          <w:lang w:eastAsia="zh-CN"/>
        </w:rPr>
        <w:t>（八）</w:t>
      </w:r>
      <w:r>
        <w:rPr>
          <w:rFonts w:hint="eastAsia" w:ascii="方正楷体_GBK" w:hAnsi="方正楷体_GBK" w:eastAsia="方正楷体_GBK" w:cs="方正楷体_GBK"/>
          <w:color w:val="auto"/>
          <w:sz w:val="32"/>
          <w:szCs w:val="32"/>
          <w:u w:val="none"/>
        </w:rPr>
        <w:t>着力健全工作组织体系。</w:t>
      </w:r>
      <w:r>
        <w:rPr>
          <w:rFonts w:hint="default" w:ascii="Times New Roman" w:hAnsi="Times New Roman" w:eastAsia="方正仿宋_GBK" w:cs="Times New Roman"/>
          <w:color w:val="auto"/>
          <w:sz w:val="32"/>
          <w:szCs w:val="32"/>
          <w:u w:val="none"/>
        </w:rPr>
        <w:t>加大企业法律专业领导干部培养选拔力度，推进符合条件的具有法律教育背景或法律职业资格的专业人才进入领导班子。加强法务管理机构建设，充实专业力量，配备与企业规模和需求相适应的法治工作队伍。健全法务管理职能，持续完善合同管理、案件管理、普法宣传等职能，积极拓展制度管理、合规管理等业务领域。加强队伍建设，拓宽法</w:t>
      </w:r>
      <w:r>
        <w:rPr>
          <w:rFonts w:hint="default" w:ascii="Times New Roman" w:hAnsi="Times New Roman" w:eastAsia="方正仿宋_GBK" w:cs="Times New Roman"/>
          <w:color w:val="auto"/>
          <w:spacing w:val="-6"/>
          <w:sz w:val="32"/>
          <w:szCs w:val="32"/>
          <w:u w:val="none"/>
        </w:rPr>
        <w:t>务人员职业发展通道，采取有效激励方式充分调动积极性、主动性。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color w:val="auto"/>
          <w:sz w:val="32"/>
          <w:szCs w:val="32"/>
          <w:u w:val="none"/>
          <w:lang w:eastAsia="zh-CN"/>
        </w:rPr>
        <w:t>三、</w:t>
      </w:r>
      <w:r>
        <w:rPr>
          <w:rFonts w:hint="eastAsia" w:ascii="方正黑体_GBK" w:hAnsi="方正黑体_GBK" w:eastAsia="方正黑体_GBK" w:cs="方正黑体_GBK"/>
          <w:color w:val="auto"/>
          <w:sz w:val="32"/>
          <w:szCs w:val="32"/>
          <w:u w:val="none"/>
        </w:rPr>
        <w:t>全面提升依法治企能力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eastAsia" w:ascii="方正楷体_GBK" w:hAnsi="方正楷体_GBK" w:eastAsia="方正楷体_GBK" w:cs="方正楷体_GBK"/>
          <w:color w:val="auto"/>
          <w:sz w:val="32"/>
          <w:szCs w:val="32"/>
          <w:u w:val="none"/>
          <w:lang w:eastAsia="zh-CN"/>
        </w:rPr>
        <w:t>（九）</w:t>
      </w:r>
      <w:r>
        <w:rPr>
          <w:rFonts w:hint="eastAsia" w:ascii="方正楷体_GBK" w:hAnsi="方正楷体_GBK" w:eastAsia="方正楷体_GBK" w:cs="方正楷体_GBK"/>
          <w:color w:val="auto"/>
          <w:sz w:val="32"/>
          <w:szCs w:val="32"/>
          <w:u w:val="none"/>
        </w:rPr>
        <w:t>着力提升引领支撑能力。</w:t>
      </w:r>
      <w:r>
        <w:rPr>
          <w:rFonts w:hint="default" w:ascii="Times New Roman" w:hAnsi="Times New Roman" w:eastAsia="方正仿宋_GBK" w:cs="Times New Roman"/>
          <w:color w:val="auto"/>
          <w:sz w:val="32"/>
          <w:szCs w:val="32"/>
          <w:u w:val="none"/>
        </w:rPr>
        <w:t>坚持运用法治思维和法治方式深化改革、推动发展，紧盯</w:t>
      </w:r>
      <w:r>
        <w:rPr>
          <w:rFonts w:hint="eastAsia" w:ascii="Times New Roman" w:hAnsi="Times New Roman" w:eastAsia="方正仿宋_GBK" w:cs="Times New Roman"/>
          <w:color w:val="auto"/>
          <w:sz w:val="32"/>
          <w:szCs w:val="32"/>
          <w:u w:val="none"/>
          <w:lang w:eastAsia="zh-CN"/>
        </w:rPr>
        <w:t>企业</w:t>
      </w:r>
      <w:r>
        <w:rPr>
          <w:rFonts w:hint="default" w:ascii="Times New Roman" w:hAnsi="Times New Roman" w:eastAsia="方正仿宋_GBK" w:cs="Times New Roman"/>
          <w:color w:val="auto"/>
          <w:sz w:val="32"/>
          <w:szCs w:val="32"/>
          <w:u w:val="none"/>
          <w:lang w:eastAsia="zh-CN"/>
        </w:rPr>
        <w:t>各项</w:t>
      </w:r>
      <w:r>
        <w:rPr>
          <w:rFonts w:hint="default" w:ascii="Times New Roman" w:hAnsi="Times New Roman" w:eastAsia="方正仿宋_GBK" w:cs="Times New Roman"/>
          <w:color w:val="auto"/>
          <w:sz w:val="32"/>
          <w:szCs w:val="32"/>
          <w:u w:val="none"/>
        </w:rPr>
        <w:t>重点工作，深入分析对企业提出的新任务新要求，提前研究可能出现的法律合规问题，及时制定应对方案和防范措施。法务人员全程参与混合所有制改革、投资并购等重大项目，加强法律审核把关，坚持依法依规操作，严控法律合规风险。加强对民法典</w:t>
      </w:r>
      <w:r>
        <w:rPr>
          <w:rFonts w:hint="eastAsia" w:ascii="Times New Roman" w:hAnsi="Times New Roman" w:eastAsia="方正仿宋_GBK" w:cs="Times New Roman"/>
          <w:color w:val="auto"/>
          <w:sz w:val="32"/>
          <w:szCs w:val="32"/>
          <w:u w:val="none"/>
          <w:lang w:eastAsia="zh-CN"/>
        </w:rPr>
        <w:t>、公司法</w:t>
      </w:r>
      <w:r>
        <w:rPr>
          <w:rFonts w:hint="default" w:ascii="Times New Roman" w:hAnsi="Times New Roman" w:eastAsia="方正仿宋_GBK" w:cs="Times New Roman"/>
          <w:color w:val="auto"/>
          <w:sz w:val="32"/>
          <w:szCs w:val="32"/>
          <w:u w:val="none"/>
        </w:rPr>
        <w:t>等法律法规的学习研究，深入分析对企业生产经营、业务模式可能产生的影响，推动从健全制度、强化管理等方面及时作出调整。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eastAsia"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rPr>
        <w:t>着力提升风险管控能力。</w:t>
      </w:r>
      <w:r>
        <w:rPr>
          <w:rFonts w:hint="default" w:ascii="Times New Roman" w:hAnsi="Times New Roman" w:eastAsia="方正仿宋_GBK" w:cs="Times New Roman"/>
          <w:color w:val="auto"/>
          <w:sz w:val="32"/>
          <w:szCs w:val="32"/>
          <w:u w:val="none"/>
          <w:lang w:eastAsia="zh-CN"/>
        </w:rPr>
        <w:t>建立</w:t>
      </w:r>
      <w:r>
        <w:rPr>
          <w:rFonts w:hint="default" w:ascii="Times New Roman" w:hAnsi="Times New Roman" w:eastAsia="方正仿宋_GBK" w:cs="Times New Roman"/>
          <w:color w:val="auto"/>
          <w:sz w:val="32"/>
          <w:szCs w:val="32"/>
          <w:u w:val="none"/>
        </w:rPr>
        <w:t>规章制度、经济合同、重要决策法律审核制度，在确保100%审核率的同时，通过跟进采纳情况、完善后评估机制，反向查找工作不足，持续提升审核质量。常态化开展风险隐患排查处置，针对共性风险通过提示函、案件通报、法律建议书等形式及时开展预警，有效防范化解</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加强知识产权管理，完善专利、商标、商号、商业秘密等保护制度，坚决打击侵权行为，切实维护企业无形资产安全和合法权益。严格落实重大法律合规风险事件报告制度，</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rPr>
        <w:t>发生重大法律合规风险事件，应当及时向</w:t>
      </w:r>
      <w:r>
        <w:rPr>
          <w:rFonts w:hint="default" w:ascii="Times New Roman" w:hAnsi="Times New Roman" w:eastAsia="方正仿宋_GBK" w:cs="Times New Roman"/>
          <w:color w:val="auto"/>
          <w:sz w:val="32"/>
          <w:szCs w:val="32"/>
          <w:u w:val="none"/>
          <w:lang w:eastAsia="zh-CN"/>
        </w:rPr>
        <w:t>区</w:t>
      </w:r>
      <w:r>
        <w:rPr>
          <w:rFonts w:hint="default" w:ascii="Times New Roman" w:hAnsi="Times New Roman" w:eastAsia="方正仿宋_GBK" w:cs="Times New Roman"/>
          <w:color w:val="auto"/>
          <w:sz w:val="32"/>
          <w:szCs w:val="32"/>
          <w:u w:val="none"/>
        </w:rPr>
        <w:t>国资委报告。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color w:val="auto"/>
          <w:u w:val="none"/>
        </w:rPr>
      </w:pPr>
      <w:r>
        <w:rPr>
          <w:rFonts w:hint="eastAsia" w:ascii="Times New Roman" w:hAnsi="Times New Roman" w:eastAsia="方正楷体_GBK" w:cs="方正楷体_GBK"/>
          <w:color w:val="auto"/>
          <w:sz w:val="32"/>
          <w:szCs w:val="32"/>
          <w:u w:val="none"/>
        </w:rPr>
        <w:t>（十一）着力提升涉外保障能力。</w:t>
      </w:r>
      <w:r>
        <w:rPr>
          <w:rFonts w:hint="eastAsia" w:ascii="Times New Roman" w:hAnsi="Times New Roman" w:eastAsia="方正仿宋_GBK" w:cs="方正仿宋_GBK"/>
          <w:color w:val="auto"/>
          <w:sz w:val="32"/>
          <w:szCs w:val="32"/>
          <w:u w:val="none"/>
        </w:rPr>
        <w:t>加强涉外法律合规风险防范，健全工作机制，推动在境外投资经营规模较大、风险较高的重点企业、区域或项目设置专门机构，配备专职法务人员，具备条件的设立总法律顾问</w:t>
      </w:r>
      <w:r>
        <w:rPr>
          <w:rFonts w:hint="eastAsia" w:ascii="Times New Roman" w:hAnsi="Times New Roman"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rPr>
        <w:t>完善涉外重大项目和重要业务法务人员全程参与制度，形成事前审核把关、事中跟踪控制、事后监督评估的管理闭环</w:t>
      </w:r>
      <w:r>
        <w:rPr>
          <w:rFonts w:hint="eastAsia" w:ascii="Times New Roman" w:hAnsi="Times New Roman"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rPr>
        <w:t>深入研究、掌握运用</w:t>
      </w:r>
      <w:r>
        <w:rPr>
          <w:rFonts w:hint="eastAsia" w:ascii="Times New Roman" w:hAnsi="Times New Roman" w:eastAsia="方正仿宋_GBK" w:cs="方正仿宋_GBK"/>
          <w:color w:val="auto"/>
          <w:sz w:val="32"/>
          <w:szCs w:val="32"/>
          <w:u w:val="none"/>
          <w:lang w:eastAsia="zh-CN"/>
        </w:rPr>
        <w:t>企业、项目</w:t>
      </w:r>
      <w:r>
        <w:rPr>
          <w:rFonts w:hint="eastAsia" w:ascii="Times New Roman" w:hAnsi="Times New Roman" w:eastAsia="方正仿宋_GBK" w:cs="方正仿宋_GBK"/>
          <w:color w:val="auto"/>
          <w:sz w:val="32"/>
          <w:szCs w:val="32"/>
          <w:u w:val="none"/>
        </w:rPr>
        <w:t>所在国（地区）法律，加强国际规则及境外法律法规学习研究，密切关注高风险国家和地区法律法规与政策变化，切实防范风险。重视涉外法治人才培养，强化顶层设计，健全市场化选聘和激励制度，形成重视人才、吸引人才、留住人才的良好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二</w:t>
      </w:r>
      <w:r>
        <w:rPr>
          <w:rFonts w:hint="default" w:ascii="方正楷体_GBK" w:hAnsi="方正楷体_GBK" w:eastAsia="方正楷体_GBK" w:cs="方正楷体_GBK"/>
          <w:color w:val="auto"/>
          <w:sz w:val="32"/>
          <w:szCs w:val="32"/>
          <w:u w:val="none"/>
          <w:lang w:eastAsia="zh-CN"/>
        </w:rPr>
        <w:t>）着力提升主动维权能力。</w:t>
      </w:r>
      <w:r>
        <w:rPr>
          <w:rFonts w:hint="default" w:ascii="Times New Roman" w:hAnsi="Times New Roman" w:eastAsia="方正仿宋_GBK" w:cs="Times New Roman"/>
          <w:color w:val="auto"/>
          <w:sz w:val="32"/>
          <w:szCs w:val="32"/>
          <w:u w:val="none"/>
        </w:rPr>
        <w:t>加大法律纠纷案件处置力度，综合运用诉讼、仲裁、调解等多种手段妥善解决，探索建立</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rPr>
        <w:t>内部纠纷调解机制。加强积案清理，健全激励机制，</w:t>
      </w:r>
      <w:r>
        <w:rPr>
          <w:rFonts w:hint="default" w:ascii="Times New Roman" w:hAnsi="Times New Roman" w:eastAsia="方正仿宋_GBK" w:cs="Times New Roman"/>
          <w:color w:val="auto"/>
          <w:sz w:val="32"/>
          <w:szCs w:val="32"/>
          <w:u w:val="none"/>
          <w:lang w:eastAsia="zh-CN"/>
        </w:rPr>
        <w:t>逐步化解</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rPr>
        <w:t>历史遗留重大法律纠纷案件。深化案件管理“压存控增、提质创效”专项工作，加强典型案件分析，及时发现管理问题，堵塞管理漏洞，推动“以案促管、以管创效”。严格落实案件报告制度，</w:t>
      </w:r>
      <w:r>
        <w:rPr>
          <w:rFonts w:hint="default" w:ascii="Times New Roman" w:hAnsi="Times New Roman" w:eastAsia="方正仿宋_GBK" w:cs="Times New Roman"/>
          <w:color w:val="auto"/>
          <w:sz w:val="32"/>
          <w:szCs w:val="32"/>
          <w:u w:val="none"/>
          <w:vertAlign w:val="baseline"/>
          <w:lang w:eastAsia="zh-CN"/>
        </w:rPr>
        <w:t>企业</w:t>
      </w:r>
      <w:r>
        <w:rPr>
          <w:rFonts w:hint="default" w:ascii="Times New Roman" w:hAnsi="Times New Roman" w:eastAsia="方正仿宋_GBK" w:cs="Times New Roman"/>
          <w:color w:val="auto"/>
          <w:sz w:val="32"/>
          <w:szCs w:val="32"/>
          <w:u w:val="none"/>
        </w:rPr>
        <w:t>发生重大法律纠纷案件应当及时报告，</w:t>
      </w:r>
      <w:r>
        <w:rPr>
          <w:rFonts w:hint="eastAsia" w:ascii="Times New Roman" w:hAnsi="Times New Roman" w:eastAsia="方正仿宋_GBK" w:cs="Times New Roman"/>
          <w:color w:val="auto"/>
          <w:sz w:val="32"/>
          <w:szCs w:val="32"/>
          <w:u w:val="none"/>
          <w:lang w:eastAsia="zh-CN"/>
        </w:rPr>
        <w:t>每年</w:t>
      </w:r>
      <w:r>
        <w:rPr>
          <w:rFonts w:hint="eastAsia" w:ascii="Times New Roman" w:hAnsi="Times New Roman" w:eastAsia="方正仿宋_GBK" w:cs="Times New Roman"/>
          <w:color w:val="auto"/>
          <w:sz w:val="32"/>
          <w:szCs w:val="32"/>
          <w:u w:val="none"/>
          <w:lang w:val="en-US" w:eastAsia="zh-CN"/>
        </w:rPr>
        <w:t>12月底前</w:t>
      </w:r>
      <w:r>
        <w:rPr>
          <w:rFonts w:hint="default" w:ascii="Times New Roman" w:hAnsi="Times New Roman" w:eastAsia="方正仿宋_GBK" w:cs="Times New Roman"/>
          <w:color w:val="auto"/>
          <w:sz w:val="32"/>
          <w:szCs w:val="32"/>
          <w:u w:val="none"/>
        </w:rPr>
        <w:t>报送年度法律纠纷案件综合分析报告。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三</w:t>
      </w:r>
      <w:r>
        <w:rPr>
          <w:rFonts w:hint="default" w:ascii="方正楷体_GBK" w:hAnsi="方正楷体_GBK" w:eastAsia="方正楷体_GBK" w:cs="方正楷体_GBK"/>
          <w:color w:val="auto"/>
          <w:sz w:val="32"/>
          <w:szCs w:val="32"/>
          <w:u w:val="none"/>
          <w:lang w:eastAsia="zh-CN"/>
        </w:rPr>
        <w:t>）着力提升数字化管理能力。</w:t>
      </w:r>
      <w:r>
        <w:rPr>
          <w:rFonts w:hint="default" w:ascii="Times New Roman" w:hAnsi="Times New Roman" w:eastAsia="方正仿宋_GBK" w:cs="Times New Roman"/>
          <w:color w:val="auto"/>
          <w:sz w:val="32"/>
          <w:szCs w:val="32"/>
          <w:u w:val="none"/>
          <w:lang w:eastAsia="zh-CN"/>
        </w:rPr>
        <w:t>开展</w:t>
      </w:r>
      <w:r>
        <w:rPr>
          <w:rFonts w:hint="default" w:ascii="Times New Roman" w:hAnsi="Times New Roman" w:eastAsia="方正仿宋_GBK" w:cs="Times New Roman"/>
          <w:color w:val="auto"/>
          <w:sz w:val="32"/>
          <w:szCs w:val="32"/>
          <w:u w:val="none"/>
        </w:rPr>
        <w:t>合同管理、案件管理、合规管理等重点领域信息化、数字化建设，将法律审核嵌入重大决策、重要业务管理流程，通过大数据等手段，实现法律合规风险在线识别、分析、评估、防控。推动法务管理系统与财务、产权、投资等系统的互联互通，做好与国资国企在线监管系统的对接，促进业务数据相互融合、风险防范共同响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color w:val="auto"/>
          <w:sz w:val="32"/>
          <w:szCs w:val="32"/>
          <w:u w:val="none"/>
          <w:lang w:eastAsia="zh-CN"/>
        </w:rPr>
        <w:t>四、</w:t>
      </w:r>
      <w:r>
        <w:rPr>
          <w:rFonts w:hint="eastAsia" w:ascii="方正黑体_GBK" w:hAnsi="方正黑体_GBK" w:eastAsia="方正黑体_GBK" w:cs="方正黑体_GBK"/>
          <w:color w:val="auto"/>
          <w:sz w:val="32"/>
          <w:szCs w:val="32"/>
          <w:u w:val="none"/>
        </w:rPr>
        <w:t>保障任务顺利完成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四</w:t>
      </w:r>
      <w:r>
        <w:rPr>
          <w:rFonts w:hint="default" w:ascii="方正楷体_GBK" w:hAnsi="方正楷体_GBK" w:eastAsia="方正楷体_GBK" w:cs="方正楷体_GBK"/>
          <w:color w:val="auto"/>
          <w:sz w:val="32"/>
          <w:szCs w:val="32"/>
          <w:u w:val="none"/>
          <w:lang w:eastAsia="zh-CN"/>
        </w:rPr>
        <w:t>）加强组织领导。</w:t>
      </w:r>
      <w:r>
        <w:rPr>
          <w:rFonts w:hint="default" w:ascii="Times New Roman" w:hAnsi="Times New Roman" w:eastAsia="方正仿宋_GBK" w:cs="Times New Roman"/>
          <w:color w:val="auto"/>
          <w:sz w:val="32"/>
          <w:szCs w:val="32"/>
          <w:u w:val="none"/>
        </w:rPr>
        <w:t>充分发挥</w:t>
      </w:r>
      <w:r>
        <w:rPr>
          <w:rFonts w:hint="eastAsia" w:ascii="Times New Roman" w:hAnsi="Times New Roman" w:eastAsia="方正仿宋_GBK" w:cs="Times New Roman"/>
          <w:color w:val="auto"/>
          <w:sz w:val="32"/>
          <w:szCs w:val="32"/>
          <w:u w:val="none"/>
          <w:lang w:eastAsia="zh-CN"/>
        </w:rPr>
        <w:t>党委领导</w:t>
      </w:r>
      <w:r>
        <w:rPr>
          <w:rFonts w:hint="default" w:ascii="Times New Roman" w:hAnsi="Times New Roman" w:eastAsia="方正仿宋_GBK" w:cs="Times New Roman"/>
          <w:color w:val="auto"/>
          <w:sz w:val="32"/>
          <w:szCs w:val="32"/>
          <w:u w:val="none"/>
        </w:rPr>
        <w:t>作用，将法治工作纳入</w:t>
      </w:r>
      <w:r>
        <w:rPr>
          <w:rFonts w:hint="default" w:ascii="Times New Roman" w:hAnsi="Times New Roman" w:eastAsia="方正仿宋_GBK" w:cs="Times New Roman"/>
          <w:color w:val="auto"/>
          <w:sz w:val="32"/>
          <w:szCs w:val="32"/>
          <w:u w:val="none"/>
          <w:lang w:eastAsia="zh-CN"/>
        </w:rPr>
        <w:t>企业</w:t>
      </w:r>
      <w:r>
        <w:rPr>
          <w:rFonts w:hint="default" w:ascii="Times New Roman" w:hAnsi="Times New Roman" w:eastAsia="方正仿宋_GBK" w:cs="Times New Roman"/>
          <w:color w:val="auto"/>
          <w:sz w:val="32"/>
          <w:szCs w:val="32"/>
          <w:u w:val="none"/>
        </w:rPr>
        <w:t>年度计划统筹谋划、同步推进，加强部门协同，强化人员、资金等保障，形成工作合力。制定</w:t>
      </w:r>
      <w:r>
        <w:rPr>
          <w:rFonts w:hint="eastAsia" w:ascii="Times New Roman" w:hAnsi="Times New Roman" w:eastAsia="方正仿宋_GBK" w:cs="Times New Roman"/>
          <w:color w:val="auto"/>
          <w:sz w:val="32"/>
          <w:szCs w:val="32"/>
          <w:u w:val="none"/>
          <w:lang w:eastAsia="zh-CN"/>
        </w:rPr>
        <w:t>企业</w:t>
      </w:r>
      <w:r>
        <w:rPr>
          <w:rFonts w:hint="default" w:ascii="Times New Roman" w:hAnsi="Times New Roman" w:eastAsia="方正仿宋_GBK" w:cs="Times New Roman"/>
          <w:color w:val="auto"/>
          <w:sz w:val="32"/>
          <w:szCs w:val="32"/>
          <w:u w:val="none"/>
        </w:rPr>
        <w:t>未来五年法治建设实施方案，提出目标任务，明确责任分工，细化工作措施。建立法治工作专项考评制度，将法治建设成效纳入对子企业考核体系。</w:t>
      </w:r>
      <w:r>
        <w:rPr>
          <w:rFonts w:hint="default" w:ascii="Times New Roman" w:hAnsi="Times New Roman" w:eastAsia="方正仿宋_GBK" w:cs="Times New Roman"/>
          <w:color w:val="auto"/>
          <w:kern w:val="2"/>
          <w:sz w:val="32"/>
          <w:szCs w:val="32"/>
          <w:u w:val="none"/>
          <w:lang w:val="en-US" w:eastAsia="zh-CN" w:bidi="ar-SA"/>
        </w:rPr>
        <w:t>统筹推进法治工作与违规经营投资责任追究等监督工作，完善内部协同机制，提高责任追究体系效能。加大问责力度，对未经法律审核或未采纳正确法律意见、违法违规经营投资决策造成损失或其他严重不良后果的，严肃追究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五</w:t>
      </w:r>
      <w:r>
        <w:rPr>
          <w:rFonts w:hint="default" w:ascii="方正楷体_GBK" w:hAnsi="方正楷体_GBK" w:eastAsia="方正楷体_GBK" w:cs="方正楷体_GBK"/>
          <w:color w:val="auto"/>
          <w:sz w:val="32"/>
          <w:szCs w:val="32"/>
          <w:u w:val="none"/>
          <w:lang w:eastAsia="zh-CN"/>
        </w:rPr>
        <w:t>）持续深化对标。</w:t>
      </w:r>
      <w:r>
        <w:rPr>
          <w:rFonts w:hint="default" w:ascii="Times New Roman" w:hAnsi="Times New Roman" w:eastAsia="方正仿宋_GBK" w:cs="Times New Roman"/>
          <w:color w:val="auto"/>
          <w:kern w:val="2"/>
          <w:sz w:val="32"/>
          <w:szCs w:val="32"/>
          <w:u w:val="none"/>
          <w:lang w:val="en-US" w:eastAsia="zh-CN" w:bidi="ar-SA"/>
        </w:rPr>
        <w:t>综合分析优秀企业实践，研究归纳具有核心竞争力企业法务管理的基本要素和具体指标。立足行业特点、发展阶段、管理基础等实际，有针对性地制定对标举措，确保目标量化、任务明确、措施有力。将法务管理对标工作纳入本企业对标世界一流企业价值创造行动，全面开展对标，努力补齐短板，加快提升依法合规经营管理水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六</w:t>
      </w:r>
      <w:r>
        <w:rPr>
          <w:rFonts w:hint="default" w:ascii="方正楷体_GBK" w:hAnsi="方正楷体_GBK" w:eastAsia="方正楷体_GBK" w:cs="方正楷体_GBK"/>
          <w:color w:val="auto"/>
          <w:sz w:val="32"/>
          <w:szCs w:val="32"/>
          <w:u w:val="none"/>
          <w:lang w:eastAsia="zh-CN"/>
        </w:rPr>
        <w:t>）强化指导交流。</w:t>
      </w:r>
      <w:r>
        <w:rPr>
          <w:rFonts w:hint="default" w:ascii="Times New Roman" w:hAnsi="Times New Roman" w:eastAsia="方正仿宋_GBK" w:cs="Times New Roman"/>
          <w:color w:val="auto"/>
          <w:kern w:val="2"/>
          <w:sz w:val="32"/>
          <w:szCs w:val="32"/>
          <w:u w:val="none"/>
          <w:lang w:val="en-US" w:eastAsia="zh-CN" w:bidi="ar-SA"/>
        </w:rPr>
        <w:t>区国资委将根据企业法治建设实施方案，定期组织调研督导，深入了解落实情况，推动解决难点问题。建立完善培训锻炼、学习交流等机制，聚焦重点难点，创新方式方法，增强交流实效。企业要进一步加强对子企业法治建设的督促指导，通过加大考核力度、细化工作要求、定期开展调研等方式，层层传导压力，确保目标任务在子企业真正落实到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sz w:val="32"/>
          <w:szCs w:val="32"/>
          <w:u w:val="none"/>
          <w:lang w:eastAsia="zh-CN"/>
        </w:rPr>
        <w:t>（十</w:t>
      </w:r>
      <w:r>
        <w:rPr>
          <w:rFonts w:hint="eastAsia" w:ascii="方正楷体_GBK" w:hAnsi="方正楷体_GBK" w:eastAsia="方正楷体_GBK" w:cs="方正楷体_GBK"/>
          <w:color w:val="auto"/>
          <w:sz w:val="32"/>
          <w:szCs w:val="32"/>
          <w:u w:val="none"/>
          <w:lang w:eastAsia="zh-CN"/>
        </w:rPr>
        <w:t>七</w:t>
      </w:r>
      <w:r>
        <w:rPr>
          <w:rFonts w:hint="default" w:ascii="方正楷体_GBK" w:hAnsi="方正楷体_GBK" w:eastAsia="方正楷体_GBK" w:cs="方正楷体_GBK"/>
          <w:color w:val="auto"/>
          <w:sz w:val="32"/>
          <w:szCs w:val="32"/>
          <w:u w:val="none"/>
          <w:lang w:eastAsia="zh-CN"/>
        </w:rPr>
        <w:t>）厚植法治文化。</w:t>
      </w:r>
      <w:r>
        <w:rPr>
          <w:rFonts w:hint="default" w:ascii="Times New Roman" w:hAnsi="Times New Roman" w:eastAsia="方正仿宋_GBK" w:cs="Times New Roman"/>
          <w:color w:val="auto"/>
          <w:kern w:val="2"/>
          <w:sz w:val="32"/>
          <w:szCs w:val="32"/>
          <w:u w:val="none"/>
          <w:lang w:val="en-US" w:eastAsia="zh-CN" w:bidi="ar-SA"/>
        </w:rPr>
        <w:t>深入学习宣传贯彻习近平法治思想，将培育法治文化作为</w:t>
      </w:r>
      <w:r>
        <w:rPr>
          <w:rFonts w:hint="eastAsia" w:ascii="Times New Roman" w:hAnsi="Times New Roman" w:eastAsia="方正仿宋_GBK" w:cs="Times New Roman"/>
          <w:color w:val="auto"/>
          <w:kern w:val="2"/>
          <w:sz w:val="32"/>
          <w:szCs w:val="32"/>
          <w:u w:val="none"/>
          <w:lang w:val="en-US" w:eastAsia="zh-CN" w:bidi="ar-SA"/>
        </w:rPr>
        <w:t>企业</w:t>
      </w:r>
      <w:r>
        <w:rPr>
          <w:rFonts w:hint="default" w:ascii="Times New Roman" w:hAnsi="Times New Roman" w:eastAsia="方正仿宋_GBK" w:cs="Times New Roman"/>
          <w:color w:val="auto"/>
          <w:kern w:val="2"/>
          <w:sz w:val="32"/>
          <w:szCs w:val="32"/>
          <w:u w:val="none"/>
          <w:lang w:val="en-US" w:eastAsia="zh-CN" w:bidi="ar-SA"/>
        </w:rPr>
        <w:t>法治建设的基础工程，使依法合规、守法诚信成为全体员工的自觉行为和基本准则。落实“八五”普法要求，进一步推进法治宣传教育制度化、常态化、多样化，将法治学习作为干部职工入职学习、职业培训、继续教育的必修课，广泛宣传与企业经营管理和职工切身利益密切相关的法律法规。总结法治建设典型做法、成功经验和进展成果，通过开展选树典型、评比表彰、集中宣传等形式，营造学习先进、争当先进、赶超先进的良好氛围。</w:t>
      </w:r>
    </w:p>
    <w:p>
      <w:pPr>
        <w:keepNext w:val="0"/>
        <w:keepLines w:val="0"/>
        <w:pageBreakBefore w:val="0"/>
        <w:widowControl w:val="0"/>
        <w:kinsoku/>
        <w:wordWrap/>
        <w:overflowPunct/>
        <w:topLinePunct w:val="0"/>
        <w:autoSpaceDE/>
        <w:autoSpaceDN/>
        <w:bidi w:val="0"/>
        <w:spacing w:line="580" w:lineRule="exact"/>
        <w:ind w:left="0" w:leftChars="0" w:firstLine="640" w:firstLineChars="0"/>
        <w:textAlignment w:val="auto"/>
        <w:rPr>
          <w:rFonts w:hint="default"/>
          <w:lang w:val="en-US" w:eastAsia="zh-CN"/>
        </w:rPr>
      </w:pPr>
      <w:r>
        <w:rPr>
          <w:rFonts w:hint="eastAsia" w:ascii="方正仿宋_GBK" w:hAnsi="方正仿宋_GBK" w:eastAsia="方正仿宋_GBK" w:cs="方正仿宋_GBK"/>
          <w:sz w:val="32"/>
          <w:szCs w:val="32"/>
          <w:lang w:eastAsia="zh-CN"/>
        </w:rPr>
        <w:t>万州经开区管理的国有企业可以</w:t>
      </w:r>
      <w:r>
        <w:rPr>
          <w:rFonts w:hint="eastAsia" w:ascii="方正仿宋_GBK" w:hAnsi="方正仿宋_GBK" w:eastAsia="方正仿宋_GBK" w:cs="方正仿宋_GBK"/>
          <w:sz w:val="32"/>
          <w:szCs w:val="32"/>
        </w:rPr>
        <w:t>参照本意见，积极推进企业法治建设。</w:t>
      </w:r>
      <w:bookmarkStart w:id="0" w:name="_GoBack"/>
      <w:bookmarkEnd w:id="0"/>
    </w:p>
    <w:sectPr>
      <w:footerReference r:id="rId3" w:type="default"/>
      <w:pgSz w:w="11906" w:h="16838"/>
      <w:pgMar w:top="1871" w:right="1531" w:bottom="1531" w:left="1531"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Style w:val="12"/>
                              <w:rFonts w:hint="eastAsia"/>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2</w:t>
                          </w:r>
                          <w:r>
                            <w:rPr>
                              <w:rFonts w:hint="eastAsia" w:ascii="宋体" w:hAnsi="宋体" w:eastAsia="宋体" w:cs="宋体"/>
                              <w:sz w:val="28"/>
                              <w:szCs w:val="28"/>
                            </w:rPr>
                            <w:fldChar w:fldCharType="end"/>
                          </w:r>
                          <w:r>
                            <w:rPr>
                              <w:rStyle w:val="12"/>
                              <w:rFonts w:hint="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rPr>
                        <w:rFonts w:hint="eastAsia"/>
                        <w:lang w:eastAsia="zh-CN"/>
                      </w:rPr>
                    </w:pPr>
                    <w:r>
                      <w:rPr>
                        <w:rStyle w:val="12"/>
                        <w:rFonts w:hint="eastAsia"/>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2</w:t>
                    </w:r>
                    <w:r>
                      <w:rPr>
                        <w:rFonts w:hint="eastAsia" w:ascii="宋体" w:hAnsi="宋体" w:eastAsia="宋体" w:cs="宋体"/>
                        <w:sz w:val="28"/>
                        <w:szCs w:val="28"/>
                      </w:rPr>
                      <w:fldChar w:fldCharType="end"/>
                    </w:r>
                    <w:r>
                      <w:rPr>
                        <w:rStyle w:val="12"/>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5D3A"/>
    <w:rsid w:val="02D36A0E"/>
    <w:rsid w:val="03F22B6D"/>
    <w:rsid w:val="16C055A1"/>
    <w:rsid w:val="1A5A33B0"/>
    <w:rsid w:val="23261440"/>
    <w:rsid w:val="24F03D6C"/>
    <w:rsid w:val="2A63401A"/>
    <w:rsid w:val="30695B22"/>
    <w:rsid w:val="307A0735"/>
    <w:rsid w:val="313A26F7"/>
    <w:rsid w:val="32E27FE5"/>
    <w:rsid w:val="3B894756"/>
    <w:rsid w:val="3BCE7B26"/>
    <w:rsid w:val="3D4A2636"/>
    <w:rsid w:val="3D9F3B18"/>
    <w:rsid w:val="45520100"/>
    <w:rsid w:val="4FBB67DE"/>
    <w:rsid w:val="506B7FD2"/>
    <w:rsid w:val="582816DC"/>
    <w:rsid w:val="5BBD0B2D"/>
    <w:rsid w:val="5C0178B4"/>
    <w:rsid w:val="5E073EAD"/>
    <w:rsid w:val="60B362C8"/>
    <w:rsid w:val="616D1E8C"/>
    <w:rsid w:val="61C876BF"/>
    <w:rsid w:val="61C90EE3"/>
    <w:rsid w:val="62ED3035"/>
    <w:rsid w:val="63BA3EFA"/>
    <w:rsid w:val="6A8E3620"/>
    <w:rsid w:val="6B105C00"/>
    <w:rsid w:val="6C4746D4"/>
    <w:rsid w:val="6C922D9A"/>
    <w:rsid w:val="6DEB25CE"/>
    <w:rsid w:val="72E104DF"/>
    <w:rsid w:val="751D2F89"/>
    <w:rsid w:val="75825832"/>
    <w:rsid w:val="76505D7B"/>
    <w:rsid w:val="9E7E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link w:val="11"/>
    <w:semiHidden/>
    <w:qFormat/>
    <w:uiPriority w:val="0"/>
    <w:rPr>
      <w:rFonts w:ascii="宋体" w:hAnsi="宋体" w:cs="Courier New"/>
      <w:sz w:val="32"/>
      <w:szCs w:val="32"/>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4">
    <w:name w:val="Balloon Text"/>
    <w:basedOn w:val="1"/>
    <w:qFormat/>
    <w:uiPriority w:val="0"/>
    <w:rPr>
      <w:sz w:val="18"/>
      <w:szCs w:val="18"/>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_Style 13"/>
    <w:basedOn w:val="1"/>
    <w:link w:val="10"/>
    <w:qFormat/>
    <w:uiPriority w:val="0"/>
    <w:rPr>
      <w:rFonts w:ascii="宋体" w:hAnsi="宋体" w:cs="Courier New"/>
      <w:sz w:val="32"/>
      <w:szCs w:val="32"/>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2024-07-08T15:22:00Z</dcterms:created>
  <dc:creator>Administrator</dc:creator>
  <cp:lastModifiedBy>user</cp:lastModifiedBy>
  <cp:lastPrinted>2024-07-17T17:46:00Z</cp:lastPrinted>
  <dcterms:modified xsi:type="dcterms:W3CDTF">2024-08-09T14:25:00Z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