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44"/>
          <w:szCs w:val="44"/>
        </w:rPr>
      </w:pP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小标宋_GBK" w:cs="Times New Roman"/>
          <w:b w:val="0"/>
          <w:bCs w:val="0"/>
          <w:color w:val="auto"/>
          <w:spacing w:val="0"/>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小标宋_GBK" w:cs="Times New Roman"/>
          <w:b w:val="0"/>
          <w:bCs w:val="0"/>
          <w:color w:val="auto"/>
          <w:spacing w:val="0"/>
          <w:sz w:val="44"/>
          <w:szCs w:val="44"/>
        </w:rPr>
      </w:pP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44"/>
          <w:szCs w:val="44"/>
        </w:rPr>
      </w:pP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44"/>
          <w:szCs w:val="44"/>
        </w:rPr>
      </w:pPr>
      <w:r>
        <w:rPr>
          <w:rFonts w:hint="default" w:ascii="Times New Roman" w:hAnsi="Times New Roman" w:eastAsia="方正小标宋_GBK" w:cs="Times New Roman"/>
          <w:b w:val="0"/>
          <w:bCs w:val="0"/>
          <w:color w:val="auto"/>
          <w:spacing w:val="0"/>
          <w:sz w:val="44"/>
          <w:szCs w:val="44"/>
        </w:rPr>
        <w:t>重庆市万州区城市规划管理中心</w:t>
      </w: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44"/>
          <w:szCs w:val="44"/>
          <w:shd w:val="clear" w:color="auto" w:fill="FFFFFF"/>
        </w:rPr>
      </w:pPr>
      <w:r>
        <w:rPr>
          <w:rFonts w:hint="default" w:ascii="Times New Roman" w:hAnsi="Times New Roman" w:eastAsia="方正小标宋_GBK" w:cs="Times New Roman"/>
          <w:b w:val="0"/>
          <w:bCs w:val="0"/>
          <w:color w:val="auto"/>
          <w:spacing w:val="0"/>
          <w:sz w:val="44"/>
          <w:szCs w:val="44"/>
          <w:shd w:val="clear" w:color="auto" w:fill="FFFFFF"/>
        </w:rPr>
        <w:t>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color w:val="auto"/>
          <w:spacing w:val="0"/>
          <w:sz w:val="32"/>
          <w:szCs w:val="32"/>
          <w:shd w:val="clear" w:color="auto" w:fill="FFFFFF"/>
        </w:rPr>
      </w:pP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黑体" w:hAnsi="黑体" w:eastAsia="黑体" w:cs="黑体"/>
          <w:b w:val="0"/>
          <w:bCs w:val="0"/>
          <w:sz w:val="32"/>
          <w:szCs w:val="32"/>
        </w:rPr>
      </w:pPr>
      <w:r>
        <w:rPr>
          <w:rStyle w:val="10"/>
          <w:rFonts w:ascii="黑体" w:hAnsi="黑体" w:eastAsia="黑体" w:cs="黑体"/>
          <w:b w:val="0"/>
          <w:bCs w:val="0"/>
          <w:sz w:val="32"/>
          <w:szCs w:val="32"/>
          <w:shd w:val="clear" w:color="auto" w:fill="FFFFFF"/>
        </w:rPr>
        <w:t>一、单位基本情况</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（一）职能职责</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做好国土空间规划编制和统筹，承担建设项目规划许可管理的事务性、服务性工作。</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（二）机构设置</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区城市规划管理中心为区规资局下属二级事业单位，与局机关合署办公，未单独设置机构科室。</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（三）单位构成</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本单位为二级预算单位无下级预算单位。</w:t>
      </w:r>
      <w:bookmarkStart w:id="0" w:name="_GoBack"/>
      <w:bookmarkEnd w:id="0"/>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黑体" w:cs="Times New Roman"/>
          <w:b w:val="0"/>
          <w:bCs w:val="0"/>
          <w:color w:val="auto"/>
          <w:spacing w:val="0"/>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（一）收入支出决算总体情况说明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eastAsia" w:eastAsia="宋体"/>
          <w:lang w:eastAsia="zh-CN"/>
        </w:rPr>
      </w:pPr>
      <w:r>
        <w:rPr>
          <w:rStyle w:val="10"/>
          <w:rFonts w:hint="default" w:ascii="Times New Roman" w:hAnsi="Times New Roman" w:eastAsia="方正仿宋_GBK" w:cs="Times New Roman"/>
          <w:b w:val="0"/>
          <w:bCs w:val="0"/>
          <w:color w:val="auto"/>
          <w:spacing w:val="0"/>
          <w:sz w:val="32"/>
          <w:szCs w:val="32"/>
          <w:shd w:val="clear" w:color="auto" w:fill="FFFFFF"/>
        </w:rPr>
        <w:t>1.总体情况。</w:t>
      </w:r>
      <w:r>
        <w:rPr>
          <w:rFonts w:hint="default" w:ascii="Times New Roman" w:hAnsi="Times New Roman" w:eastAsia="方正仿宋_GBK" w:cs="Times New Roman"/>
          <w:b w:val="0"/>
          <w:bCs w:val="0"/>
          <w:color w:val="auto"/>
          <w:spacing w:val="0"/>
          <w:sz w:val="32"/>
          <w:szCs w:val="32"/>
          <w:shd w:val="clear" w:color="auto" w:fill="FFFFFF"/>
        </w:rPr>
        <w:t>2023年度收入总计356.14万元，支出总计</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收支较上年决算数减少2.62万元，下降0.73%，主要原因是我单位6月考出外单位一人，对应人员和公用经费减少。本部分的收入总计包括收入合计、使用非财政拨款结余、年初结转和结余，支出总计包括本年支出合计、结余分配、年末结转和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方正仿宋_GBK" w:cs="Times New Roman"/>
          <w:b w:val="0"/>
          <w:bCs w:val="0"/>
          <w:color w:val="auto"/>
          <w:spacing w:val="0"/>
          <w:sz w:val="32"/>
          <w:szCs w:val="32"/>
          <w:shd w:val="clear" w:color="auto" w:fill="FFFFFF"/>
        </w:rPr>
        <w:t>2.收入情况。</w:t>
      </w:r>
      <w:r>
        <w:rPr>
          <w:rFonts w:hint="default" w:ascii="Times New Roman" w:hAnsi="Times New Roman" w:eastAsia="方正仿宋_GBK" w:cs="Times New Roman"/>
          <w:b w:val="0"/>
          <w:bCs w:val="0"/>
          <w:color w:val="auto"/>
          <w:spacing w:val="0"/>
          <w:sz w:val="32"/>
          <w:szCs w:val="32"/>
          <w:shd w:val="clear" w:color="auto" w:fill="FFFFFF"/>
        </w:rPr>
        <w:t>2023年度收入合计356.14万元，较上年决算数减少2.62万元，下降0.73%，主要原因是我单位6月考出外单位一人，对应人员和公用经费减少。其中：财政拨款收入</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万元，占</w:t>
      </w:r>
      <w:r>
        <w:rPr>
          <w:rFonts w:hint="default" w:ascii="Times New Roman" w:hAnsi="Times New Roman" w:eastAsia="方正仿宋_GBK" w:cs="Times New Roman"/>
          <w:b w:val="0"/>
          <w:bCs w:val="0"/>
          <w:color w:val="auto"/>
          <w:spacing w:val="0"/>
          <w:sz w:val="32"/>
          <w:szCs w:val="32"/>
        </w:rPr>
        <w:t>100.00</w:t>
      </w:r>
      <w:r>
        <w:rPr>
          <w:rFonts w:hint="default" w:ascii="Times New Roman" w:hAnsi="Times New Roman" w:eastAsia="方正仿宋_GBK" w:cs="Times New Roman"/>
          <w:b w:val="0"/>
          <w:bCs w:val="0"/>
          <w:color w:val="auto"/>
          <w:spacing w:val="0"/>
          <w:sz w:val="32"/>
          <w:szCs w:val="32"/>
          <w:shd w:val="clear" w:color="auto" w:fill="FFFFFF"/>
        </w:rPr>
        <w:t>%。此外，使用非财政拨款结余和专用结余</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万元，年初结转和结余</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方正仿宋_GBK" w:cs="Times New Roman"/>
          <w:b w:val="0"/>
          <w:bCs w:val="0"/>
          <w:color w:val="auto"/>
          <w:spacing w:val="0"/>
          <w:sz w:val="32"/>
          <w:szCs w:val="32"/>
          <w:shd w:val="clear" w:color="auto" w:fill="FFFFFF"/>
        </w:rPr>
        <w:t>3.支出情况。</w:t>
      </w:r>
      <w:r>
        <w:rPr>
          <w:rFonts w:hint="default" w:ascii="Times New Roman" w:hAnsi="Times New Roman" w:eastAsia="方正仿宋_GBK" w:cs="Times New Roman"/>
          <w:b w:val="0"/>
          <w:bCs w:val="0"/>
          <w:color w:val="auto"/>
          <w:spacing w:val="0"/>
          <w:sz w:val="32"/>
          <w:szCs w:val="32"/>
          <w:shd w:val="clear" w:color="auto" w:fill="FFFFFF"/>
        </w:rPr>
        <w:t>2023年度支出合计</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万元，较上年决算数减少2.62万元，下降0.73%，主要原因是我单位6月考出外单位一人，对应人员和公用经费减少。其中：基本支出</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万元，占100.00%。此外，结余分配</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27" w:firstLineChars="196"/>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仿宋_GBK" w:cs="Times New Roman"/>
          <w:b w:val="0"/>
          <w:bCs w:val="0"/>
          <w:color w:val="auto"/>
          <w:spacing w:val="0"/>
          <w:sz w:val="32"/>
          <w:szCs w:val="32"/>
          <w:shd w:val="clear" w:color="auto" w:fill="FFFFFF"/>
        </w:rPr>
        <w:t>4.结转结余情况。</w:t>
      </w:r>
      <w:r>
        <w:rPr>
          <w:rFonts w:hint="default" w:ascii="Times New Roman" w:hAnsi="Times New Roman" w:eastAsia="方正仿宋_GBK" w:cs="Times New Roman"/>
          <w:b w:val="0"/>
          <w:bCs w:val="0"/>
          <w:color w:val="auto"/>
          <w:spacing w:val="0"/>
          <w:sz w:val="32"/>
          <w:szCs w:val="32"/>
          <w:shd w:val="clear" w:color="auto" w:fill="FFFFFF"/>
        </w:rPr>
        <w:t>2023年度年末结转和结余</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万元，较上年决算数无增减，主要原因是我单位严控预算支出，上年度和本年度无结转结余情况。</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2023年度财政拨款收、支总计356.14万元。与2022年相比，财政拨款收、支总计各减少2.62万元，下降0.73%。主要原因是我单位6月考出外单位一人，对应人员和公用经费减少。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仿宋_GBK" w:cs="Times New Roman"/>
          <w:b w:val="0"/>
          <w:bCs w:val="0"/>
          <w:color w:val="auto"/>
          <w:spacing w:val="0"/>
          <w:sz w:val="32"/>
          <w:szCs w:val="32"/>
          <w:shd w:val="clear" w:color="auto" w:fill="FFFFFF"/>
        </w:rPr>
        <w:t>1.收入情况。</w:t>
      </w:r>
      <w:r>
        <w:rPr>
          <w:rFonts w:hint="default" w:ascii="Times New Roman" w:hAnsi="Times New Roman" w:eastAsia="方正仿宋_GBK" w:cs="Times New Roman"/>
          <w:b w:val="0"/>
          <w:bCs w:val="0"/>
          <w:color w:val="auto"/>
          <w:spacing w:val="0"/>
          <w:sz w:val="32"/>
          <w:szCs w:val="32"/>
          <w:shd w:val="clear" w:color="auto" w:fill="FFFFFF"/>
        </w:rPr>
        <w:t>2023年度一般公共预算财政拨款收入</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较上年决算数减少2.62万元，下降0.73%。主要原因是我单位6月考出外单位一人，对应人员和公用经费减少。较年初预算数增加34.33万元，增长10.67%。主要原因是财政中途预算追加在职人员基本工资晋级和2022年超额绩效等基本支出。此外，年初财政拨款结转和结余</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方正仿宋_GBK" w:cs="Times New Roman"/>
          <w:b w:val="0"/>
          <w:bCs w:val="0"/>
          <w:color w:val="auto"/>
          <w:spacing w:val="0"/>
          <w:sz w:val="32"/>
          <w:szCs w:val="32"/>
          <w:shd w:val="clear" w:color="auto" w:fill="FFFFFF"/>
        </w:rPr>
        <w:t>2.支出情况。</w:t>
      </w:r>
      <w:r>
        <w:rPr>
          <w:rFonts w:hint="default" w:ascii="Times New Roman" w:hAnsi="Times New Roman" w:eastAsia="方正仿宋_GBK" w:cs="Times New Roman"/>
          <w:b w:val="0"/>
          <w:bCs w:val="0"/>
          <w:color w:val="auto"/>
          <w:spacing w:val="0"/>
          <w:sz w:val="32"/>
          <w:szCs w:val="32"/>
          <w:shd w:val="clear" w:color="auto" w:fill="FFFFFF"/>
        </w:rPr>
        <w:t>2023年度一般公共预算财政拨款支出</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较上年决算数减少2.62万元，下降0.73%。主要原因是我单位在6月考出外单位一人，相应社会保障和就业支出及工资支出减少。较年初预算数增加34.33万元，增长10.67%。主要原因是财政中途预算追加在职人员基本工资晋级和2022年超额绩效等基本支出。</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27" w:firstLineChars="196"/>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仿宋_GBK" w:cs="Times New Roman"/>
          <w:b w:val="0"/>
          <w:bCs w:val="0"/>
          <w:color w:val="auto"/>
          <w:spacing w:val="0"/>
          <w:sz w:val="32"/>
          <w:szCs w:val="32"/>
          <w:shd w:val="clear" w:color="auto" w:fill="FFFFFF"/>
        </w:rPr>
        <w:t>3.结转结余情况。</w:t>
      </w:r>
      <w:r>
        <w:rPr>
          <w:rFonts w:hint="default" w:ascii="Times New Roman" w:hAnsi="Times New Roman" w:eastAsia="方正仿宋_GBK" w:cs="Times New Roman"/>
          <w:b w:val="0"/>
          <w:bCs w:val="0"/>
          <w:color w:val="auto"/>
          <w:spacing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万元，较上年决算数无增减，主要原因是我单位严控预算支出，上年度和本年度无结转结余情况。</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仿宋_GBK" w:cs="Times New Roman"/>
          <w:b w:val="0"/>
          <w:bCs w:val="0"/>
          <w:color w:val="auto"/>
          <w:spacing w:val="0"/>
          <w:sz w:val="32"/>
          <w:szCs w:val="32"/>
          <w:shd w:val="clear" w:color="auto" w:fill="FFFFFF"/>
        </w:rPr>
        <w:t>4.比较情况。</w:t>
      </w:r>
      <w:r>
        <w:rPr>
          <w:rFonts w:hint="default" w:ascii="Times New Roman" w:hAnsi="Times New Roman" w:eastAsia="方正仿宋_GBK" w:cs="Times New Roman"/>
          <w:b w:val="0"/>
          <w:bCs w:val="0"/>
          <w:color w:val="auto"/>
          <w:spacing w:val="0"/>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（1）社会保障与就业支出</w:t>
      </w:r>
      <w:r>
        <w:rPr>
          <w:rFonts w:hint="default" w:ascii="Times New Roman" w:hAnsi="Times New Roman" w:eastAsia="方正仿宋_GBK" w:cs="Times New Roman"/>
          <w:b w:val="0"/>
          <w:bCs w:val="0"/>
          <w:color w:val="auto"/>
          <w:spacing w:val="0"/>
          <w:sz w:val="32"/>
          <w:szCs w:val="32"/>
        </w:rPr>
        <w:t>36.90</w:t>
      </w:r>
      <w:r>
        <w:rPr>
          <w:rFonts w:hint="default" w:ascii="Times New Roman" w:hAnsi="Times New Roman" w:eastAsia="方正仿宋_GBK" w:cs="Times New Roman"/>
          <w:b w:val="0"/>
          <w:bCs w:val="0"/>
          <w:color w:val="auto"/>
          <w:spacing w:val="0"/>
          <w:sz w:val="32"/>
          <w:szCs w:val="32"/>
          <w:shd w:val="clear" w:color="auto" w:fill="FFFFFF"/>
        </w:rPr>
        <w:t>万元，占</w:t>
      </w:r>
      <w:r>
        <w:rPr>
          <w:rFonts w:hint="default" w:ascii="Times New Roman" w:hAnsi="Times New Roman" w:eastAsia="方正仿宋_GBK" w:cs="Times New Roman"/>
          <w:b w:val="0"/>
          <w:bCs w:val="0"/>
          <w:color w:val="auto"/>
          <w:spacing w:val="0"/>
          <w:sz w:val="32"/>
          <w:szCs w:val="32"/>
        </w:rPr>
        <w:t>10.36</w:t>
      </w:r>
      <w:r>
        <w:rPr>
          <w:rFonts w:hint="default" w:ascii="Times New Roman" w:hAnsi="Times New Roman" w:eastAsia="方正仿宋_GBK" w:cs="Times New Roman"/>
          <w:b w:val="0"/>
          <w:bCs w:val="0"/>
          <w:color w:val="auto"/>
          <w:spacing w:val="0"/>
          <w:sz w:val="32"/>
          <w:szCs w:val="32"/>
          <w:shd w:val="clear" w:color="auto" w:fill="FFFFFF"/>
        </w:rPr>
        <w:t>%，较年初预算数减少0.32万元，下降0.86%，主要原因是我单位预算结算当年人员经费时，调减了社会保障与就业支出预算指标。</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（2）卫生健康支出</w:t>
      </w:r>
      <w:r>
        <w:rPr>
          <w:rFonts w:hint="default" w:ascii="Times New Roman" w:hAnsi="Times New Roman" w:eastAsia="方正仿宋_GBK" w:cs="Times New Roman"/>
          <w:b w:val="0"/>
          <w:bCs w:val="0"/>
          <w:color w:val="auto"/>
          <w:spacing w:val="0"/>
          <w:sz w:val="32"/>
          <w:szCs w:val="32"/>
        </w:rPr>
        <w:t>17.14</w:t>
      </w:r>
      <w:r>
        <w:rPr>
          <w:rFonts w:hint="default" w:ascii="Times New Roman" w:hAnsi="Times New Roman" w:eastAsia="方正仿宋_GBK" w:cs="Times New Roman"/>
          <w:b w:val="0"/>
          <w:bCs w:val="0"/>
          <w:color w:val="auto"/>
          <w:spacing w:val="0"/>
          <w:sz w:val="32"/>
          <w:szCs w:val="32"/>
          <w:shd w:val="clear" w:color="auto" w:fill="FFFFFF"/>
        </w:rPr>
        <w:t>万元，占</w:t>
      </w:r>
      <w:r>
        <w:rPr>
          <w:rFonts w:hint="default" w:ascii="Times New Roman" w:hAnsi="Times New Roman" w:eastAsia="方正仿宋_GBK" w:cs="Times New Roman"/>
          <w:b w:val="0"/>
          <w:bCs w:val="0"/>
          <w:color w:val="auto"/>
          <w:spacing w:val="0"/>
          <w:sz w:val="32"/>
          <w:szCs w:val="32"/>
        </w:rPr>
        <w:t>4.81</w:t>
      </w:r>
      <w:r>
        <w:rPr>
          <w:rFonts w:hint="default" w:ascii="Times New Roman" w:hAnsi="Times New Roman" w:eastAsia="方正仿宋_GBK" w:cs="Times New Roman"/>
          <w:b w:val="0"/>
          <w:bCs w:val="0"/>
          <w:color w:val="auto"/>
          <w:spacing w:val="0"/>
          <w:sz w:val="32"/>
          <w:szCs w:val="32"/>
          <w:shd w:val="clear" w:color="auto" w:fill="FFFFFF"/>
        </w:rPr>
        <w:t>%，较年初预算数无增减，主要原因是我单位预算结算当年人员经费时，未调整卫生健康支出预算指标。</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（3）城乡社区支出</w:t>
      </w:r>
      <w:r>
        <w:rPr>
          <w:rFonts w:hint="default" w:ascii="Times New Roman" w:hAnsi="Times New Roman" w:eastAsia="方正仿宋_GBK" w:cs="Times New Roman"/>
          <w:b w:val="0"/>
          <w:bCs w:val="0"/>
          <w:color w:val="auto"/>
          <w:spacing w:val="0"/>
          <w:sz w:val="32"/>
          <w:szCs w:val="32"/>
        </w:rPr>
        <w:t>285.03</w:t>
      </w:r>
      <w:r>
        <w:rPr>
          <w:rFonts w:hint="default" w:ascii="Times New Roman" w:hAnsi="Times New Roman" w:eastAsia="方正仿宋_GBK" w:cs="Times New Roman"/>
          <w:b w:val="0"/>
          <w:bCs w:val="0"/>
          <w:color w:val="auto"/>
          <w:spacing w:val="0"/>
          <w:sz w:val="32"/>
          <w:szCs w:val="32"/>
          <w:shd w:val="clear" w:color="auto" w:fill="FFFFFF"/>
        </w:rPr>
        <w:t>万元，占</w:t>
      </w:r>
      <w:r>
        <w:rPr>
          <w:rFonts w:hint="default" w:ascii="Times New Roman" w:hAnsi="Times New Roman" w:eastAsia="方正仿宋_GBK" w:cs="Times New Roman"/>
          <w:b w:val="0"/>
          <w:bCs w:val="0"/>
          <w:color w:val="auto"/>
          <w:spacing w:val="0"/>
          <w:sz w:val="32"/>
          <w:szCs w:val="32"/>
        </w:rPr>
        <w:t>80.03</w:t>
      </w:r>
      <w:r>
        <w:rPr>
          <w:rFonts w:hint="default" w:ascii="Times New Roman" w:hAnsi="Times New Roman" w:eastAsia="方正仿宋_GBK" w:cs="Times New Roman"/>
          <w:b w:val="0"/>
          <w:bCs w:val="0"/>
          <w:color w:val="auto"/>
          <w:spacing w:val="0"/>
          <w:sz w:val="32"/>
          <w:szCs w:val="32"/>
          <w:shd w:val="clear" w:color="auto" w:fill="FFFFFF"/>
        </w:rPr>
        <w:t xml:space="preserve">%，较年初预算数增加34.65万元，增长13.84%，主要原因是财政中途预算追加在职人员基本工资晋级和2022年超额绩效等基本支出。  </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（4）</w:t>
      </w:r>
      <w:r>
        <w:rPr>
          <w:rFonts w:hint="default" w:ascii="Times New Roman" w:hAnsi="Times New Roman" w:eastAsia="方正仿宋_GBK" w:cs="Times New Roman"/>
          <w:b w:val="0"/>
          <w:bCs w:val="0"/>
          <w:color w:val="auto"/>
          <w:spacing w:val="0"/>
          <w:sz w:val="32"/>
          <w:szCs w:val="32"/>
        </w:rPr>
        <w:t>住房保障支出17.07</w:t>
      </w:r>
      <w:r>
        <w:rPr>
          <w:rFonts w:hint="default" w:ascii="Times New Roman" w:hAnsi="Times New Roman" w:eastAsia="方正仿宋_GBK" w:cs="Times New Roman"/>
          <w:b w:val="0"/>
          <w:bCs w:val="0"/>
          <w:color w:val="auto"/>
          <w:spacing w:val="0"/>
          <w:sz w:val="32"/>
          <w:szCs w:val="32"/>
          <w:shd w:val="clear" w:color="auto" w:fill="FFFFFF"/>
        </w:rPr>
        <w:t>万元，占</w:t>
      </w:r>
      <w:r>
        <w:rPr>
          <w:rFonts w:hint="default" w:ascii="Times New Roman" w:hAnsi="Times New Roman" w:eastAsia="方正仿宋_GBK" w:cs="Times New Roman"/>
          <w:b w:val="0"/>
          <w:bCs w:val="0"/>
          <w:color w:val="auto"/>
          <w:spacing w:val="0"/>
          <w:sz w:val="32"/>
          <w:szCs w:val="32"/>
        </w:rPr>
        <w:t>4.79</w:t>
      </w:r>
      <w:r>
        <w:rPr>
          <w:rFonts w:hint="default" w:ascii="Times New Roman" w:hAnsi="Times New Roman" w:eastAsia="方正仿宋_GBK" w:cs="Times New Roman"/>
          <w:b w:val="0"/>
          <w:bCs w:val="0"/>
          <w:color w:val="auto"/>
          <w:spacing w:val="0"/>
          <w:sz w:val="32"/>
          <w:szCs w:val="32"/>
          <w:shd w:val="clear" w:color="auto" w:fill="FFFFFF"/>
        </w:rPr>
        <w:t>%，较年初预算数无增减，主要原因是我单位预算结算当年人员经费时，未调整卫生健康支出预算指标。</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2023年度一般公共财政拨款基本支出</w:t>
      </w:r>
      <w:r>
        <w:rPr>
          <w:rFonts w:hint="default" w:ascii="Times New Roman" w:hAnsi="Times New Roman" w:eastAsia="方正仿宋_GBK" w:cs="Times New Roman"/>
          <w:b w:val="0"/>
          <w:bCs w:val="0"/>
          <w:color w:val="auto"/>
          <w:spacing w:val="0"/>
          <w:sz w:val="32"/>
          <w:szCs w:val="32"/>
        </w:rPr>
        <w:t>356.14</w:t>
      </w:r>
      <w:r>
        <w:rPr>
          <w:rFonts w:hint="default" w:ascii="Times New Roman" w:hAnsi="Times New Roman" w:eastAsia="方正仿宋_GBK" w:cs="Times New Roman"/>
          <w:b w:val="0"/>
          <w:bCs w:val="0"/>
          <w:color w:val="auto"/>
          <w:spacing w:val="0"/>
          <w:sz w:val="32"/>
          <w:szCs w:val="32"/>
          <w:shd w:val="clear" w:color="auto" w:fill="FFFFFF"/>
        </w:rPr>
        <w:t>万元。其中：人员经费</w:t>
      </w:r>
      <w:r>
        <w:rPr>
          <w:rFonts w:hint="default" w:ascii="Times New Roman" w:hAnsi="Times New Roman" w:eastAsia="方正仿宋_GBK" w:cs="Times New Roman"/>
          <w:b w:val="0"/>
          <w:bCs w:val="0"/>
          <w:color w:val="auto"/>
          <w:spacing w:val="0"/>
          <w:sz w:val="32"/>
          <w:szCs w:val="32"/>
        </w:rPr>
        <w:t>329.74</w:t>
      </w:r>
      <w:r>
        <w:rPr>
          <w:rFonts w:hint="default" w:ascii="Times New Roman" w:hAnsi="Times New Roman" w:eastAsia="方正仿宋_GBK" w:cs="Times New Roman"/>
          <w:b w:val="0"/>
          <w:bCs w:val="0"/>
          <w:color w:val="auto"/>
          <w:spacing w:val="0"/>
          <w:sz w:val="32"/>
          <w:szCs w:val="32"/>
          <w:shd w:val="clear" w:color="auto" w:fill="FFFFFF"/>
        </w:rPr>
        <w:t>万元，较上年决算数增加2.58万元，增长0.79%，主要原因是财政中途预算追加在职人员基本工资晋级和2022年超额绩效等基本支出。人员经费用途主要包括基本工资、津贴补贴、绩效工资、伙食补助费、社会保障缴费、住房公积金、医疗费、对个人及家庭的补助等。公用经费</w:t>
      </w:r>
      <w:r>
        <w:rPr>
          <w:rFonts w:hint="default" w:ascii="Times New Roman" w:hAnsi="Times New Roman" w:eastAsia="方正仿宋_GBK" w:cs="Times New Roman"/>
          <w:b w:val="0"/>
          <w:bCs w:val="0"/>
          <w:color w:val="auto"/>
          <w:spacing w:val="0"/>
          <w:sz w:val="32"/>
          <w:szCs w:val="32"/>
        </w:rPr>
        <w:t>26.40</w:t>
      </w:r>
      <w:r>
        <w:rPr>
          <w:rFonts w:hint="default" w:ascii="Times New Roman" w:hAnsi="Times New Roman" w:eastAsia="方正仿宋_GBK" w:cs="Times New Roman"/>
          <w:b w:val="0"/>
          <w:bCs w:val="0"/>
          <w:color w:val="auto"/>
          <w:spacing w:val="0"/>
          <w:sz w:val="32"/>
          <w:szCs w:val="32"/>
          <w:shd w:val="clear" w:color="auto" w:fill="FFFFFF"/>
        </w:rPr>
        <w:t>万元，较上年决算数减少5.20万元，下降16.46%，主要原因是用公用经费弥补了人员社保、公积金等支出。公用经费用途主要包括办公费、印刷费、劳务费、委托业务费、工会经费、其他商品服务支出。</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val="0"/>
          <w:color w:val="auto"/>
          <w:spacing w:val="0"/>
          <w:sz w:val="32"/>
          <w:szCs w:val="32"/>
          <w:shd w:val="clear" w:color="auto" w:fill="FFFFFF"/>
        </w:rPr>
      </w:pPr>
      <w:r>
        <w:rPr>
          <w:rFonts w:hint="default" w:ascii="Times New Roman" w:hAnsi="Times New Roman" w:eastAsia="楷体" w:cs="Times New Roman"/>
          <w:b w:val="0"/>
          <w:bCs w:val="0"/>
          <w:color w:val="auto"/>
          <w:spacing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本单位</w:t>
      </w:r>
      <w:r>
        <w:rPr>
          <w:rFonts w:hint="default" w:ascii="Times New Roman" w:hAnsi="Times New Roman" w:eastAsia="MicrosoftYaHei" w:cs="Times New Roman"/>
          <w:b w:val="0"/>
          <w:bCs w:val="0"/>
          <w:color w:val="auto"/>
          <w:spacing w:val="0"/>
          <w:sz w:val="32"/>
          <w:szCs w:val="32"/>
          <w:shd w:val="clear" w:color="auto" w:fill="FFFFFF"/>
        </w:rPr>
        <w:t>202</w:t>
      </w:r>
      <w:r>
        <w:rPr>
          <w:rFonts w:hint="default" w:ascii="Times New Roman" w:hAnsi="Times New Roman" w:cs="Times New Roman"/>
          <w:b w:val="0"/>
          <w:bCs w:val="0"/>
          <w:color w:val="auto"/>
          <w:spacing w:val="0"/>
          <w:sz w:val="32"/>
          <w:szCs w:val="32"/>
          <w:shd w:val="clear" w:color="auto" w:fill="FFFFFF"/>
        </w:rPr>
        <w:t>3</w:t>
      </w:r>
      <w:r>
        <w:rPr>
          <w:rFonts w:hint="default" w:ascii="Times New Roman" w:hAnsi="Times New Roman" w:eastAsia="方正仿宋_GBK" w:cs="Times New Roman"/>
          <w:b w:val="0"/>
          <w:bCs w:val="0"/>
          <w:color w:val="auto"/>
          <w:spacing w:val="0"/>
          <w:sz w:val="32"/>
          <w:szCs w:val="32"/>
          <w:shd w:val="clear" w:color="auto" w:fill="FFFFFF"/>
        </w:rPr>
        <w:t>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val="0"/>
          <w:color w:val="auto"/>
          <w:spacing w:val="0"/>
          <w:sz w:val="32"/>
          <w:szCs w:val="32"/>
          <w:shd w:val="clear" w:color="auto" w:fill="FFFFFF"/>
        </w:rPr>
      </w:pPr>
      <w:r>
        <w:rPr>
          <w:rFonts w:hint="default" w:ascii="Times New Roman" w:hAnsi="Times New Roman" w:eastAsia="楷体" w:cs="Times New Roman"/>
          <w:b w:val="0"/>
          <w:bCs w:val="0"/>
          <w:color w:val="auto"/>
          <w:spacing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本单位</w:t>
      </w:r>
      <w:r>
        <w:rPr>
          <w:rFonts w:hint="default" w:ascii="Times New Roman" w:hAnsi="Times New Roman" w:eastAsia="MicrosoftYaHei" w:cs="Times New Roman"/>
          <w:b w:val="0"/>
          <w:bCs w:val="0"/>
          <w:color w:val="auto"/>
          <w:spacing w:val="0"/>
          <w:sz w:val="32"/>
          <w:szCs w:val="32"/>
          <w:shd w:val="clear" w:color="auto" w:fill="FFFFFF"/>
        </w:rPr>
        <w:t>202</w:t>
      </w:r>
      <w:r>
        <w:rPr>
          <w:rFonts w:hint="default" w:ascii="Times New Roman" w:hAnsi="Times New Roman" w:cs="Times New Roman"/>
          <w:b w:val="0"/>
          <w:bCs w:val="0"/>
          <w:color w:val="auto"/>
          <w:spacing w:val="0"/>
          <w:sz w:val="32"/>
          <w:szCs w:val="32"/>
          <w:shd w:val="clear" w:color="auto" w:fill="FFFFFF"/>
        </w:rPr>
        <w:t>3</w:t>
      </w:r>
      <w:r>
        <w:rPr>
          <w:rFonts w:hint="default" w:ascii="Times New Roman" w:hAnsi="Times New Roman" w:eastAsia="方正仿宋_GBK" w:cs="Times New Roman"/>
          <w:b w:val="0"/>
          <w:bCs w:val="0"/>
          <w:color w:val="auto"/>
          <w:spacing w:val="0"/>
          <w:sz w:val="32"/>
          <w:szCs w:val="32"/>
          <w:shd w:val="clear" w:color="auto" w:fill="FFFFFF"/>
        </w:rPr>
        <w:t>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黑体" w:cs="Times New Roman"/>
          <w:b w:val="0"/>
          <w:bCs w:val="0"/>
          <w:color w:val="auto"/>
          <w:spacing w:val="0"/>
          <w:sz w:val="32"/>
          <w:szCs w:val="32"/>
          <w:shd w:val="clear" w:color="auto" w:fill="FFFFFF"/>
        </w:rPr>
      </w:pPr>
      <w:r>
        <w:rPr>
          <w:rStyle w:val="10"/>
          <w:rFonts w:hint="default" w:ascii="Times New Roman" w:hAnsi="Times New Roman" w:eastAsia="黑体" w:cs="Times New Roman"/>
          <w:b w:val="0"/>
          <w:bCs w:val="0"/>
          <w:color w:val="auto"/>
          <w:spacing w:val="0"/>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（一）“三公”经费支出总体情况说明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MicrosoftYaHei" w:cs="Times New Roman"/>
          <w:b w:val="0"/>
          <w:bCs w:val="0"/>
          <w:color w:val="auto"/>
          <w:spacing w:val="0"/>
          <w:sz w:val="32"/>
          <w:szCs w:val="32"/>
          <w:shd w:val="clear" w:color="auto" w:fill="FFFFFF"/>
        </w:rPr>
        <w:t>202</w:t>
      </w:r>
      <w:r>
        <w:rPr>
          <w:rFonts w:hint="default" w:ascii="Times New Roman" w:hAnsi="Times New Roman" w:cs="Times New Roman"/>
          <w:b w:val="0"/>
          <w:bCs w:val="0"/>
          <w:color w:val="auto"/>
          <w:spacing w:val="0"/>
          <w:sz w:val="32"/>
          <w:szCs w:val="32"/>
          <w:shd w:val="clear" w:color="auto" w:fill="FFFFFF"/>
        </w:rPr>
        <w:t>3</w:t>
      </w:r>
      <w:r>
        <w:rPr>
          <w:rFonts w:hint="default" w:ascii="Times New Roman" w:hAnsi="Times New Roman" w:eastAsia="方正仿宋_GBK" w:cs="Times New Roman"/>
          <w:b w:val="0"/>
          <w:bCs w:val="0"/>
          <w:color w:val="auto"/>
          <w:spacing w:val="0"/>
          <w:sz w:val="32"/>
          <w:szCs w:val="32"/>
          <w:shd w:val="clear" w:color="auto" w:fill="FFFFFF"/>
        </w:rPr>
        <w:t>年度</w:t>
      </w:r>
      <w:r>
        <w:rPr>
          <w:rFonts w:hint="default" w:ascii="Times New Roman" w:hAnsi="Times New Roman" w:eastAsia="MicrosoftYaHei"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三公</w:t>
      </w:r>
      <w:r>
        <w:rPr>
          <w:rFonts w:hint="default" w:ascii="Times New Roman" w:hAnsi="Times New Roman" w:eastAsia="MicrosoftYaHei"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经费支出共计</w:t>
      </w:r>
      <w:r>
        <w:rPr>
          <w:rFonts w:hint="default" w:ascii="Times New Roman" w:hAnsi="Times New Roman" w:eastAsia="MicrosoftYaHei"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万元，较年初预算数增加</w:t>
      </w:r>
      <w:r>
        <w:rPr>
          <w:rFonts w:hint="default" w:ascii="Times New Roman" w:hAnsi="Times New Roman" w:eastAsia="MicrosoftYaHei"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万元，增长0</w:t>
      </w:r>
      <w:r>
        <w:rPr>
          <w:rFonts w:hint="default" w:ascii="Times New Roman" w:hAnsi="Times New Roman" w:eastAsia="MicrosoftYaHei"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，主要原因是我单位无一般公共预算“三公”经费预算。较上年支出数增加</w:t>
      </w:r>
      <w:r>
        <w:rPr>
          <w:rFonts w:hint="default" w:ascii="Times New Roman" w:hAnsi="Times New Roman" w:eastAsia="MicrosoftYaHei"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万元，增长0</w:t>
      </w:r>
      <w:r>
        <w:rPr>
          <w:rFonts w:hint="default" w:ascii="Times New Roman" w:hAnsi="Times New Roman" w:eastAsia="MicrosoftYaHei"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，主要原因是我单位无一般公共预算“三公”经费预算。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2023年度本单位因公出国（境）费用</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万元，费用支出较年初预算数无增减，较上年支出数无增减。</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2023年度本单位公务车购置费</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万元，费用支出较年初预算数无增减。较上年支出数无增减。</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2023年度本单位公务车运行维护费</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万元，费用支出较年初预算数无增减，较上年支出数无增减。</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2023年度本单位公务接待费</w:t>
      </w:r>
      <w:r>
        <w:rPr>
          <w:rFonts w:hint="default" w:ascii="Times New Roman" w:hAnsi="Times New Roman" w:eastAsia="方正仿宋_GBK" w:cs="Times New Roman"/>
          <w:b w:val="0"/>
          <w:bCs w:val="0"/>
          <w:color w:val="auto"/>
          <w:spacing w:val="0"/>
          <w:sz w:val="32"/>
          <w:szCs w:val="32"/>
        </w:rPr>
        <w:t>0.00</w:t>
      </w:r>
      <w:r>
        <w:rPr>
          <w:rFonts w:hint="default" w:ascii="Times New Roman" w:hAnsi="Times New Roman" w:eastAsia="方正仿宋_GBK" w:cs="Times New Roman"/>
          <w:b w:val="0"/>
          <w:bCs w:val="0"/>
          <w:color w:val="auto"/>
          <w:spacing w:val="0"/>
          <w:sz w:val="32"/>
          <w:szCs w:val="32"/>
          <w:shd w:val="clear" w:color="auto" w:fill="FFFFFF"/>
        </w:rPr>
        <w:t>万元，费用支出较年初预算数无增减，较上年支出数无增减。</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2023年度本单位因公出国（境）共计</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个团组，</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人；公务用车购置</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辆，公务车保有量为</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辆；国内公务接待</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批次</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人，其中：国内外事接待</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批次，</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人；国（境）外公务接待</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批次，</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人。2023年本单位人均接待费</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元，车均购置费</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万元，车均维护费</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黑体" w:cs="Times New Roman"/>
          <w:b w:val="0"/>
          <w:bCs w:val="0"/>
          <w:color w:val="auto"/>
          <w:spacing w:val="0"/>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（一）财政拨款会议费和培训费情况说明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2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本年度会议费支出</w:t>
      </w:r>
      <w:r>
        <w:rPr>
          <w:rFonts w:hint="default" w:ascii="Times New Roman" w:hAnsi="Times New Roman"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万元，较上年决算数增加</w:t>
      </w:r>
      <w:r>
        <w:rPr>
          <w:rFonts w:hint="default" w:ascii="Times New Roman" w:hAnsi="Times New Roman"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万元，增长</w:t>
      </w:r>
      <w:r>
        <w:rPr>
          <w:rFonts w:hint="default" w:ascii="Times New Roman" w:hAnsi="Times New Roman" w:cs="Times New Roman"/>
          <w:b w:val="0"/>
          <w:bCs w:val="0"/>
          <w:color w:val="auto"/>
          <w:spacing w:val="0"/>
          <w:sz w:val="32"/>
          <w:szCs w:val="32"/>
          <w:shd w:val="clear" w:color="auto" w:fill="FFFFFF"/>
        </w:rPr>
        <w:t>0%</w:t>
      </w:r>
      <w:r>
        <w:rPr>
          <w:rFonts w:hint="default" w:ascii="Times New Roman" w:hAnsi="Times New Roman" w:eastAsia="方正仿宋_GBK" w:cs="Times New Roman"/>
          <w:b w:val="0"/>
          <w:bCs w:val="0"/>
          <w:color w:val="auto"/>
          <w:spacing w:val="0"/>
          <w:sz w:val="32"/>
          <w:szCs w:val="32"/>
          <w:shd w:val="clear" w:color="auto" w:fill="FFFFFF"/>
        </w:rPr>
        <w:t>，主要原因是我单位为非独立核算单位，无会议费支出。本年度培训费支出</w:t>
      </w:r>
      <w:r>
        <w:rPr>
          <w:rFonts w:hint="default" w:ascii="Times New Roman" w:hAnsi="Times New Roman"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万元，较上年决算数增加</w:t>
      </w:r>
      <w:r>
        <w:rPr>
          <w:rFonts w:hint="default" w:ascii="Times New Roman" w:hAnsi="Times New Roman" w:cs="Times New Roman"/>
          <w:b w:val="0"/>
          <w:bCs w:val="0"/>
          <w:color w:val="auto"/>
          <w:spacing w:val="0"/>
          <w:sz w:val="32"/>
          <w:szCs w:val="32"/>
          <w:shd w:val="clear" w:color="auto" w:fill="FFFFFF"/>
        </w:rPr>
        <w:t>0.00</w:t>
      </w:r>
      <w:r>
        <w:rPr>
          <w:rFonts w:hint="default" w:ascii="Times New Roman" w:hAnsi="Times New Roman" w:eastAsia="方正仿宋_GBK" w:cs="Times New Roman"/>
          <w:b w:val="0"/>
          <w:bCs w:val="0"/>
          <w:color w:val="auto"/>
          <w:spacing w:val="0"/>
          <w:sz w:val="32"/>
          <w:szCs w:val="32"/>
          <w:shd w:val="clear" w:color="auto" w:fill="FFFFFF"/>
        </w:rPr>
        <w:t>万元，增长</w:t>
      </w:r>
      <w:r>
        <w:rPr>
          <w:rFonts w:hint="default" w:ascii="Times New Roman" w:hAnsi="Times New Roman" w:cs="Times New Roman"/>
          <w:b w:val="0"/>
          <w:bCs w:val="0"/>
          <w:color w:val="auto"/>
          <w:spacing w:val="0"/>
          <w:sz w:val="32"/>
          <w:szCs w:val="32"/>
          <w:shd w:val="clear" w:color="auto" w:fill="FFFFFF"/>
        </w:rPr>
        <w:t>0%</w:t>
      </w:r>
      <w:r>
        <w:rPr>
          <w:rFonts w:hint="default" w:ascii="Times New Roman" w:hAnsi="Times New Roman" w:eastAsia="方正仿宋_GBK" w:cs="Times New Roman"/>
          <w:b w:val="0"/>
          <w:bCs w:val="0"/>
          <w:color w:val="auto"/>
          <w:spacing w:val="0"/>
          <w:sz w:val="32"/>
          <w:szCs w:val="32"/>
          <w:shd w:val="clear" w:color="auto" w:fill="FFFFFF"/>
        </w:rPr>
        <w:t>，</w:t>
      </w:r>
      <w:r>
        <w:rPr>
          <w:rFonts w:hint="eastAsia" w:ascii="Times New Roman" w:hAnsi="Times New Roman" w:eastAsia="方正仿宋_GBK" w:cs="Times New Roman"/>
          <w:b w:val="0"/>
          <w:bCs w:val="0"/>
          <w:color w:val="auto"/>
          <w:spacing w:val="0"/>
          <w:sz w:val="32"/>
          <w:szCs w:val="32"/>
          <w:shd w:val="clear" w:color="auto" w:fill="FFFFFF"/>
          <w:lang w:val="en-US" w:eastAsia="zh-CN"/>
        </w:rPr>
        <w:t>主</w:t>
      </w:r>
      <w:r>
        <w:rPr>
          <w:rFonts w:hint="default" w:ascii="Times New Roman" w:hAnsi="Times New Roman" w:eastAsia="方正仿宋_GBK" w:cs="Times New Roman"/>
          <w:b w:val="0"/>
          <w:bCs w:val="0"/>
          <w:color w:val="auto"/>
          <w:spacing w:val="0"/>
          <w:sz w:val="32"/>
          <w:szCs w:val="32"/>
          <w:shd w:val="clear" w:color="auto" w:fill="FFFFFF"/>
        </w:rPr>
        <w:t>要原因是我单位为非独立核算单位，无培训支出。</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（二）机关运行经费情况说明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按照部门决算列报口径，我单位不在机关运行经费统计范围之内。</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截至2023年12月31日，本单位共有车辆</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辆，其中，副部（省）级及以上领导用车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辆、主要负责人用车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辆、机要通信用车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辆、应急保障用车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辆、执法执勤用车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辆，特种专业技术用车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辆，离退休干部用车</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辆。单价100万元（含）以上专用设备</w:t>
      </w:r>
      <w:r>
        <w:rPr>
          <w:rFonts w:hint="default" w:ascii="Times New Roman" w:hAnsi="Times New Roman" w:eastAsia="方正仿宋_GBK" w:cs="Times New Roman"/>
          <w:b w:val="0"/>
          <w:bCs w:val="0"/>
          <w:color w:val="auto"/>
          <w:spacing w:val="0"/>
          <w:sz w:val="32"/>
          <w:szCs w:val="32"/>
        </w:rPr>
        <w:t>0</w:t>
      </w:r>
      <w:r>
        <w:rPr>
          <w:rFonts w:hint="default" w:ascii="Times New Roman" w:hAnsi="Times New Roman" w:eastAsia="方正仿宋_GBK" w:cs="Times New Roman"/>
          <w:b w:val="0"/>
          <w:bCs w:val="0"/>
          <w:color w:val="auto"/>
          <w:spacing w:val="0"/>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shd w:val="clear" w:color="auto" w:fill="FFFFFF"/>
        </w:rPr>
        <w:t>（四）政府采购支出情况说明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MicrosoftYaHei" w:cs="Times New Roman"/>
          <w:b w:val="0"/>
          <w:bCs w:val="0"/>
          <w:color w:val="auto"/>
          <w:spacing w:val="0"/>
          <w:sz w:val="32"/>
          <w:szCs w:val="32"/>
          <w:shd w:val="clear" w:color="auto" w:fill="FFFFFF"/>
        </w:rPr>
        <w:t>202</w:t>
      </w:r>
      <w:r>
        <w:rPr>
          <w:rFonts w:hint="default" w:ascii="Times New Roman" w:hAnsi="Times New Roman" w:cs="Times New Roman"/>
          <w:b w:val="0"/>
          <w:bCs w:val="0"/>
          <w:color w:val="auto"/>
          <w:spacing w:val="0"/>
          <w:sz w:val="32"/>
          <w:szCs w:val="32"/>
          <w:shd w:val="clear" w:color="auto" w:fill="FFFFFF"/>
        </w:rPr>
        <w:t>3</w:t>
      </w:r>
      <w:r>
        <w:rPr>
          <w:rFonts w:hint="default" w:ascii="Times New Roman" w:hAnsi="Times New Roman" w:eastAsia="方正仿宋_GBK" w:cs="Times New Roman"/>
          <w:b w:val="0"/>
          <w:bCs w:val="0"/>
          <w:color w:val="auto"/>
          <w:spacing w:val="0"/>
          <w:sz w:val="32"/>
          <w:szCs w:val="32"/>
          <w:shd w:val="clear" w:color="auto" w:fill="FFFFFF"/>
        </w:rPr>
        <w:t>年度我单位未发生政府采购事项，无相关经费支出。</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黑体" w:cs="Times New Roman"/>
          <w:b w:val="0"/>
          <w:bCs w:val="0"/>
          <w:color w:val="auto"/>
          <w:spacing w:val="0"/>
          <w:sz w:val="32"/>
          <w:szCs w:val="32"/>
          <w:shd w:val="clear" w:color="auto" w:fill="FFFFFF"/>
        </w:rPr>
      </w:pPr>
      <w:r>
        <w:rPr>
          <w:rStyle w:val="10"/>
          <w:rFonts w:hint="default" w:ascii="Times New Roman" w:hAnsi="Times New Roman" w:eastAsia="黑体" w:cs="Times New Roman"/>
          <w:b w:val="0"/>
          <w:bCs w:val="0"/>
          <w:color w:val="auto"/>
          <w:spacing w:val="0"/>
          <w:sz w:val="32"/>
          <w:szCs w:val="32"/>
          <w:shd w:val="clear" w:color="auto" w:fill="FFFFFF"/>
          <w:lang w:eastAsia="zh-CN"/>
        </w:rPr>
        <w:t>五、</w:t>
      </w:r>
      <w:r>
        <w:rPr>
          <w:rStyle w:val="10"/>
          <w:rFonts w:hint="default" w:ascii="Times New Roman" w:hAnsi="Times New Roman" w:eastAsia="黑体" w:cs="Times New Roman"/>
          <w:b w:val="0"/>
          <w:bCs w:val="0"/>
          <w:color w:val="auto"/>
          <w:spacing w:val="0"/>
          <w:sz w:val="32"/>
          <w:szCs w:val="32"/>
          <w:shd w:val="clear" w:color="auto" w:fill="FFFFFF"/>
        </w:rPr>
        <w:t>预算绩效管理情况说明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本单位无项目支出，无相关预算绩效评价。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黑体" w:cs="Times New Roman"/>
          <w:b w:val="0"/>
          <w:bCs w:val="0"/>
          <w:color w:val="auto"/>
          <w:spacing w:val="0"/>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（一）财政拨款收入</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（二）事业收入</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（三）经营收入</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（四）其他收入</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rPr>
        <w:t>（五）使用非财政拨款结余</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（六）年初结转和结余</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（七）结余分配</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（八）年末结转和结余</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（九）基本支出</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（十）项目支出</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（十一）经营支出</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（十二）“三公”经费</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（十三）机关运行经费</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（十四）工资福利支出（支出经济分类科目类级）</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（十五）商品和服务支出（支出经济分类科目类级）</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（十六）对个人和家庭的补助（支出经济分类科目类级）</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rPr>
      </w:pPr>
      <w:r>
        <w:rPr>
          <w:rStyle w:val="10"/>
          <w:rFonts w:hint="default" w:ascii="Times New Roman" w:hAnsi="Times New Roman" w:eastAsia="方正楷体_GBK" w:cs="Times New Roman"/>
          <w:b w:val="0"/>
          <w:bCs w:val="0"/>
          <w:color w:val="auto"/>
          <w:spacing w:val="0"/>
          <w:sz w:val="32"/>
          <w:szCs w:val="32"/>
          <w:shd w:val="clear" w:color="auto" w:fill="FFFFFF"/>
          <w:lang w:val="en-US" w:eastAsia="zh-CN"/>
        </w:rPr>
        <w:t>（十七）其他资本性支出（支出经济分类科目类级）</w:t>
      </w:r>
      <w:r>
        <w:rPr>
          <w:rFonts w:hint="default" w:ascii="Times New Roman" w:hAnsi="Times New Roman" w:eastAsia="楷体" w:cs="Times New Roman"/>
          <w:b w:val="0"/>
          <w:bCs w:val="0"/>
          <w:color w:val="auto"/>
          <w:spacing w:val="0"/>
          <w:sz w:val="32"/>
          <w:szCs w:val="32"/>
          <w:shd w:val="clear" w:color="auto" w:fill="FFFFFF"/>
        </w:rPr>
        <w:t>：</w:t>
      </w:r>
      <w:r>
        <w:rPr>
          <w:rFonts w:hint="default" w:ascii="Times New Roman" w:hAnsi="Times New Roman" w:eastAsia="方正仿宋_GBK" w:cs="Times New Roman"/>
          <w:b w:val="0"/>
          <w:bCs w:val="0"/>
          <w:color w:val="auto"/>
          <w:spacing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color w:val="auto"/>
          <w:spacing w:val="0"/>
          <w:sz w:val="32"/>
          <w:szCs w:val="32"/>
          <w:shd w:val="clear" w:color="auto" w:fill="FFFFFF"/>
        </w:rPr>
      </w:pPr>
      <w:r>
        <w:rPr>
          <w:rStyle w:val="10"/>
          <w:rFonts w:hint="default" w:ascii="Times New Roman" w:hAnsi="Times New Roman" w:eastAsia="黑体" w:cs="Times New Roman"/>
          <w:b w:val="0"/>
          <w:bCs w:val="0"/>
          <w:color w:val="auto"/>
          <w:spacing w:val="0"/>
          <w:sz w:val="32"/>
          <w:szCs w:val="32"/>
          <w:shd w:val="clear" w:color="auto" w:fill="FFFFFF"/>
        </w:rPr>
        <w:t>七、决算公开联系方式及信息反馈渠道</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MicrosoftYaHei"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shd w:val="clear" w:color="auto" w:fill="FFFFFF"/>
        </w:rPr>
        <w:t>本单位决算公开信息反馈和联系方式：</w:t>
      </w:r>
      <w:r>
        <w:rPr>
          <w:rFonts w:hint="default" w:ascii="Times New Roman" w:hAnsi="Times New Roman" w:eastAsia="MicrosoftYaHei" w:cs="Times New Roman"/>
          <w:b w:val="0"/>
          <w:bCs w:val="0"/>
          <w:color w:val="auto"/>
          <w:spacing w:val="0"/>
          <w:sz w:val="32"/>
          <w:szCs w:val="32"/>
          <w:shd w:val="clear" w:color="auto" w:fill="FFFFFF"/>
        </w:rPr>
        <w:t>023-64883878</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val="0"/>
          <w:color w:val="auto"/>
          <w:sz w:val="32"/>
          <w:szCs w:val="32"/>
          <w:shd w:val="clear" w:color="auto" w:fill="FFFF00"/>
        </w:rPr>
        <w:sectPr>
          <w:footerReference r:id="rId3" w:type="default"/>
          <w:pgSz w:w="11915" w:h="16840"/>
          <w:pgMar w:top="1984" w:right="1474" w:bottom="1644" w:left="1587" w:header="851" w:footer="1247" w:gutter="0"/>
          <w:paperSrc/>
          <w:pgNumType w:fmt="numberInDash"/>
          <w:cols w:space="0" w:num="1"/>
          <w:titlePg/>
          <w:rtlGutter w:val="0"/>
          <w:docGrid w:type="lines" w:linePitch="330" w:charSpace="0"/>
        </w:sectPr>
      </w:pPr>
    </w:p>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p>
    <w:tbl>
      <w:tblPr>
        <w:tblStyle w:val="7"/>
        <w:tblW w:w="14673" w:type="dxa"/>
        <w:tblInd w:w="0" w:type="dxa"/>
        <w:tblLayout w:type="fixed"/>
        <w:tblCellMar>
          <w:top w:w="0" w:type="dxa"/>
          <w:left w:w="0" w:type="dxa"/>
          <w:bottom w:w="0" w:type="dxa"/>
          <w:right w:w="0" w:type="dxa"/>
        </w:tblCellMar>
      </w:tblPr>
      <w:tblGrid>
        <w:gridCol w:w="5122"/>
        <w:gridCol w:w="2020"/>
        <w:gridCol w:w="4809"/>
        <w:gridCol w:w="2722"/>
      </w:tblGrid>
      <w:tr>
        <w:tblPrEx>
          <w:tblLayout w:type="fixed"/>
          <w:tblCellMar>
            <w:top w:w="0" w:type="dxa"/>
            <w:left w:w="0" w:type="dxa"/>
            <w:bottom w:w="0" w:type="dxa"/>
            <w:right w:w="0" w:type="dxa"/>
          </w:tblCellMar>
        </w:tblPrEx>
        <w:trPr>
          <w:trHeight w:val="495" w:hRule="atLeast"/>
        </w:trPr>
        <w:tc>
          <w:tcPr>
            <w:tcW w:w="1467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cs="Arial"/>
                <w:b w:val="0"/>
                <w:bCs w:val="0"/>
                <w:color w:val="auto"/>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cs="Arial"/>
                <w:b w:val="0"/>
                <w:bCs w:val="0"/>
                <w:color w:val="auto"/>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cs="Arial"/>
                <w:b w:val="0"/>
                <w:bCs w:val="0"/>
                <w:color w:val="auto"/>
                <w:sz w:val="20"/>
                <w:szCs w:val="20"/>
              </w:rPr>
            </w:pPr>
          </w:p>
        </w:tc>
        <w:tc>
          <w:tcPr>
            <w:tcW w:w="27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cs="Arial"/>
                <w:b w:val="0"/>
                <w:bCs w:val="0"/>
                <w:color w:val="auto"/>
                <w:sz w:val="22"/>
                <w:szCs w:val="22"/>
              </w:rPr>
            </w:pPr>
            <w:r>
              <w:rPr>
                <w:rFonts w:cs="宋体"/>
                <w:b w:val="0"/>
                <w:bCs w:val="0"/>
                <w:color w:val="auto"/>
                <w:sz w:val="20"/>
                <w:szCs w:val="20"/>
              </w:rPr>
              <w:t>公开单位：</w:t>
            </w:r>
            <w:r>
              <w:rPr>
                <w:b w:val="0"/>
                <w:bCs w:val="0"/>
                <w:color w:val="auto"/>
                <w:sz w:val="20"/>
              </w:rPr>
              <w:t>重庆市万州区城市规划管理中心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cs="Arial"/>
                <w:b w:val="0"/>
                <w:bCs w:val="0"/>
                <w:color w:val="auto"/>
                <w:sz w:val="22"/>
                <w:szCs w:val="22"/>
              </w:rPr>
            </w:pPr>
          </w:p>
        </w:tc>
        <w:tc>
          <w:tcPr>
            <w:tcW w:w="27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收入</w:t>
            </w:r>
          </w:p>
        </w:tc>
        <w:tc>
          <w:tcPr>
            <w:tcW w:w="753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w:t>
            </w:r>
          </w:p>
        </w:tc>
        <w:tc>
          <w:tcPr>
            <w:tcW w:w="27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一、一般公共服务支出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二、外交支出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三、国防支出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四、公共安全支出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五、教育支出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六、科学技术支出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七、文化旅游体育与传媒支出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八、社会保障和就业支出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cs="Arial"/>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九、卫生健康支出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cs="Arial"/>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十、节能环保支出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cs="Arial"/>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十一、城乡社区支出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cs="Arial"/>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十二、农林水支出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十三、交通运输支出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十四、资源勘探工业信息等支出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十五、商业服务业等支出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十六、金融支出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十七、援助其他地区支出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十八、自然资源海洋气象等支出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十九、住房保障支出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二十、粮油物资储备支出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二十一、国有资本经营预算支出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二十二、灾害防治及应急管理支出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二十三、其他支出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二十四、债务还本支出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二十五、债务付息支出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二十六、抗疫特别国债安排的支出</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本年支出合计</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结余分配</w:t>
            </w:r>
          </w:p>
        </w:tc>
        <w:tc>
          <w:tcPr>
            <w:tcW w:w="27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年末结转和结余</w:t>
            </w:r>
          </w:p>
        </w:tc>
        <w:tc>
          <w:tcPr>
            <w:tcW w:w="27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总计</w:t>
            </w:r>
          </w:p>
        </w:tc>
        <w:tc>
          <w:tcPr>
            <w:tcW w:w="27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备注：1.本表反映单位本年度的总收支和年末结转结余情况。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tbl>
      <w:tblPr>
        <w:tblStyle w:val="7"/>
        <w:tblW w:w="1501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085"/>
        <w:gridCol w:w="1455"/>
      </w:tblGrid>
      <w:tr>
        <w:tblPrEx>
          <w:tblLayout w:type="fixed"/>
          <w:tblCellMar>
            <w:top w:w="0" w:type="dxa"/>
            <w:left w:w="0" w:type="dxa"/>
            <w:bottom w:w="0" w:type="dxa"/>
            <w:right w:w="0" w:type="dxa"/>
          </w:tblCellMar>
        </w:tblPrEx>
        <w:trPr>
          <w:trHeight w:val="641" w:hRule="atLeast"/>
        </w:trPr>
        <w:tc>
          <w:tcPr>
            <w:tcW w:w="1501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公开单位：</w:t>
            </w:r>
            <w:r>
              <w:rPr>
                <w:b w:val="0"/>
                <w:bCs w:val="0"/>
                <w:color w:val="auto"/>
                <w:sz w:val="20"/>
              </w:rPr>
              <w:t>重庆市万州区城市规划管理中心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0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0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20"/>
                <w:szCs w:val="20"/>
              </w:rPr>
            </w:pPr>
            <w:r>
              <w:rPr>
                <w:rFonts w:cs="宋体"/>
                <w:b w:val="0"/>
                <w:bCs w:val="0"/>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20"/>
                <w:szCs w:val="20"/>
              </w:rPr>
            </w:pPr>
            <w:r>
              <w:rPr>
                <w:rFonts w:cs="宋体"/>
                <w:b w:val="0"/>
                <w:bCs w:val="0"/>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经营收入</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附属单位上缴收入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600" w:hanging="600" w:hangingChars="300"/>
        <w:rPr>
          <w:rFonts w:hint="default" w:cs="宋体"/>
          <w:b w:val="0"/>
          <w:bCs w:val="0"/>
          <w:color w:val="auto"/>
          <w:sz w:val="20"/>
          <w:szCs w:val="20"/>
        </w:rPr>
      </w:pPr>
      <w:r>
        <w:rPr>
          <w:rFonts w:cs="宋体"/>
          <w:b w:val="0"/>
          <w:bCs w:val="0"/>
          <w:color w:val="auto"/>
          <w:sz w:val="20"/>
          <w:szCs w:val="20"/>
        </w:rPr>
        <w:t>备注：1.本表反映单位本年度取得的各项收入情况。</w:t>
      </w:r>
      <w:r>
        <w:rPr>
          <w:rFonts w:cs="宋体"/>
          <w:b w:val="0"/>
          <w:bCs w:val="0"/>
          <w:color w:val="auto"/>
          <w:sz w:val="20"/>
          <w:szCs w:val="20"/>
        </w:rPr>
        <w:br w:type="textWrapping"/>
      </w:r>
      <w:r>
        <w:rPr>
          <w:rFonts w:cs="宋体"/>
          <w:b w:val="0"/>
          <w:bCs w:val="0"/>
          <w:color w:val="auto"/>
          <w:sz w:val="20"/>
          <w:szCs w:val="20"/>
        </w:rPr>
        <w:t>2.本套报表金额单位转换时可能存在尾数误差。</w:t>
      </w:r>
      <w:r>
        <w:rPr>
          <w:rFonts w:cs="宋体"/>
          <w:b w:val="0"/>
          <w:bCs w:val="0"/>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bl>
      <w:tblPr>
        <w:tblStyle w:val="7"/>
        <w:tblW w:w="15003"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372"/>
      </w:tblGrid>
      <w:tr>
        <w:tblPrEx>
          <w:tblLayout w:type="fixed"/>
          <w:tblCellMar>
            <w:top w:w="0" w:type="dxa"/>
            <w:left w:w="0" w:type="dxa"/>
            <w:bottom w:w="0" w:type="dxa"/>
            <w:right w:w="0" w:type="dxa"/>
          </w:tblCellMar>
        </w:tblPrEx>
        <w:trPr>
          <w:trHeight w:val="654" w:hRule="atLeast"/>
        </w:trPr>
        <w:tc>
          <w:tcPr>
            <w:tcW w:w="15003"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 xml:space="preserve">公开单位： </w:t>
            </w:r>
            <w:r>
              <w:rPr>
                <w:b w:val="0"/>
                <w:bCs w:val="0"/>
                <w:color w:val="auto"/>
                <w:sz w:val="20"/>
              </w:rPr>
              <w:t xml:space="preserve">重庆市万州区城市规划管理中心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20"/>
                <w:szCs w:val="20"/>
              </w:rPr>
            </w:pPr>
            <w:r>
              <w:rPr>
                <w:rFonts w:cs="宋体"/>
                <w:b w:val="0"/>
                <w:bCs w:val="0"/>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经营支出</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备注：1.本表反映单位本年度各项支出情况。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1"/>
          <w:szCs w:val="21"/>
        </w:rPr>
        <w:br w:type="page"/>
      </w:r>
    </w:p>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r>
              <w:rPr>
                <w:rFonts w:cs="宋体"/>
                <w:b w:val="0"/>
                <w:bCs w:val="0"/>
                <w:color w:val="auto"/>
                <w:sz w:val="20"/>
                <w:szCs w:val="20"/>
              </w:rPr>
              <w:t xml:space="preserve">公开单位： </w:t>
            </w:r>
            <w:r>
              <w:rPr>
                <w:b w:val="0"/>
                <w:bCs w:val="0"/>
                <w:color w:val="auto"/>
                <w:sz w:val="20"/>
              </w:rPr>
              <w:t>重庆市万州区城市规划管理中心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36.90</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36.90</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285.03</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285.03</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17.07</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17.07</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356.14</w:t>
            </w:r>
            <w:r>
              <w:rPr>
                <w:b w:val="0"/>
                <w:bCs w:val="0"/>
                <w:color w:val="auto"/>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备注：1.本表反映单位本年度一般公共预算财政拨款、政府性基金预算财政拨款及国有资本经营预算财政拨款的总收支和年末结转结余情况。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r>
        <w:rPr>
          <w:rFonts w:cs="宋体"/>
          <w:b w:val="0"/>
          <w:bCs w:val="0"/>
          <w:color w:val="auto"/>
          <w:sz w:val="21"/>
          <w:szCs w:val="21"/>
        </w:rPr>
        <w:br w:type="page"/>
      </w:r>
    </w:p>
    <w:tbl>
      <w:tblPr>
        <w:tblStyle w:val="7"/>
        <w:tblW w:w="14133" w:type="dxa"/>
        <w:tblInd w:w="0" w:type="dxa"/>
        <w:tblLayout w:type="fixed"/>
        <w:tblCellMar>
          <w:top w:w="0" w:type="dxa"/>
          <w:left w:w="0" w:type="dxa"/>
          <w:bottom w:w="0" w:type="dxa"/>
          <w:right w:w="0" w:type="dxa"/>
        </w:tblCellMar>
      </w:tblPr>
      <w:tblGrid>
        <w:gridCol w:w="1857"/>
        <w:gridCol w:w="3549"/>
        <w:gridCol w:w="3319"/>
        <w:gridCol w:w="3319"/>
        <w:gridCol w:w="2089"/>
      </w:tblGrid>
      <w:tr>
        <w:tblPrEx>
          <w:tblLayout w:type="fixed"/>
          <w:tblCellMar>
            <w:top w:w="0" w:type="dxa"/>
            <w:left w:w="0" w:type="dxa"/>
            <w:bottom w:w="0" w:type="dxa"/>
            <w:right w:w="0" w:type="dxa"/>
          </w:tblCellMar>
        </w:tblPrEx>
        <w:trPr>
          <w:trHeight w:val="510" w:hRule="atLeast"/>
        </w:trPr>
        <w:tc>
          <w:tcPr>
            <w:tcW w:w="14133"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 xml:space="preserve">公开单位： </w:t>
            </w:r>
            <w:r>
              <w:rPr>
                <w:b w:val="0"/>
                <w:bCs w:val="0"/>
                <w:color w:val="auto"/>
                <w:sz w:val="20"/>
              </w:rPr>
              <w:t>重庆市万州区城市规划管理中心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0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w:t>
            </w:r>
          </w:p>
        </w:tc>
        <w:tc>
          <w:tcPr>
            <w:tcW w:w="872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20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20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20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356.14</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36.90</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36.47</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22.43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11.38</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2.66</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0.43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17.14</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14.22</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2.92</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2120201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城乡社区规划与管理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285.03</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20"/>
                <w:szCs w:val="20"/>
              </w:rPr>
            </w:pPr>
            <w:r>
              <w:rPr>
                <w:rFonts w:cs="宋体"/>
                <w:b w:val="0"/>
                <w:bCs w:val="0"/>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rFonts w:cs="宋体"/>
                <w:b w:val="0"/>
                <w:bCs w:val="0"/>
                <w:color w:val="auto"/>
                <w:sz w:val="20"/>
                <w:szCs w:val="20"/>
              </w:rPr>
              <w:t>17.07</w:t>
            </w:r>
            <w:r>
              <w:rPr>
                <w:b w:val="0"/>
                <w:bCs w:val="0"/>
                <w:color w:val="auto"/>
                <w:sz w:val="20"/>
              </w:rPr>
              <w:t xml:space="preserve"> </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0"/>
          <w:szCs w:val="20"/>
        </w:rPr>
        <w:t>备注：1.本表反映单位本年度一般公共预算财政拨款支出情况。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firstLine="630" w:firstLineChars="300"/>
        <w:rPr>
          <w:rFonts w:hint="default" w:cs="宋体"/>
          <w:b w:val="0"/>
          <w:bCs w:val="0"/>
          <w:color w:val="auto"/>
          <w:sz w:val="21"/>
          <w:szCs w:val="21"/>
        </w:rPr>
      </w:pPr>
      <w:r>
        <w:rPr>
          <w:rFonts w:cs="宋体"/>
          <w:b w:val="0"/>
          <w:bCs w:val="0"/>
          <w:color w:val="auto"/>
          <w:sz w:val="21"/>
          <w:szCs w:val="21"/>
        </w:rPr>
        <w:br w:type="page"/>
      </w:r>
    </w:p>
    <w:tbl>
      <w:tblPr>
        <w:tblStyle w:val="7"/>
        <w:tblW w:w="14853"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382"/>
      </w:tblGrid>
      <w:tr>
        <w:tblPrEx>
          <w:tblLayout w:type="fixed"/>
          <w:tblCellMar>
            <w:top w:w="0" w:type="dxa"/>
            <w:left w:w="0" w:type="dxa"/>
            <w:bottom w:w="0" w:type="dxa"/>
            <w:right w:w="0" w:type="dxa"/>
          </w:tblCellMar>
        </w:tblPrEx>
        <w:trPr>
          <w:trHeight w:val="90" w:hRule="atLeast"/>
        </w:trPr>
        <w:tc>
          <w:tcPr>
            <w:tcW w:w="14853"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r>
              <w:rPr>
                <w:rFonts w:cs="宋体"/>
                <w:b w:val="0"/>
                <w:bCs w:val="0"/>
                <w:color w:val="auto"/>
                <w:sz w:val="20"/>
                <w:szCs w:val="20"/>
              </w:rPr>
              <w:t xml:space="preserve">公开单位： </w:t>
            </w:r>
            <w:r>
              <w:rPr>
                <w:b w:val="0"/>
                <w:bCs w:val="0"/>
                <w:color w:val="auto"/>
                <w:sz w:val="20"/>
              </w:rPr>
              <w:t>重庆市万州区城市规划管理中心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人员经费</w:t>
            </w:r>
          </w:p>
        </w:tc>
        <w:tc>
          <w:tcPr>
            <w:tcW w:w="10132"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13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c>
          <w:tcPr>
            <w:tcW w:w="1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326.75</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26.40</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资本性支出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75.53</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2.13</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房屋建筑物购建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2.57</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0.47</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办公设备购置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专用设备购置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基础设施建设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175.97</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大型修缮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24.68</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信息网络及软件购置更新</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11.38</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物资储备</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14.22</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土地补偿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安置补助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0.43</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地上附着物和青苗补偿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17.07</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拆迁补偿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2.72</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公务用车购置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2.18</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其他交通工具购置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2.99</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文物和陈列品购置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无形资产购置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其他资本性支出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对企业补助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资本金注入</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2.79</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政府投资基金股权投资</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2.90</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费用补贴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0.20</w:t>
            </w: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11.55</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利息补贴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6.95</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其他对企业补助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其他支出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国家赔偿费用支出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对民间非营利组织和群众性自治组织补贴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经常性赠与</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2.40</w:t>
            </w: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资本性赠与</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其他支出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8"/>
                <w:szCs w:val="18"/>
              </w:rPr>
            </w:pPr>
            <w:r>
              <w:rPr>
                <w:rFonts w:cs="宋体"/>
                <w:b w:val="0"/>
                <w:bCs w:val="0"/>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b w:val="0"/>
                <w:bCs w:val="0"/>
                <w:color w:val="auto"/>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default" w:cs="宋体"/>
                <w:b w:val="0"/>
                <w:bCs w:val="0"/>
                <w:color w:val="auto"/>
                <w:sz w:val="18"/>
                <w:szCs w:val="18"/>
              </w:rPr>
            </w:pPr>
            <w:r>
              <w:rPr>
                <w:rFonts w:cs="宋体"/>
                <w:b w:val="0"/>
                <w:bCs w:val="0"/>
                <w:color w:val="auto"/>
                <w:sz w:val="18"/>
                <w:szCs w:val="18"/>
              </w:rPr>
              <w:t>329.74</w:t>
            </w:r>
            <w:r>
              <w:rPr>
                <w:b w:val="0"/>
                <w:bCs w:val="0"/>
                <w:color w:val="auto"/>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8"/>
                <w:szCs w:val="18"/>
              </w:rPr>
            </w:pPr>
            <w:r>
              <w:rPr>
                <w:rFonts w:cs="宋体"/>
                <w:b w:val="0"/>
                <w:bCs w:val="0"/>
                <w:color w:val="auto"/>
                <w:sz w:val="18"/>
                <w:szCs w:val="18"/>
              </w:rPr>
              <w:t>公用经费合计</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18"/>
                <w:szCs w:val="18"/>
              </w:rPr>
            </w:pPr>
            <w:r>
              <w:rPr>
                <w:rFonts w:cs="宋体"/>
                <w:b w:val="0"/>
                <w:bCs w:val="0"/>
                <w:color w:val="auto"/>
                <w:sz w:val="18"/>
                <w:szCs w:val="18"/>
              </w:rPr>
              <w:t>26.40</w:t>
            </w:r>
            <w:r>
              <w:rPr>
                <w:b w:val="0"/>
                <w:bCs w:val="0"/>
                <w:color w:val="auto"/>
                <w:sz w:val="18"/>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备注：1.本表反映单位本年度一般公共预算财政拨款基本支出明细情况。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r>
        <w:rPr>
          <w:rFonts w:cs="宋体"/>
          <w:b w:val="0"/>
          <w:bCs w:val="0"/>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 xml:space="preserve">公开单位： </w:t>
            </w:r>
            <w:r>
              <w:rPr>
                <w:b w:val="0"/>
                <w:bCs w:val="0"/>
                <w:color w:val="auto"/>
                <w:sz w:val="20"/>
              </w:rPr>
              <w:t>重庆市万州区城市规划管理中心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0"/>
          <w:szCs w:val="20"/>
        </w:rPr>
        <w:t>备注：本表反映单位本年度政府性基金预算财政拨款收入支出及结转和结余情况。本单位无政府性基金收支，故本表无数据。</w:t>
      </w:r>
      <w:r>
        <w:rPr>
          <w:rFonts w:cs="宋体"/>
          <w:b w:val="0"/>
          <w:bCs w:val="0"/>
          <w:color w:val="auto"/>
          <w:sz w:val="20"/>
          <w:szCs w:val="20"/>
        </w:rPr>
        <w:br w:type="textWrapping"/>
      </w:r>
      <w:r>
        <w:rPr>
          <w:rFonts w:cs="宋体"/>
          <w:b w:val="0"/>
          <w:bCs w:val="0"/>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 xml:space="preserve">公开单位： </w:t>
            </w:r>
            <w:r>
              <w:rPr>
                <w:b w:val="0"/>
                <w:bCs w:val="0"/>
                <w:color w:val="auto"/>
                <w:sz w:val="20"/>
              </w:rPr>
              <w:t>重庆市万州区城市规划管理中心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20"/>
                <w:szCs w:val="20"/>
              </w:rPr>
            </w:pPr>
            <w:r>
              <w:rPr>
                <w:rFonts w:cs="宋体"/>
                <w:b w:val="0"/>
                <w:bCs w:val="0"/>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20"/>
                <w:szCs w:val="20"/>
              </w:rPr>
            </w:pPr>
            <w:r>
              <w:rPr>
                <w:rFonts w:cs="宋体"/>
                <w:b w:val="0"/>
                <w:bCs w:val="0"/>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20"/>
                <w:szCs w:val="20"/>
              </w:rPr>
            </w:pPr>
            <w:r>
              <w:rPr>
                <w:rFonts w:cs="宋体"/>
                <w:b w:val="0"/>
                <w:bCs w:val="0"/>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cs="宋体"/>
                <w:b w:val="0"/>
                <w:bCs w:val="0"/>
                <w:color w:val="auto"/>
                <w:sz w:val="20"/>
                <w:szCs w:val="20"/>
              </w:rPr>
            </w:pPr>
            <w:r>
              <w:rPr>
                <w:b w:val="0"/>
                <w:bCs w:val="0"/>
                <w:color w:val="auto"/>
                <w:sz w:val="20"/>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0"/>
          <w:szCs w:val="20"/>
        </w:rPr>
        <w:t>备注：本表反映单位本年度国有资本经营预算财政拨款支出情况。本单位无国有资本经营收支，故本表无数据。</w:t>
      </w:r>
      <w:r>
        <w:rPr>
          <w:rFonts w:cs="宋体"/>
          <w:b w:val="0"/>
          <w:bCs w:val="0"/>
          <w:color w:val="auto"/>
          <w:sz w:val="20"/>
          <w:szCs w:val="20"/>
        </w:rPr>
        <w:br w:type="textWrapping"/>
      </w:r>
      <w:r>
        <w:rPr>
          <w:rFonts w:cs="宋体"/>
          <w:b w:val="0"/>
          <w:bCs w:val="0"/>
          <w:color w:val="auto"/>
          <w:sz w:val="20"/>
          <w:szCs w:val="20"/>
        </w:rPr>
        <w:br w:type="textWrapping"/>
      </w:r>
      <w:r>
        <w:rPr>
          <w:rFonts w:hint="default" w:cs="宋体"/>
          <w:b w:val="0"/>
          <w:bCs w:val="0"/>
          <w:color w:val="auto"/>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textAlignment w:val="bottom"/>
              <w:rPr>
                <w:rFonts w:hint="default" w:cs="宋体"/>
                <w:b w:val="0"/>
                <w:bCs w:val="0"/>
                <w:color w:val="auto"/>
                <w:sz w:val="32"/>
                <w:szCs w:val="32"/>
              </w:rPr>
            </w:pPr>
            <w:r>
              <w:rPr>
                <w:rFonts w:cs="宋体"/>
                <w:b w:val="0"/>
                <w:bCs w:val="0"/>
                <w:color w:val="auto"/>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center"/>
              <w:rPr>
                <w:rFonts w:hint="default" w:cs="宋体"/>
                <w:b w:val="0"/>
                <w:bCs w:val="0"/>
                <w:color w:val="auto"/>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r>
              <w:rPr>
                <w:rFonts w:cs="宋体"/>
                <w:b w:val="0"/>
                <w:bCs w:val="0"/>
                <w:color w:val="auto"/>
                <w:sz w:val="20"/>
                <w:szCs w:val="20"/>
              </w:rPr>
              <w:t xml:space="preserve">公开单位： </w:t>
            </w:r>
            <w:r>
              <w:rPr>
                <w:b w:val="0"/>
                <w:bCs w:val="0"/>
                <w:color w:val="auto"/>
                <w:sz w:val="20"/>
              </w:rPr>
              <w:t>重庆市万州区城市规划管理中心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20"/>
                <w:szCs w:val="20"/>
              </w:rPr>
            </w:pPr>
            <w:r>
              <w:rPr>
                <w:rFonts w:cs="宋体"/>
                <w:b w:val="0"/>
                <w:bCs w:val="0"/>
                <w:color w:val="auto"/>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textAlignment w:val="center"/>
              <w:rPr>
                <w:rFonts w:hint="default" w:cs="宋体"/>
                <w:b w:val="0"/>
                <w:bCs w:val="0"/>
                <w:color w:val="auto"/>
                <w:sz w:val="16"/>
                <w:szCs w:val="16"/>
              </w:rPr>
            </w:pPr>
            <w:r>
              <w:rPr>
                <w:rFonts w:cs="宋体"/>
                <w:b w:val="0"/>
                <w:bCs w:val="0"/>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jc w:val="center"/>
              <w:textAlignment w:val="center"/>
              <w:rPr>
                <w:rFonts w:hint="default" w:cs="宋体"/>
                <w:b w:val="0"/>
                <w:bCs w:val="0"/>
                <w:color w:val="auto"/>
                <w:sz w:val="16"/>
                <w:szCs w:val="16"/>
              </w:rPr>
            </w:pPr>
            <w:r>
              <w:rPr>
                <w:rFonts w:cs="宋体"/>
                <w:b w:val="0"/>
                <w:bCs w:val="0"/>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textAlignment w:val="bottom"/>
              <w:rPr>
                <w:rFonts w:hint="default" w:cs="宋体"/>
                <w:b w:val="0"/>
                <w:bCs w:val="0"/>
                <w:color w:val="auto"/>
                <w:sz w:val="16"/>
                <w:szCs w:val="16"/>
              </w:rPr>
            </w:pPr>
            <w:r>
              <w:rPr>
                <w:b w:val="0"/>
                <w:bCs w:val="0"/>
                <w:color w:val="auto"/>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jc w:val="right"/>
              <w:rPr>
                <w:rFonts w:hint="default" w:cs="宋体"/>
                <w:b w:val="0"/>
                <w:bCs w:val="0"/>
                <w:color w:val="auto"/>
                <w:sz w:val="16"/>
                <w:szCs w:val="16"/>
              </w:rPr>
            </w:pPr>
          </w:p>
        </w:tc>
      </w:tr>
    </w:tbl>
    <w:p>
      <w:pPr>
        <w:keepNext w:val="0"/>
        <w:keepLines w:val="0"/>
        <w:pageBreakBefore w:val="0"/>
        <w:widowControl/>
        <w:kinsoku/>
        <w:overflowPunct/>
        <w:topLinePunct w:val="0"/>
        <w:autoSpaceDN/>
        <w:bidi w:val="0"/>
        <w:adjustRightInd/>
        <w:spacing w:beforeAutospacing="0" w:afterAutospacing="0" w:line="600" w:lineRule="exact"/>
        <w:rPr>
          <w:rFonts w:hint="default" w:cs="宋体"/>
          <w:b w:val="0"/>
          <w:bCs w:val="0"/>
          <w:color w:val="auto"/>
          <w:sz w:val="21"/>
          <w:szCs w:val="21"/>
        </w:rPr>
      </w:pPr>
      <w:r>
        <w:rPr>
          <w:rFonts w:cs="宋体"/>
          <w:b w:val="0"/>
          <w:bCs w:val="0"/>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20 -</w:t>
                </w:r>
                <w:r>
                  <w:rPr>
                    <w:rFonts w:hint="default"/>
                    <w:sz w:val="28"/>
                    <w:szCs w:val="28"/>
                  </w:rPr>
                  <w:fldChar w:fldCharType="end"/>
                </w:r>
                <w:r>
                  <w:rPr>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5"/>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1D3BB7"/>
    <w:rsid w:val="00296D6D"/>
    <w:rsid w:val="002B254B"/>
    <w:rsid w:val="002D5946"/>
    <w:rsid w:val="00466C9B"/>
    <w:rsid w:val="0047082C"/>
    <w:rsid w:val="00550ABE"/>
    <w:rsid w:val="006E5EFF"/>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97995"/>
    <w:rsid w:val="00DF5288"/>
    <w:rsid w:val="00E1110C"/>
    <w:rsid w:val="00F73F90"/>
    <w:rsid w:val="01474EBF"/>
    <w:rsid w:val="01F3521E"/>
    <w:rsid w:val="03B87EA0"/>
    <w:rsid w:val="03E3214F"/>
    <w:rsid w:val="044C50BA"/>
    <w:rsid w:val="05BC6D49"/>
    <w:rsid w:val="06194FF1"/>
    <w:rsid w:val="06A2550B"/>
    <w:rsid w:val="06F80EE2"/>
    <w:rsid w:val="07001CCA"/>
    <w:rsid w:val="07010235"/>
    <w:rsid w:val="075678DB"/>
    <w:rsid w:val="079D7CC7"/>
    <w:rsid w:val="08051BCA"/>
    <w:rsid w:val="086C12F4"/>
    <w:rsid w:val="08705944"/>
    <w:rsid w:val="08981256"/>
    <w:rsid w:val="08BA052C"/>
    <w:rsid w:val="08DB07BA"/>
    <w:rsid w:val="0969353F"/>
    <w:rsid w:val="098305D0"/>
    <w:rsid w:val="0A3317EA"/>
    <w:rsid w:val="0A3B5193"/>
    <w:rsid w:val="0A5C4B69"/>
    <w:rsid w:val="0A86124A"/>
    <w:rsid w:val="0AB54CC0"/>
    <w:rsid w:val="0B9335CE"/>
    <w:rsid w:val="0BF2311A"/>
    <w:rsid w:val="0C7927C4"/>
    <w:rsid w:val="0C9B098C"/>
    <w:rsid w:val="0D673E11"/>
    <w:rsid w:val="0DDA54E4"/>
    <w:rsid w:val="0E3A5F83"/>
    <w:rsid w:val="0E54758A"/>
    <w:rsid w:val="0EBA6555"/>
    <w:rsid w:val="0F836721"/>
    <w:rsid w:val="0FA25D96"/>
    <w:rsid w:val="101D4B1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460CF"/>
    <w:rsid w:val="14200702"/>
    <w:rsid w:val="163A6CEE"/>
    <w:rsid w:val="173708E3"/>
    <w:rsid w:val="17C374FC"/>
    <w:rsid w:val="182E4AB6"/>
    <w:rsid w:val="189079DC"/>
    <w:rsid w:val="189B0D0B"/>
    <w:rsid w:val="18B43F7C"/>
    <w:rsid w:val="194A1770"/>
    <w:rsid w:val="19B906A4"/>
    <w:rsid w:val="1A862D73"/>
    <w:rsid w:val="1A9F0935"/>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CD454F"/>
    <w:rsid w:val="20642787"/>
    <w:rsid w:val="21556F04"/>
    <w:rsid w:val="22403BD3"/>
    <w:rsid w:val="24B92327"/>
    <w:rsid w:val="24C14514"/>
    <w:rsid w:val="2533755C"/>
    <w:rsid w:val="25630D04"/>
    <w:rsid w:val="25791755"/>
    <w:rsid w:val="26396DF4"/>
    <w:rsid w:val="27167136"/>
    <w:rsid w:val="271B442C"/>
    <w:rsid w:val="27B23302"/>
    <w:rsid w:val="29310A5F"/>
    <w:rsid w:val="29C37A35"/>
    <w:rsid w:val="2A076083"/>
    <w:rsid w:val="2A73162E"/>
    <w:rsid w:val="2B167953"/>
    <w:rsid w:val="2B200583"/>
    <w:rsid w:val="2B8209DE"/>
    <w:rsid w:val="2C19258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A5264A"/>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B3642B"/>
    <w:rsid w:val="4C3C3152"/>
    <w:rsid w:val="4DAC4ACA"/>
    <w:rsid w:val="4DBE01D2"/>
    <w:rsid w:val="4F0C6BA3"/>
    <w:rsid w:val="4F186D58"/>
    <w:rsid w:val="4F583E1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9F5D71"/>
    <w:rsid w:val="5F2D4A41"/>
    <w:rsid w:val="60810CFB"/>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DE6569"/>
    <w:rsid w:val="66EE5541"/>
    <w:rsid w:val="67924660"/>
    <w:rsid w:val="68407834"/>
    <w:rsid w:val="6883293E"/>
    <w:rsid w:val="688412AD"/>
    <w:rsid w:val="68EB1B71"/>
    <w:rsid w:val="6A6C7940"/>
    <w:rsid w:val="6AAD2300"/>
    <w:rsid w:val="6B474EF5"/>
    <w:rsid w:val="6C0A5AC5"/>
    <w:rsid w:val="6C560CAE"/>
    <w:rsid w:val="6C576495"/>
    <w:rsid w:val="6CA60C3B"/>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9C52C1"/>
    <w:rsid w:val="7615521B"/>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C646CC2"/>
    <w:rsid w:val="7D7406BB"/>
    <w:rsid w:val="7DC404AA"/>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1833</Words>
  <Characters>10452</Characters>
  <Lines>87</Lines>
  <Paragraphs>24</Paragraphs>
  <TotalTime>1</TotalTime>
  <ScaleCrop>false</ScaleCrop>
  <LinksUpToDate>false</LinksUpToDate>
  <CharactersWithSpaces>12261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2024-11-01T06:18:13Z</cp:lastPrinted>
  <dcterms:modified xsi:type="dcterms:W3CDTF">2024-11-01T06:18:23Z</dcterms:modified>
  <dc:title>重庆市万州区城市规划管理中心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