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885"/>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重庆市万州区规划和自然资源局</w:t>
      </w:r>
    </w:p>
    <w:p>
      <w:pPr>
        <w:spacing w:line="600" w:lineRule="exact"/>
        <w:ind w:firstLine="885"/>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2021年度部门整体支出绩效自评报告</w:t>
      </w:r>
    </w:p>
    <w:p>
      <w:pPr>
        <w:spacing w:line="600" w:lineRule="exact"/>
        <w:ind w:firstLine="645"/>
        <w:jc w:val="left"/>
        <w:rPr>
          <w:rFonts w:ascii="Times New Roman" w:hAnsi="Times New Roman" w:eastAsia="方正仿宋_GBK" w:cs="Times New Roman"/>
          <w:sz w:val="32"/>
          <w:szCs w:val="32"/>
        </w:rPr>
      </w:pPr>
    </w:p>
    <w:p>
      <w:pPr>
        <w:spacing w:line="600" w:lineRule="exact"/>
        <w:ind w:firstLine="645"/>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为切实加强重庆市万州区规划和自然资源局（以下简称“本部门”）财政资金管理，强化支出责任，提高财政资金的使用效益，建立科学、合理的财政支出绩效评价管理体系，根据《万州区区级部门整体绩效管理办法》（万州财预发【2020】32号）规定，结合部门实际情况，于2022年3月对2021年本部门整体支出绩效开展了自评工作，现将自评结果汇报如下：</w:t>
      </w:r>
    </w:p>
    <w:p>
      <w:pPr>
        <w:spacing w:line="600" w:lineRule="exact"/>
        <w:ind w:firstLine="645"/>
        <w:jc w:val="left"/>
        <w:rPr>
          <w:rFonts w:ascii="Times New Roman" w:hAnsi="Times New Roman" w:eastAsia="方正黑体_GBK" w:cs="Times New Roman"/>
          <w:sz w:val="32"/>
          <w:szCs w:val="32"/>
        </w:rPr>
      </w:pPr>
      <w:r>
        <w:rPr>
          <w:rFonts w:ascii="Times New Roman" w:hAnsi="Times New Roman" w:eastAsia="方正黑体_GBK" w:cs="Times New Roman"/>
          <w:sz w:val="32"/>
          <w:szCs w:val="32"/>
        </w:rPr>
        <w:t>一、部门单位概况</w:t>
      </w:r>
    </w:p>
    <w:p>
      <w:pPr>
        <w:spacing w:line="600" w:lineRule="exact"/>
        <w:ind w:firstLine="645"/>
        <w:jc w:val="left"/>
        <w:rPr>
          <w:rFonts w:ascii="Times New Roman" w:hAnsi="Times New Roman" w:eastAsia="方正楷体_GBK" w:cs="Times New Roman"/>
          <w:sz w:val="32"/>
          <w:szCs w:val="32"/>
        </w:rPr>
      </w:pPr>
      <w:r>
        <w:rPr>
          <w:rFonts w:ascii="Times New Roman" w:hAnsi="Times New Roman" w:eastAsia="方正楷体_GBK" w:cs="Times New Roman"/>
          <w:sz w:val="32"/>
          <w:szCs w:val="32"/>
        </w:rPr>
        <w:t>（一）部门(单位)主要职责职能，组织架构、人员及资产等基本情况。</w:t>
      </w:r>
    </w:p>
    <w:p>
      <w:pPr>
        <w:spacing w:line="600" w:lineRule="exact"/>
        <w:ind w:firstLine="645"/>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1.主要职责职能。</w:t>
      </w:r>
    </w:p>
    <w:p>
      <w:pPr>
        <w:spacing w:line="600" w:lineRule="exact"/>
        <w:ind w:firstLine="645"/>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shd w:val="clear" w:color="auto" w:fill="FFFFFF"/>
        </w:rPr>
        <w:t>万州区规划和自然资源局主要职责如下：</w:t>
      </w:r>
    </w:p>
    <w:p>
      <w:pPr>
        <w:spacing w:line="600" w:lineRule="exact"/>
        <w:ind w:firstLine="645"/>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shd w:val="clear" w:color="auto" w:fill="FFFFFF"/>
        </w:rPr>
        <w:t>（1）履行全民所有土地、矿产、森林、草原、湿地、水等自然资源资产所有者职责和所有国土空间用途管制职责。贯彻执行自然资源和国土空间规划及测绘等法律、法规、规章和方针政策。</w:t>
      </w:r>
    </w:p>
    <w:p>
      <w:pPr>
        <w:spacing w:line="600" w:lineRule="exact"/>
        <w:ind w:firstLine="645"/>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shd w:val="clear" w:color="auto" w:fill="FFFFFF"/>
        </w:rPr>
        <w:t>（2）负责自然资源调查监测评价。贯彻执行国家和重庆市自然资源调查监测评价制度、标准、规范。实施自然资源基础调查、专项调查和监测。</w:t>
      </w:r>
    </w:p>
    <w:p>
      <w:pPr>
        <w:spacing w:line="600" w:lineRule="exact"/>
        <w:ind w:firstLine="645"/>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shd w:val="clear" w:color="auto" w:fill="FFFFFF"/>
        </w:rPr>
        <w:t>（3）负责自然资源统一确权登记工作。贯彻执行各类自然资源和不动产统一确权登记、权籍调查、不动产测绘、争议调处、成果应用的制度、标准、规范。贯彻执行自然资源和不动产登记信息管理基础平台建设和管理的有关规定。负责自然资源和不动产登记资料收集、整理、共享、汇交管理等。承担自然资源和不动产确权登记工作。</w:t>
      </w:r>
    </w:p>
    <w:p>
      <w:pPr>
        <w:spacing w:line="600" w:lineRule="exact"/>
        <w:ind w:firstLine="645"/>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shd w:val="clear" w:color="auto" w:fill="FFFFFF"/>
        </w:rPr>
        <w:t>（4）负责自然资源资产有偿使用工作。贯彻执行国家全民所有自然资源资产统计制度，负责全民所有自然资源资产核算。编制全民所有自然资源资产负债表。贯彻执行国家和重庆市全民所有自然资源资产划拨、有偿使用政策，组织实施土地储备整治，合理配置全民所有自然资源资产。负责自然资源资产价值评估管理，依法收缴相关资产收益。</w:t>
      </w:r>
    </w:p>
    <w:p>
      <w:pPr>
        <w:spacing w:line="600" w:lineRule="exact"/>
        <w:ind w:firstLine="645"/>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shd w:val="clear" w:color="auto" w:fill="FFFFFF"/>
        </w:rPr>
        <w:t>（5）负责自然资源的合理开发利用。贯彻执行自然资源发展规划和战略，实施自然资源开发利用标准，建立政府公示自然资源价格体系，组织开展自然资源分等定级价格评估，开展自然资源利用评价考核，拟订自然资源节约集约利用政策并组织实施。负责辖区自然资源市场监管。组织实施城乡建设用地的划拨、出让、租赁、作价出资等及价款的征收。</w:t>
      </w:r>
    </w:p>
    <w:p>
      <w:pPr>
        <w:spacing w:line="600" w:lineRule="exact"/>
        <w:ind w:firstLine="645"/>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shd w:val="clear" w:color="auto" w:fill="FFFFFF"/>
        </w:rPr>
        <w:t>（6）负责建立空间规划体系并监督实施。落实国家主体功能区战略和制度，承担国土空间规划和相关专项规划的编制和报批工作。开展国土空间开发适宜性评价，建立国土空间规划实施监测、评估和预警体系。承担划定辖区生态保护红线、永久基本农田、城镇开发边界等控制线，构建节约资源和保护环境的生产、生活、生态空间布局。组织编制和报批分区国土空间规划、乡镇国土空间规划、详细规划、国家级开发区国土空间规划以及地质灾害防治、矿山环境保护等空间规划和自然资源领域重要专项规划，负责对涉及国土空间利用保护的其他各类专项规划进行综合协调与平衡。</w:t>
      </w:r>
    </w:p>
    <w:p>
      <w:pPr>
        <w:spacing w:line="600" w:lineRule="exact"/>
        <w:ind w:firstLine="645"/>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shd w:val="clear" w:color="auto" w:fill="FFFFFF"/>
        </w:rPr>
        <w:t>（7）贯彻执行国土空间用途管制制度和城乡规划政策并监督实施。建立规划对城市发展、建设时序、范围、内容等引导和管控机制。按分级管理制度承担建设项目选址意见书、建设用地规划许可证和建设工程规划许可证及乡村建设规划许可证的管理工作。承担规划条件的审批工作，承担用地预审、建设工程竣工规划核实、国有建设用地使用权划拨和有偿使用等工作。组织拟订、报批并实施土地等自然资源年度利用计划。负责土地等国土空间用途转用工作。负责土地征收征用管理实施工作。</w:t>
      </w:r>
    </w:p>
    <w:p>
      <w:pPr>
        <w:spacing w:line="600" w:lineRule="exact"/>
        <w:ind w:firstLine="645"/>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shd w:val="clear" w:color="auto" w:fill="FFFFFF"/>
        </w:rPr>
        <w:t>（8）负责自然资源文化的挖掘、研究、保护和利用工作。负责辖区历史文化名城总体规划及其专项规划编制，承担历史文化名城、名镇、名村、街区，传统风貌区，历史建筑和传统风貌建筑保护的规划管理与规划统筹工作。</w:t>
      </w:r>
    </w:p>
    <w:p>
      <w:pPr>
        <w:spacing w:line="600" w:lineRule="exact"/>
        <w:ind w:firstLine="645"/>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shd w:val="clear" w:color="auto" w:fill="FFFFFF"/>
        </w:rPr>
        <w:t>（9）承担国土空间生态修复。负责本区域国土空间生态修复规划的编制报批并实施有关生态修复工程。负责辖区国土空间综合整治、生态修复类复垦、矿山地质环境恢复治理等工作。承担生态保护补偿相关工作。</w:t>
      </w:r>
    </w:p>
    <w:p>
      <w:pPr>
        <w:spacing w:line="600" w:lineRule="exact"/>
        <w:ind w:firstLine="645"/>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shd w:val="clear" w:color="auto" w:fill="FFFFFF"/>
        </w:rPr>
        <w:t>（10）负责实施最严格的耕地保护制度。实施耕地保护政策，负责辖区耕地数量、质量、生态保护。实施耕地保护责任目标考核和永久基本农田特殊保护。负责辖区土地开发整理、农村建设用地复垦、建设类临时用地复垦工作。负责永久基本农田划定、占用和补划的管理。负责设施农用地管理工作。落实耕地占补平衡任务。</w:t>
      </w:r>
    </w:p>
    <w:p>
      <w:pPr>
        <w:spacing w:line="600" w:lineRule="exact"/>
        <w:ind w:firstLine="645"/>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shd w:val="clear" w:color="auto" w:fill="FFFFFF"/>
        </w:rPr>
        <w:t>（11）管理地质勘查行业和地质工作。编制辖区地质勘查规划并监督检查执行情况。管理区级地质勘查项目。负责地质灾害预防和治理，监督管理地下水过量开采及引发的地面沉降等地质问题。负责古生物化石的监督管理。</w:t>
      </w:r>
    </w:p>
    <w:p>
      <w:pPr>
        <w:spacing w:line="600" w:lineRule="exact"/>
        <w:ind w:firstLine="645"/>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shd w:val="clear" w:color="auto" w:fill="FFFFFF"/>
        </w:rPr>
        <w:t>（12）负责落实综合防灾减灾规划相关要求，组织编制地质灾害防治规划并实施。组织地质灾害调查评价及隐患的普查、详查、排查和防治工作。开展群测群防、专业监测和预报预警等工作。开展地质灾害工程治理工作。承担地质灾害应急救援的技术支撑工作。</w:t>
      </w:r>
    </w:p>
    <w:p>
      <w:pPr>
        <w:spacing w:line="600" w:lineRule="exact"/>
        <w:ind w:firstLine="645"/>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shd w:val="clear" w:color="auto" w:fill="FFFFFF"/>
        </w:rPr>
        <w:t>（13）负责矿产资源管理工作。负责矿产资源储量管理及压覆矿产资源审批。负责矿业权管理。会同有关部门承担保护性开采的特定矿种、优势矿产的调控及相关管理工作。监督指导矿产资源合理利用和保护。</w:t>
      </w:r>
    </w:p>
    <w:p>
      <w:pPr>
        <w:spacing w:line="600" w:lineRule="exact"/>
        <w:ind w:firstLine="645"/>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shd w:val="clear" w:color="auto" w:fill="FFFFFF"/>
        </w:rPr>
        <w:t>（14）负责测绘地理信息管理工作。负责基础测绘和测绘行业管理，测绘资质资格与信用管理。监督管理地理信息安全和市场秩序。负责地理信息公共服务管理，测量标志保护。</w:t>
      </w:r>
    </w:p>
    <w:p>
      <w:pPr>
        <w:spacing w:line="600" w:lineRule="exact"/>
        <w:ind w:firstLine="645"/>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shd w:val="clear" w:color="auto" w:fill="FFFFFF"/>
        </w:rPr>
        <w:t>（15）承担空间规划和自然资源管理的督察工作。负责自然资源权属调查、自然资源保护和开发利用、空间规划管理、测绘地理信息管理等领域的行政执法工作，具体执法交由执法队伍承担，并以部门名义统一执法。</w:t>
      </w:r>
    </w:p>
    <w:p>
      <w:pPr>
        <w:spacing w:line="600" w:lineRule="exact"/>
        <w:ind w:firstLine="645"/>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shd w:val="clear" w:color="auto" w:fill="FFFFFF"/>
        </w:rPr>
        <w:t>（16）归口管理万州区林业局。</w:t>
      </w:r>
    </w:p>
    <w:p>
      <w:pPr>
        <w:spacing w:line="600" w:lineRule="exact"/>
        <w:ind w:firstLine="645"/>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shd w:val="clear" w:color="auto" w:fill="FFFFFF"/>
        </w:rPr>
        <w:t>（17）承担万州区规划委员会的日常工作。</w:t>
      </w:r>
    </w:p>
    <w:p>
      <w:pPr>
        <w:spacing w:line="600" w:lineRule="exact"/>
        <w:ind w:firstLine="645"/>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shd w:val="clear" w:color="auto" w:fill="FFFFFF"/>
        </w:rPr>
        <w:t>（18）管理基层所。</w:t>
      </w:r>
    </w:p>
    <w:p>
      <w:pPr>
        <w:spacing w:line="600" w:lineRule="exact"/>
        <w:ind w:firstLine="645"/>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shd w:val="clear" w:color="auto" w:fill="FFFFFF"/>
        </w:rPr>
        <w:t>（19）完成区委、区政府和重庆市规划和自然资源局交办的其他任务。</w:t>
      </w:r>
    </w:p>
    <w:p>
      <w:pPr>
        <w:spacing w:line="600" w:lineRule="exact"/>
        <w:ind w:firstLine="645"/>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2.单位构成</w:t>
      </w:r>
    </w:p>
    <w:p>
      <w:pPr>
        <w:spacing w:line="600" w:lineRule="exact"/>
        <w:ind w:firstLine="645"/>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shd w:val="clear" w:color="auto" w:fill="FFFFFF"/>
        </w:rPr>
        <w:t>区规划和自然资源局</w:t>
      </w:r>
      <w:r>
        <w:rPr>
          <w:rFonts w:ascii="Times New Roman" w:hAnsi="Times New Roman" w:eastAsia="方正仿宋_GBK" w:cs="Times New Roman"/>
          <w:sz w:val="32"/>
          <w:szCs w:val="32"/>
        </w:rPr>
        <w:t>内设15个机构科室，分别是</w:t>
      </w:r>
      <w:r>
        <w:rPr>
          <w:rFonts w:ascii="Times New Roman" w:hAnsi="Times New Roman" w:eastAsia="方正仿宋_GBK" w:cs="Times New Roman"/>
          <w:sz w:val="32"/>
          <w:szCs w:val="32"/>
          <w:shd w:val="clear" w:color="auto" w:fill="FFFFFF"/>
        </w:rPr>
        <w:t>办公室、政策法规和自然资源督察科（挂行政审批科牌子）、自然资源调查监测和确权登记科、自然资源所有者权益和开发利用科、国土空间规划科、城镇规划科、规划管理科、国土空间用途管制科、耕地保护监督和国土空间生态修复科、地质勘查管理科、矿产资源保护监督和矿业权管理科、测绘和地理信息管理科、信访安全科、财务审计科、组织人事科</w:t>
      </w:r>
      <w:r>
        <w:rPr>
          <w:rFonts w:ascii="Times New Roman" w:hAnsi="Times New Roman" w:eastAsia="方正仿宋_GBK" w:cs="Times New Roman"/>
          <w:sz w:val="32"/>
          <w:szCs w:val="32"/>
        </w:rPr>
        <w:t>。  </w:t>
      </w:r>
    </w:p>
    <w:p>
      <w:pPr>
        <w:spacing w:line="600" w:lineRule="exact"/>
        <w:ind w:firstLine="645"/>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纳入本部门2021年度部门整体支出绩效评价的预算单位共11个：</w:t>
      </w:r>
    </w:p>
    <w:p>
      <w:pPr>
        <w:spacing w:line="600" w:lineRule="exact"/>
        <w:ind w:firstLine="645"/>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shd w:val="clear" w:color="auto" w:fill="FFFFFF"/>
        </w:rPr>
        <w:t>财政全额拨款的行政机关单位1个，为重庆市万州区规划和自然资源局（本级），区城市规划管理中心和16个区规划和自然资源所预决算纳入局机关统一填报，其自评工作纳入局机关统一评价；参照公务员法管理单位1个，系区规划和自然资源综合行政执法支队；自收自支事业单位4个，系区征地事务中心、区地质灾害整治中心、区土地勘察测绘队、区规划设计研究院；全额拨款事业单位5个，系区土地整理开发中心、区地质环境监测站、区农村产权流转交易中心、区土地收购储备中心、区不动产登记中心。</w:t>
      </w:r>
    </w:p>
    <w:p>
      <w:pPr>
        <w:spacing w:line="600" w:lineRule="exact"/>
        <w:ind w:firstLine="645"/>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3.人员及资产概况</w:t>
      </w:r>
    </w:p>
    <w:p>
      <w:pPr>
        <w:spacing w:line="600" w:lineRule="exact"/>
        <w:ind w:firstLine="645"/>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1）人员概况：截止2021年12月，纳入本部门决算编制年末实有在编在职人员415人，其中行政人员41人，参照公务员法管理事业人员26人，非参公事业人员348人员；离退休人员182人，其中离休人员1人，退休人员181人。</w:t>
      </w:r>
    </w:p>
    <w:p>
      <w:pPr>
        <w:spacing w:line="600" w:lineRule="exact"/>
        <w:ind w:firstLine="645"/>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（2）资产概况：截止2020年12月，本部门资产合计65043.63万元，负债合计51087.26万元，净资产合计13956.37万元。</w:t>
      </w:r>
    </w:p>
    <w:p>
      <w:pPr>
        <w:spacing w:line="600" w:lineRule="exact"/>
        <w:ind w:firstLine="645"/>
        <w:jc w:val="left"/>
        <w:rPr>
          <w:rFonts w:ascii="Times New Roman" w:hAnsi="Times New Roman" w:eastAsia="方正楷体_GBK" w:cs="Times New Roman"/>
          <w:sz w:val="32"/>
          <w:szCs w:val="32"/>
        </w:rPr>
      </w:pPr>
      <w:r>
        <w:rPr>
          <w:rFonts w:ascii="Times New Roman" w:hAnsi="Times New Roman" w:eastAsia="方正楷体_GBK" w:cs="Times New Roman"/>
          <w:sz w:val="32"/>
          <w:szCs w:val="32"/>
        </w:rPr>
        <w:t>（二）当年部门履职总体目标、工作任务。</w:t>
      </w:r>
    </w:p>
    <w:p>
      <w:pPr>
        <w:pStyle w:val="2"/>
        <w:spacing w:line="600" w:lineRule="exact"/>
        <w:ind w:firstLine="640" w:firstLineChars="200"/>
        <w:rPr>
          <w:rFonts w:ascii="Times New Roman"/>
          <w:szCs w:val="32"/>
        </w:rPr>
      </w:pPr>
      <w:r>
        <w:rPr>
          <w:rFonts w:ascii="Times New Roman"/>
          <w:szCs w:val="32"/>
        </w:rPr>
        <w:t>1.强化党建引领，促进深度融合</w:t>
      </w:r>
    </w:p>
    <w:p>
      <w:pPr>
        <w:pStyle w:val="2"/>
        <w:spacing w:line="600" w:lineRule="exact"/>
        <w:ind w:firstLine="640" w:firstLineChars="200"/>
        <w:rPr>
          <w:rFonts w:ascii="Times New Roman"/>
          <w:szCs w:val="32"/>
        </w:rPr>
      </w:pPr>
      <w:r>
        <w:rPr>
          <w:rFonts w:ascii="Times New Roman"/>
          <w:szCs w:val="32"/>
        </w:rPr>
        <w:t>一是以坚持3个“党建+” （党建+规范、党建+引领、党建+服务），实现“3个更”（自身建设更强大、服务中心更有力、促进业务更有效）为目标，不断强化党对规划自然资源工作的核心领导作用，不断提升规划自然资源系统系统党的建设水平。巩固党支部“双达标”（标准化规范化建设达标）建设成果，通过推广“1+1+2”组织生活模式，持续增强基层党组织的组织力、凝聚力。抓实“智慧党建”开发应用工作，建成AI党建云平台并投入使用。二是完善在职党员到社区报到、城乡支部“手拉手”结对共建、五分钟微型党课、开放式组织生活等党建载体。通过设立共产党员示范岗、组建“共产党员突击队”，举办局系统基层党建示范点建设推进会等方式，进一步强化党员先锋模范作用和党支部战斗堡垒作用发挥。三是落实统一战线工作主体责任，建立局系统党外知识分子联谊会台账及储备库，完善党建带群建制度机制，创新机关群团工作方式方法。</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2.坚持规划先行，推动高质量发展</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是深化城市定位研究。在渝东北三峡库区城镇群研究成果基础上，提升万州的城市战略定位，增强与周边区县的互联互通和产业协同，在更高层面上谋划万州的发展目标和发展思路，打造国家区域性交通枢纽、成渝城镇群重要发展极核和重庆开发开放重要“支点”，统筹推进全区高质量发展、高品质生活。二是编制完成全区国土空间总体规划。在2020年10月前全面编制完成全区国土空间总体规划，同步启动乡镇国土空间总体规划和专业专项规划编制，全面协调落实“三区三线”底线管控，绘制“一张蓝图”，构建全域全要素自然资源管控体系，搭建国土空间基础信息平台，探索建立覆盖万州全域，贯穿规划编制、实施、监测全过程的国土空间规划体系。加快完成剩余87个村规划编制，达到村规划覆盖率100%目标。三是着力城市品质提升。按照城市提升行动计划、“降容提质”等相关要求，优化完善控规，策划建设项目生成，支撑项目审批。以“控规+城市设计”模式，开展街区单元划分规划先行先试。立足万州优越的区位交通优势和独特的山水资源禀赋，用空间形态美、景观风貌美、人文艺术美等城市美学手段进一步挖掘和丰富城市规划建设的美学内涵，加快推进完成一批城市美学工程项目。四是持续提升规划管理水平。选派规划、建筑、园林方向的中层干部和审批经验丰富的专业技术人员下镇乡（街道）服务。规划设计者以行动者的姿态投入社区、乡村并创造社群，进行参与式、行为驱动设计的现场服务指导，建立面向全区市民以公众参与、田野调查为工具的调研-设计-反馈机制，形成一镇乡（街道）一规划技术人员的服务机制。</w:t>
      </w:r>
    </w:p>
    <w:p>
      <w:pPr>
        <w:spacing w:line="600" w:lineRule="exact"/>
        <w:ind w:left="640"/>
        <w:rPr>
          <w:rFonts w:ascii="Times New Roman" w:hAnsi="Times New Roman" w:eastAsia="方正仿宋_GBK" w:cs="Times New Roman"/>
          <w:sz w:val="32"/>
          <w:szCs w:val="32"/>
        </w:rPr>
      </w:pPr>
      <w:r>
        <w:rPr>
          <w:rFonts w:ascii="Times New Roman" w:hAnsi="Times New Roman" w:eastAsia="方正仿宋_GBK" w:cs="Times New Roman"/>
          <w:sz w:val="32"/>
          <w:szCs w:val="32"/>
        </w:rPr>
        <w:t>3.科学供应土地，提升资源利用价值</w:t>
      </w:r>
    </w:p>
    <w:p>
      <w:pPr>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sz w:val="32"/>
          <w:szCs w:val="32"/>
        </w:rPr>
        <w:t>一是编制2021年供地计划。整理分析国民经济和社会发展状况、各部门各行业用地需求状况、房地产市场状况、宏观调控政策，以及已供土地开发建设情况等，合理确定计划期内可实施供应土地总量，测算计划期内国有建设用地需求量，统筹确定国有建设用地供应计划。二是深化产业用地政策，为各类市场主体做好用地服务。继续深入推动节约集约用地，提高土地利用效率以释放更大用地空间，通过保障土地要素供给，保</w:t>
      </w:r>
      <w:r>
        <w:rPr>
          <w:rFonts w:ascii="Times New Roman" w:hAnsi="Times New Roman" w:eastAsia="方正仿宋_GBK" w:cs="Times New Roman"/>
          <w:kern w:val="0"/>
          <w:sz w:val="32"/>
          <w:szCs w:val="32"/>
        </w:rPr>
        <w:t>障新产业新业态发展和民生服务设施建设需求，积极做好对包括民营企业、外资企业在内的各类所有制经济的用地服务保障工作，营造高质量发展的供地市场环境。</w:t>
      </w:r>
      <w:r>
        <w:rPr>
          <w:rFonts w:ascii="Times New Roman" w:hAnsi="Times New Roman" w:eastAsia="方正仿宋_GBK" w:cs="Times New Roman"/>
          <w:sz w:val="32"/>
          <w:szCs w:val="32"/>
        </w:rPr>
        <w:t>三是拓宽存量建设用地空间。</w:t>
      </w:r>
      <w:r>
        <w:rPr>
          <w:rFonts w:ascii="Times New Roman" w:hAnsi="Times New Roman" w:eastAsia="方正仿宋_GBK" w:cs="Times New Roman"/>
          <w:kern w:val="0"/>
          <w:sz w:val="32"/>
          <w:szCs w:val="32"/>
        </w:rPr>
        <w:t>对批而未供、征而未供、供而未用、土地闲置、空闲等情况进行调查，及时跟踪掌握各地存量土地情况，形成台账分类处置。积极争取纳入重庆市城镇低效用地试点，充分利用试点政策，开展存量土地盘活利用。</w:t>
      </w:r>
    </w:p>
    <w:p>
      <w:pPr>
        <w:pStyle w:val="2"/>
        <w:spacing w:line="600" w:lineRule="exact"/>
        <w:ind w:left="640"/>
        <w:rPr>
          <w:rFonts w:ascii="Times New Roman"/>
          <w:szCs w:val="32"/>
        </w:rPr>
      </w:pPr>
      <w:r>
        <w:rPr>
          <w:rFonts w:ascii="Times New Roman"/>
          <w:szCs w:val="32"/>
        </w:rPr>
        <w:t>4.强化用地保障，推进项目落地落实</w:t>
      </w:r>
    </w:p>
    <w:p>
      <w:pPr>
        <w:pStyle w:val="18"/>
        <w:ind w:firstLine="640"/>
        <w:rPr>
          <w:rFonts w:ascii="Times New Roman" w:hAnsi="Times New Roman" w:eastAsia="方正仿宋_GBK" w:cs="Times New Roman"/>
        </w:rPr>
      </w:pPr>
      <w:r>
        <w:rPr>
          <w:rFonts w:ascii="Times New Roman" w:hAnsi="Times New Roman" w:eastAsia="方正仿宋_GBK" w:cs="Times New Roman"/>
        </w:rPr>
        <w:t>一是做好征地政策平稳过渡工作。在新《土地管理法》出台之际，按照上级部门的统一部署和安排，积极做好实行片区综合价征地政策的平稳过渡工作，维护社会稳定。二是继续探索农业农村发展用地问题。统筹思考集体经营性建设用地入市相关问题，包括入市主体、程序、价格体系等，为农村集体经营性建设用地入市等农业农村改革事项打下基础。三是做好重点项目用地保障。全力保障脱贫攻坚、乡村振兴、“一心六型”等重点项目用地。合理安排年度奖励计划指标、扶贫计划指标和乡村振兴计划指标，重点保障基础设施、公共公益设施、扶贫产业、乡村旅游和一二三产业发展项目用地。</w:t>
      </w:r>
    </w:p>
    <w:p>
      <w:pPr>
        <w:pStyle w:val="17"/>
        <w:ind w:left="640" w:firstLine="0" w:firstLineChars="0"/>
        <w:rPr>
          <w:rFonts w:ascii="Times New Roman" w:hAnsi="Times New Roman" w:cs="Times New Roman"/>
        </w:rPr>
      </w:pPr>
      <w:r>
        <w:rPr>
          <w:rFonts w:ascii="Times New Roman" w:hAnsi="Times New Roman" w:cs="Times New Roman"/>
        </w:rPr>
        <w:t>5.落实目标责任，严守耕地保护红线</w:t>
      </w:r>
    </w:p>
    <w:p>
      <w:pPr>
        <w:pStyle w:val="17"/>
        <w:ind w:firstLine="640"/>
        <w:rPr>
          <w:rFonts w:ascii="Times New Roman" w:hAnsi="Times New Roman" w:cs="Times New Roman"/>
        </w:rPr>
      </w:pPr>
      <w:r>
        <w:rPr>
          <w:rFonts w:ascii="Times New Roman" w:hAnsi="Times New Roman" w:cs="Times New Roman"/>
        </w:rPr>
        <w:t>一是严格落实耕地目标责任。加强制度建设，夯实镇乡街道耕地保护、基本农田保护责任，落实基本农田保护管护责任和措施，确保全年耕地目标责任完成。二是加快土地整理项目实施。完成2019年度土地整理项目收尾工作，新开工一批区级土地整理项目，确保完成2020年度新增耕地和高标农田任务。三是深入开展农村建设用地复垦。全力推进深度贫困镇龙驹镇、全区建卡贫困户及易地扶贫搬迁建卡贫困户复垦项目验收及地票交易等工作。</w:t>
      </w:r>
    </w:p>
    <w:p>
      <w:pPr>
        <w:pStyle w:val="17"/>
        <w:ind w:left="640" w:firstLine="0" w:firstLineChars="0"/>
        <w:rPr>
          <w:rFonts w:ascii="Times New Roman" w:hAnsi="Times New Roman" w:cs="Times New Roman"/>
        </w:rPr>
      </w:pPr>
      <w:r>
        <w:rPr>
          <w:rFonts w:ascii="Times New Roman" w:hAnsi="Times New Roman" w:cs="Times New Roman"/>
        </w:rPr>
        <w:t>6.加强矿产资源管理，推进绿色矿山建设</w:t>
      </w:r>
    </w:p>
    <w:p>
      <w:pPr>
        <w:pStyle w:val="17"/>
        <w:ind w:firstLine="640"/>
        <w:rPr>
          <w:rFonts w:ascii="Times New Roman" w:hAnsi="Times New Roman" w:cs="Times New Roman"/>
        </w:rPr>
      </w:pPr>
      <w:r>
        <w:rPr>
          <w:rFonts w:ascii="Times New Roman" w:hAnsi="Times New Roman" w:cs="Times New Roman"/>
        </w:rPr>
        <w:t>一是有力推进全区绿色矿山建设。力争到2020年底全区大中型矿山全部建成绿色矿山，小型矿山按照绿色矿山建设标准规范管理，努力构建开采技术更先进、资源利用更有效、矿区环境明显改善的矿业新格局。二是加快推进新设矿权出让工作。启动新一轮《万州区矿产资源总体规划（2021-2025年）》修编工作，合理布设投放新矿权，缓解碎石供需矛盾。三是加强矿山监管执法。强化部门联动，落实打非治违，保持全区矿业秩序稳定向好。</w:t>
      </w:r>
    </w:p>
    <w:p>
      <w:pPr>
        <w:pStyle w:val="17"/>
        <w:ind w:left="640" w:firstLine="0" w:firstLineChars="0"/>
        <w:rPr>
          <w:rFonts w:ascii="Times New Roman" w:hAnsi="Times New Roman" w:cs="Times New Roman"/>
        </w:rPr>
      </w:pPr>
      <w:r>
        <w:rPr>
          <w:rFonts w:ascii="Times New Roman" w:hAnsi="Times New Roman" w:cs="Times New Roman"/>
        </w:rPr>
        <w:t>7.做好调查登记，摸清自然资源家底</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是继续推进不动产统一登记改革创新。积极开展集体建设用地使用权及建筑物、构筑物所有权确权登记相关工作，为深化农村集体产权制度改革，壮大集体经济奠定基础。继续探索农房登记业务下沉至国土房管所方案，减轻农民办证负担。继续探索并运用“互联网+不动产登记”。加快会同农业、林业部门将承包经营权、林权登记逐步整合到不动产统一登记中。二是继续开展全区第三次国土调查工作。加快1:500地籍测绘工作进度，严格按照国家调查办核查意见对59000余个图斑进行整改、完善和举证，保质保量完成“三调”国家任务。三是认真开展各项专项调查工作。做好区级土地资源基础数据统计、土地动态和监测工作，建立和完善土地变更管理台账。</w:t>
      </w:r>
    </w:p>
    <w:p>
      <w:pPr>
        <w:spacing w:line="600" w:lineRule="exact"/>
        <w:ind w:left="420" w:leftChars="200"/>
        <w:rPr>
          <w:rFonts w:ascii="Times New Roman" w:hAnsi="Times New Roman" w:eastAsia="方正仿宋_GBK" w:cs="Times New Roman"/>
          <w:bCs/>
          <w:snapToGrid w:val="0"/>
          <w:kern w:val="0"/>
          <w:sz w:val="32"/>
          <w:szCs w:val="32"/>
        </w:rPr>
      </w:pPr>
      <w:r>
        <w:rPr>
          <w:rFonts w:ascii="Times New Roman" w:hAnsi="Times New Roman" w:eastAsia="方正仿宋_GBK" w:cs="Times New Roman"/>
          <w:sz w:val="32"/>
          <w:szCs w:val="32"/>
        </w:rPr>
        <w:t>8.用心用情用力，</w:t>
      </w:r>
      <w:r>
        <w:rPr>
          <w:rFonts w:ascii="Times New Roman" w:hAnsi="Times New Roman" w:eastAsia="方正仿宋_GBK" w:cs="Times New Roman"/>
          <w:bCs/>
          <w:snapToGrid w:val="0"/>
          <w:kern w:val="0"/>
          <w:sz w:val="32"/>
          <w:szCs w:val="32"/>
        </w:rPr>
        <w:t>深度助推脱贫攻坚</w:t>
      </w:r>
    </w:p>
    <w:p>
      <w:pPr>
        <w:pStyle w:val="4"/>
        <w:spacing w:line="600" w:lineRule="exact"/>
        <w:ind w:firstLine="640" w:firstLineChars="200"/>
        <w:rPr>
          <w:rFonts w:ascii="Times New Roman" w:eastAsia="方正仿宋_GBK"/>
          <w:szCs w:val="32"/>
        </w:rPr>
      </w:pPr>
      <w:r>
        <w:rPr>
          <w:rFonts w:ascii="Times New Roman" w:eastAsia="方正仿宋_GBK"/>
          <w:szCs w:val="32"/>
        </w:rPr>
        <w:t>一是做好村规划使用指导。充分征求镇村干部群众意愿，优化布局村域范围各类用地尤其是建设用地，重点落实扶贫脱贫等项目用地。二是积极完善扶贫项目用地手续办理。加强镇乡街道和用地单位扶贫建设项目用地政策培训和业务指导，加快报批扶贫项目农用地转用和土地征收，不断完善扶贫项目建设用地占用手续，确保扶贫项目顺利落地建设。三是加快推进土地整理项目实施。通过对山水林田湖连片开发及综合整治，改善农村生产生活条件，建设美丽乡村，促进农业发展，实现农民增收增产，建立巩固脱贫成果长效机制。加快推进全区建卡贫困户农村建设用地复垦和</w:t>
      </w:r>
      <w:r>
        <w:rPr>
          <w:rFonts w:ascii="Times New Roman" w:eastAsia="方正仿宋_GBK"/>
          <w:color w:val="000000"/>
          <w:spacing w:val="-8"/>
          <w:szCs w:val="32"/>
        </w:rPr>
        <w:t>易地扶贫搬迁复垦</w:t>
      </w:r>
      <w:r>
        <w:rPr>
          <w:rFonts w:ascii="Times New Roman" w:eastAsia="方正仿宋_GBK"/>
          <w:szCs w:val="32"/>
        </w:rPr>
        <w:t>，实现农民闲置资产变现，增加农民财产性收入。</w:t>
      </w:r>
    </w:p>
    <w:p>
      <w:pPr>
        <w:pStyle w:val="4"/>
        <w:spacing w:line="600" w:lineRule="exact"/>
        <w:ind w:firstLine="0" w:firstLineChars="0"/>
        <w:rPr>
          <w:rFonts w:ascii="Times New Roman" w:eastAsia="方正仿宋_GBK"/>
          <w:szCs w:val="32"/>
        </w:rPr>
      </w:pPr>
      <w:r>
        <w:rPr>
          <w:rFonts w:ascii="Times New Roman" w:eastAsia="方正仿宋_GBK"/>
          <w:szCs w:val="32"/>
        </w:rPr>
        <w:t xml:space="preserve">    9.提高防治能力，完善地灾防治体系</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是强化隐患排查巡查。继续健全“四级”防灾格局，做到“监测不留死角，预警不留真空”，实现情况明、底数清、措施实。二是强化监测预警和应急处置。落实群测群防和专业监测体系，加强应急演练，及时发布监测预警信息。积极开展应急处置，确保涉险群众安全。三是加强地质灾害综合整治。有序推进三峡后续地质灾害治理项目实施，扎实开展面上地质灾害综合整治，积极开展突发性地灾隐患点应急降险处置和搬迁避让工作。四是深化校地合作。围绕区政府与中国地质大学（武汉）签署的战略合作协议中的合作事项，积极推动相关后续工作。</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10.筑牢工作基础，维护安全信访稳定</w:t>
      </w:r>
    </w:p>
    <w:p>
      <w:pPr>
        <w:spacing w:line="600" w:lineRule="exact"/>
        <w:ind w:firstLine="640" w:firstLineChars="200"/>
        <w:rPr>
          <w:rFonts w:ascii="Times New Roman" w:hAnsi="Times New Roman" w:eastAsia="方正仿宋_GBK" w:cs="Times New Roman"/>
          <w:snapToGrid w:val="0"/>
          <w:kern w:val="0"/>
          <w:sz w:val="32"/>
          <w:szCs w:val="32"/>
        </w:rPr>
      </w:pPr>
      <w:r>
        <w:rPr>
          <w:rFonts w:ascii="Times New Roman" w:hAnsi="Times New Roman" w:eastAsia="方正仿宋_GBK" w:cs="Times New Roman"/>
          <w:sz w:val="32"/>
          <w:szCs w:val="32"/>
        </w:rPr>
        <w:t>一是继续强化重点领域安全监管。强化土地整理、地灾治理、征地拆迁等项目和矿山企业安全生产规程和规范的督促检查，确保各项安全防范措施落到实处。二是强化信访稳定重点群体和重点人头稳控。着力“事要解决”，重在化解，防在源头，辅以应急稳控手段。三是深化扫黑除恶专项斗争。推动矿产</w:t>
      </w:r>
      <w:r>
        <w:rPr>
          <w:rFonts w:ascii="Times New Roman" w:hAnsi="Times New Roman" w:eastAsia="方正仿宋_GBK" w:cs="Times New Roman"/>
          <w:snapToGrid w:val="0"/>
          <w:kern w:val="0"/>
          <w:sz w:val="32"/>
          <w:szCs w:val="32"/>
        </w:rPr>
        <w:t>资源、土地征收供应、房屋拆迁等领域扫黑除恶专项斗争向纵深发展，坚决扫除矿产领域黑恶势力，坚决扫除滥采乱采、非法破坏矿产资源等行为，维护国家土地、矿产资源所有权益和企业、群众合法权利。</w:t>
      </w:r>
      <w:bookmarkStart w:id="0" w:name="_GoBack"/>
      <w:bookmarkEnd w:id="0"/>
    </w:p>
    <w:p>
      <w:pPr>
        <w:pStyle w:val="4"/>
        <w:spacing w:line="600" w:lineRule="exact"/>
        <w:ind w:firstLine="640" w:firstLineChars="200"/>
        <w:rPr>
          <w:rFonts w:ascii="Times New Roman" w:eastAsia="方正仿宋_GBK"/>
          <w:szCs w:val="32"/>
        </w:rPr>
      </w:pPr>
      <w:r>
        <w:rPr>
          <w:rFonts w:ascii="Times New Roman" w:eastAsia="方正仿宋_GBK"/>
          <w:szCs w:val="32"/>
        </w:rPr>
        <w:t>11.深化“放管服”，提高依法行政质量</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是继续深化“放管服”改革。推进行政审批标准化建设，以标准化促进规范化，提高审批效率，改进服务水平。推进“互联网+政务服务”，高效办理网审平台受理的行政行政审批服务事项。深入开展行政审批制度改革，有序推进“多规合一”“多测合一”“一张蓝图”和区域整体评价工作，优化审批流程，压缩审批时限。二是强化执法监督工作。推进“双随机、一公开”监管全覆盖，全面公开抽查结果，解决抽查结果公示不主动、不及时、不全面的问题，提高“双随机、一公开”监管的公信力。三是严格案件查处。突出卫片执法、检察院移交案件、其他举报线索等重点工作查处力度，依法及时开展调查，作出处罚或移交相关部门。四是提高执法人员执法能力。定期组织执法人员学习自然资源、城乡规划法律法规和政策，提高执法人员依法行政能力和办案水平。</w:t>
      </w:r>
    </w:p>
    <w:p>
      <w:pPr>
        <w:spacing w:line="600" w:lineRule="exact"/>
        <w:ind w:firstLine="645"/>
        <w:jc w:val="left"/>
        <w:rPr>
          <w:rFonts w:ascii="Times New Roman" w:hAnsi="Times New Roman" w:eastAsia="方正楷体_GBK" w:cs="Times New Roman"/>
          <w:sz w:val="32"/>
          <w:szCs w:val="32"/>
        </w:rPr>
      </w:pPr>
      <w:r>
        <w:rPr>
          <w:rFonts w:ascii="Times New Roman" w:hAnsi="Times New Roman" w:eastAsia="方正楷体_GBK" w:cs="Times New Roman"/>
          <w:sz w:val="32"/>
          <w:szCs w:val="32"/>
        </w:rPr>
        <w:t>（三）当年部门年度整体支出绩效目标。</w:t>
      </w:r>
    </w:p>
    <w:p>
      <w:pPr>
        <w:spacing w:line="600" w:lineRule="exact"/>
        <w:ind w:firstLine="645"/>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一是保证单位正常运转；二是完成各项业务领域目标任务：强化规划引领，优化国土空间规划布局，深化国土空间总体规划，编制各专项规划；加强自然资源保护和修复，开展自然资源调查监测，严守耕地红线；完成全区各类不动产及自然资源登记；优化资源配置，提升用地保障能力，完成全年土地出让目标任务；加强地质灾害防治、矿产资源管理、自然资源违法案件查处等各项业务工作。</w:t>
      </w:r>
    </w:p>
    <w:p>
      <w:pPr>
        <w:spacing w:line="600" w:lineRule="exact"/>
        <w:ind w:firstLine="645"/>
        <w:jc w:val="left"/>
        <w:rPr>
          <w:rFonts w:ascii="Times New Roman" w:hAnsi="Times New Roman" w:eastAsia="方正楷体_GBK" w:cs="Times New Roman"/>
          <w:sz w:val="32"/>
          <w:szCs w:val="32"/>
        </w:rPr>
      </w:pPr>
      <w:r>
        <w:rPr>
          <w:rFonts w:ascii="Times New Roman" w:hAnsi="Times New Roman" w:eastAsia="方正楷体_GBK" w:cs="Times New Roman"/>
          <w:sz w:val="32"/>
          <w:szCs w:val="32"/>
        </w:rPr>
        <w:t>（四）部门预算绩效管理开展情况。</w:t>
      </w:r>
    </w:p>
    <w:p>
      <w:pPr>
        <w:spacing w:line="600" w:lineRule="exact"/>
        <w:ind w:firstLine="645"/>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1.严格执行管理制度。按照单位内部控制管理制度相关规定，严肃预算绩效管理工作，增强支出责任和效率意识，全面加强预算管理，优化资源配置，提高资金使用效率。</w:t>
      </w:r>
    </w:p>
    <w:p>
      <w:pPr>
        <w:spacing w:line="600" w:lineRule="exact"/>
        <w:ind w:firstLine="645"/>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2.强化项目绩效目标。2021年对本部门所申报的所有预算项目进行全面梳理，并加强审核，实现了合理保障。</w:t>
      </w:r>
    </w:p>
    <w:p>
      <w:pPr>
        <w:spacing w:line="600" w:lineRule="exact"/>
        <w:ind w:firstLine="645"/>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3.完善项目绩效管理责任。本部门作为预算执行主体，严格执行万州区财政局批复下达的年度预算与绩效目标，负责实现项目绩效目标。2021年，本部门的绩效目标均按照要求及时申报、核对，按规定每月申请额度，按进度实现项目资金的合理使用，到2021年末完成当年预算计划，达成绩效目标。</w:t>
      </w:r>
    </w:p>
    <w:p>
      <w:pPr>
        <w:spacing w:line="600" w:lineRule="exact"/>
        <w:ind w:firstLine="645"/>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通过开展绩效管理工作，促进加强了支出管理和2021年度预算编审工作。</w:t>
      </w:r>
    </w:p>
    <w:p>
      <w:pPr>
        <w:spacing w:line="600" w:lineRule="exact"/>
        <w:ind w:firstLine="645"/>
        <w:jc w:val="left"/>
        <w:rPr>
          <w:rFonts w:ascii="Times New Roman" w:hAnsi="Times New Roman" w:eastAsia="方正楷体_GBK" w:cs="Times New Roman"/>
          <w:sz w:val="32"/>
          <w:szCs w:val="32"/>
        </w:rPr>
      </w:pPr>
      <w:r>
        <w:rPr>
          <w:rFonts w:ascii="Times New Roman" w:hAnsi="Times New Roman" w:eastAsia="方正楷体_GBK" w:cs="Times New Roman"/>
          <w:sz w:val="32"/>
          <w:szCs w:val="32"/>
        </w:rPr>
        <w:t>（五）当年部门预算及执行情况。</w:t>
      </w:r>
    </w:p>
    <w:p>
      <w:pPr>
        <w:spacing w:line="600" w:lineRule="exact"/>
        <w:ind w:firstLine="645"/>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2021年部门</w:t>
      </w:r>
      <w:r>
        <w:rPr>
          <w:rFonts w:ascii="Times New Roman" w:hAnsi="Times New Roman" w:eastAsia="方正仿宋_GBK" w:cs="Times New Roman"/>
          <w:sz w:val="32"/>
          <w:szCs w:val="32"/>
          <w:shd w:val="clear" w:color="auto" w:fill="FFFFFF"/>
        </w:rPr>
        <w:t>年初收入预算数26253.09万元，其中：基本支出8131.85万元，项目支出18121.24万元。2021年度部门支出决算数38587.21万元，其中：基本支出13920.47万元，项目支出24666.74万元。收支差异原因分析：基本支出较年初预算增加5788.62万元，主要原因一是本年在职人员增加17人，对应基本支出增加，二是区财政中途预算追加了目标考核奖、带薪年休、健康休养费等人员经费，三是区规划和自然资源局、区规划和自然资源综合行政执法支队非税成本返还经费在基本支出中列支。项目支出较年初预算增加6545.50万元，主要原因是财政中途预算追加了地灾防治、土地开发整理、非税收入成本返还等项目经费。</w:t>
      </w:r>
    </w:p>
    <w:p>
      <w:pPr>
        <w:spacing w:line="600" w:lineRule="exact"/>
        <w:ind w:firstLine="640" w:firstLineChars="200"/>
        <w:jc w:val="left"/>
        <w:rPr>
          <w:rFonts w:ascii="Times New Roman" w:hAnsi="Times New Roman" w:eastAsia="方正黑体_GBK" w:cs="Times New Roman"/>
          <w:sz w:val="32"/>
          <w:szCs w:val="32"/>
        </w:rPr>
      </w:pPr>
      <w:r>
        <w:rPr>
          <w:rFonts w:ascii="Times New Roman" w:hAnsi="Times New Roman" w:eastAsia="方正黑体_GBK" w:cs="Times New Roman"/>
          <w:sz w:val="32"/>
          <w:szCs w:val="32"/>
        </w:rPr>
        <w:t>二、绩效实现情况</w:t>
      </w:r>
    </w:p>
    <w:p>
      <w:pPr>
        <w:pStyle w:val="7"/>
        <w:widowControl w:val="0"/>
        <w:spacing w:before="0" w:beforeAutospacing="0" w:after="0" w:afterAutospacing="0" w:line="600" w:lineRule="exact"/>
        <w:ind w:firstLine="640" w:firstLineChars="200"/>
        <w:jc w:val="both"/>
        <w:rPr>
          <w:rFonts w:ascii="Times New Roman" w:hAnsi="Times New Roman" w:eastAsia="方正楷体_GBK" w:cs="Times New Roman"/>
          <w:color w:val="000000"/>
          <w:sz w:val="32"/>
          <w:szCs w:val="32"/>
        </w:rPr>
      </w:pPr>
      <w:r>
        <w:rPr>
          <w:rFonts w:ascii="Times New Roman" w:hAnsi="Times New Roman" w:eastAsia="方正楷体_GBK" w:cs="Times New Roman"/>
          <w:color w:val="000000"/>
          <w:kern w:val="2"/>
          <w:sz w:val="32"/>
          <w:szCs w:val="32"/>
        </w:rPr>
        <w:t>（一）</w:t>
      </w:r>
      <w:r>
        <w:rPr>
          <w:rFonts w:ascii="Times New Roman" w:hAnsi="Times New Roman" w:eastAsia="方正楷体_GBK" w:cs="Times New Roman"/>
          <w:color w:val="000000"/>
          <w:sz w:val="32"/>
          <w:szCs w:val="32"/>
        </w:rPr>
        <w:t>业务工作完成情况</w:t>
      </w:r>
    </w:p>
    <w:p>
      <w:pPr>
        <w:pStyle w:val="2"/>
        <w:spacing w:line="600" w:lineRule="exact"/>
        <w:ind w:firstLine="643" w:firstLineChars="200"/>
        <w:rPr>
          <w:rFonts w:ascii="Times New Roman"/>
          <w:color w:val="000000"/>
          <w:szCs w:val="32"/>
        </w:rPr>
      </w:pPr>
      <w:r>
        <w:rPr>
          <w:rFonts w:ascii="Times New Roman"/>
          <w:b/>
          <w:bCs/>
          <w:color w:val="000000"/>
          <w:szCs w:val="32"/>
        </w:rPr>
        <w:t>1.乡村振兴暨巩固拓展脱贫攻坚成果成效。</w:t>
      </w:r>
      <w:r>
        <w:rPr>
          <w:rFonts w:ascii="Times New Roman"/>
          <w:color w:val="000000"/>
          <w:szCs w:val="32"/>
        </w:rPr>
        <w:t>坚持以党建促乡村振兴工作，一是建立起恒合乡村振兴“2+2+2+1+1+13”帮扶体系。二是主动牵头完成《恒合乡村振兴规划》，推动区级帮扶单位筹措帮扶资金270万元。三是高标准开展驻村帮扶工作，优化队伍配置，严格驻村管理，在市区两级帮扶单位中率先建立驻村工作月例会制度，促成“城乡支部手拉手”结对共建帮扶对子7对。</w:t>
      </w:r>
    </w:p>
    <w:p>
      <w:pPr>
        <w:pStyle w:val="2"/>
        <w:spacing w:line="600" w:lineRule="exact"/>
        <w:ind w:firstLine="643" w:firstLineChars="200"/>
        <w:rPr>
          <w:rFonts w:ascii="Times New Roman"/>
          <w:color w:val="000000"/>
          <w:szCs w:val="32"/>
        </w:rPr>
      </w:pPr>
      <w:r>
        <w:rPr>
          <w:rFonts w:ascii="Times New Roman"/>
          <w:b/>
          <w:bCs/>
          <w:color w:val="000000"/>
          <w:szCs w:val="32"/>
        </w:rPr>
        <w:t>2.创建全国文明城区。</w:t>
      </w:r>
      <w:r>
        <w:rPr>
          <w:rFonts w:ascii="Times New Roman"/>
          <w:color w:val="000000"/>
          <w:szCs w:val="32"/>
        </w:rPr>
        <w:t>不断推动“双报到”及“三进三服务”工作，局系统10个基层党组织、237名在职党员全部到社区报到，500余人次下沉社区开展疫苗接种、文明劝导等工作。</w:t>
      </w:r>
    </w:p>
    <w:p>
      <w:pPr>
        <w:pStyle w:val="2"/>
        <w:spacing w:line="600" w:lineRule="exact"/>
        <w:ind w:firstLine="643" w:firstLineChars="200"/>
        <w:rPr>
          <w:rFonts w:ascii="Times New Roman"/>
          <w:b/>
          <w:bCs/>
          <w:color w:val="000000"/>
          <w:szCs w:val="32"/>
        </w:rPr>
      </w:pPr>
      <w:r>
        <w:rPr>
          <w:rFonts w:ascii="Times New Roman"/>
          <w:b/>
          <w:bCs/>
          <w:color w:val="000000"/>
          <w:szCs w:val="32"/>
        </w:rPr>
        <w:t>3.环境质量。</w:t>
      </w:r>
      <w:r>
        <w:rPr>
          <w:rFonts w:ascii="Times New Roman"/>
          <w:szCs w:val="32"/>
        </w:rPr>
        <w:t>持续开展绿色矿山“回头看”暨露天矿山综合整治提升专项行动，加快推进绿色矿山建设工作。完成绿色矿山建设自评并申报第三方评估20家，通过第三方评估并建成绿色矿山18家，已入库重庆市绿色矿山名录库15家。</w:t>
      </w:r>
    </w:p>
    <w:p>
      <w:pPr>
        <w:pStyle w:val="2"/>
        <w:spacing w:line="600" w:lineRule="exact"/>
        <w:ind w:firstLine="643" w:firstLineChars="200"/>
        <w:rPr>
          <w:rFonts w:ascii="Times New Roman"/>
          <w:b/>
          <w:bCs/>
          <w:color w:val="000000"/>
          <w:szCs w:val="32"/>
        </w:rPr>
      </w:pPr>
      <w:r>
        <w:rPr>
          <w:rFonts w:ascii="Times New Roman"/>
          <w:b/>
          <w:bCs/>
          <w:color w:val="000000"/>
          <w:szCs w:val="32"/>
        </w:rPr>
        <w:t>4.经济发展主要监测指标完成率。</w:t>
      </w:r>
      <w:r>
        <w:rPr>
          <w:rFonts w:ascii="Times New Roman"/>
          <w:color w:val="000000"/>
          <w:szCs w:val="32"/>
        </w:rPr>
        <w:t xml:space="preserve">科学研究与技术服务业涉及的区规划设计研究院全年工资收入2756万元，营业收入4722万元。经济发展指标完成较好。    </w:t>
      </w:r>
    </w:p>
    <w:p>
      <w:pPr>
        <w:pStyle w:val="2"/>
        <w:spacing w:line="600" w:lineRule="exact"/>
        <w:ind w:firstLine="643" w:firstLineChars="200"/>
        <w:rPr>
          <w:rFonts w:ascii="Times New Roman"/>
          <w:szCs w:val="32"/>
        </w:rPr>
      </w:pPr>
      <w:r>
        <w:rPr>
          <w:rFonts w:ascii="Times New Roman"/>
          <w:b/>
          <w:bCs/>
          <w:color w:val="000000"/>
          <w:szCs w:val="32"/>
        </w:rPr>
        <w:t>5.“双亮”活动。</w:t>
      </w:r>
      <w:r>
        <w:rPr>
          <w:rFonts w:ascii="Times New Roman"/>
          <w:szCs w:val="32"/>
        </w:rPr>
        <w:t>一是加强规划引领，完成江城品质提升、旧城更新、恒合乡村振兴规划和“库心”武陵江湾风情小镇等规划编制工作。二是清理规划利用闲置土地共187宗，现已处置完成106宗，面积约1464亩。三是扎实服务城乡“双亮”，选派30名社区规划师“一对一”服务镇乡街道及社区乡村。</w:t>
      </w:r>
    </w:p>
    <w:p>
      <w:pPr>
        <w:pStyle w:val="2"/>
        <w:spacing w:line="600" w:lineRule="exact"/>
        <w:ind w:firstLine="643" w:firstLineChars="200"/>
        <w:rPr>
          <w:rFonts w:ascii="Times New Roman"/>
          <w:b/>
          <w:bCs/>
          <w:color w:val="000000"/>
          <w:szCs w:val="32"/>
        </w:rPr>
      </w:pPr>
      <w:r>
        <w:rPr>
          <w:rFonts w:ascii="Times New Roman"/>
          <w:b/>
          <w:bCs/>
          <w:color w:val="000000"/>
          <w:szCs w:val="32"/>
        </w:rPr>
        <w:t>6.招商引资及外资。</w:t>
      </w:r>
      <w:r>
        <w:rPr>
          <w:rFonts w:ascii="Times New Roman"/>
          <w:szCs w:val="32"/>
        </w:rPr>
        <w:t>做好服务对接工作，建立健康产业周边协同发展机制等措施，持续跟踪热电系统综合节能技改项目，拓宽招商引资平台，实现了全年度的到位资金任务。</w:t>
      </w:r>
    </w:p>
    <w:p>
      <w:pPr>
        <w:pStyle w:val="2"/>
        <w:spacing w:line="600" w:lineRule="exact"/>
        <w:ind w:firstLine="643" w:firstLineChars="200"/>
        <w:rPr>
          <w:rFonts w:ascii="Times New Roman"/>
          <w:szCs w:val="32"/>
        </w:rPr>
      </w:pPr>
      <w:r>
        <w:rPr>
          <w:rFonts w:ascii="Times New Roman"/>
          <w:b/>
          <w:bCs/>
          <w:color w:val="000000"/>
          <w:szCs w:val="32"/>
        </w:rPr>
        <w:t>7.固定资产投资额。</w:t>
      </w:r>
      <w:r>
        <w:rPr>
          <w:rFonts w:ascii="Times New Roman"/>
          <w:szCs w:val="32"/>
        </w:rPr>
        <w:t>在库投资项目共12个，计划总投资18369万元，同比增加43.5%；自开始建设累计完成投资12433万元，同比增加27.1%；本年完成投资7260万元，同比增长41.6%。</w:t>
      </w:r>
    </w:p>
    <w:p>
      <w:pPr>
        <w:spacing w:line="600" w:lineRule="exact"/>
        <w:ind w:firstLine="643" w:firstLineChars="200"/>
        <w:rPr>
          <w:rFonts w:ascii="Times New Roman" w:hAnsi="Times New Roman" w:eastAsia="方正仿宋_GBK" w:cs="Times New Roman"/>
          <w:b/>
          <w:bCs/>
          <w:color w:val="000000"/>
          <w:sz w:val="32"/>
          <w:szCs w:val="32"/>
        </w:rPr>
      </w:pPr>
      <w:r>
        <w:rPr>
          <w:rFonts w:ascii="Times New Roman" w:hAnsi="Times New Roman" w:eastAsia="方正仿宋_GBK" w:cs="Times New Roman"/>
          <w:b/>
          <w:bCs/>
          <w:color w:val="000000"/>
          <w:sz w:val="32"/>
          <w:szCs w:val="32"/>
        </w:rPr>
        <w:t>8.提升城市人口集聚能力。</w:t>
      </w:r>
      <w:r>
        <w:rPr>
          <w:rFonts w:ascii="Times New Roman" w:hAnsi="Times New Roman" w:eastAsia="方正仿宋_GBK" w:cs="Times New Roman"/>
          <w:sz w:val="32"/>
          <w:szCs w:val="32"/>
        </w:rPr>
        <w:t>按照“一年打基础、两年有提升、五年大跨越”的发展预期，形成可操作、可实施的年度规划实施行动计划，建立“5+1+N”项目库，制定5年储备项目库、年度实施项目库和季度新增建设用地库。</w:t>
      </w:r>
    </w:p>
    <w:p>
      <w:pPr>
        <w:pStyle w:val="2"/>
        <w:spacing w:line="600" w:lineRule="exact"/>
        <w:ind w:firstLine="643" w:firstLineChars="200"/>
        <w:rPr>
          <w:rFonts w:ascii="Times New Roman"/>
          <w:szCs w:val="32"/>
        </w:rPr>
      </w:pPr>
      <w:r>
        <w:rPr>
          <w:rFonts w:ascii="Times New Roman"/>
          <w:b/>
          <w:bCs/>
          <w:color w:val="000000"/>
          <w:szCs w:val="32"/>
        </w:rPr>
        <w:t>9.财税工作。</w:t>
      </w:r>
      <w:r>
        <w:rPr>
          <w:rFonts w:ascii="Times New Roman"/>
          <w:szCs w:val="32"/>
        </w:rPr>
        <w:t>2021年，我区共出让土地46宗3210亩，办理划拨供地30宗4125亩，实现土地价款财政入库（全口径）55.60亿元（出让18.22亿元，划拨37.38亿元）、征收矿业权出让收益4521.26万元，均超额完成目标征收任务。不动产登记工作全年协助完成契税、增值税征收1.65亿元；按时报送土地出让、土地转让等6项共222条耕地占用税和资源环境税协税信息。严格执行财政预算管理相关规定，加强项目资金绩效管理、“三公”经费管控，按规定内容和时限进行预决算信息公开。</w:t>
      </w:r>
    </w:p>
    <w:p>
      <w:pPr>
        <w:pStyle w:val="3"/>
        <w:spacing w:line="600" w:lineRule="exact"/>
        <w:ind w:firstLine="643" w:firstLineChars="200"/>
        <w:rPr>
          <w:rFonts w:ascii="Times New Roman" w:hAnsi="Times New Roman" w:eastAsia="方正仿宋_GBK" w:cs="Times New Roman"/>
          <w:color w:val="auto"/>
          <w:kern w:val="2"/>
          <w:sz w:val="32"/>
          <w:szCs w:val="32"/>
        </w:rPr>
      </w:pPr>
      <w:r>
        <w:rPr>
          <w:rFonts w:ascii="Times New Roman" w:hAnsi="Times New Roman" w:eastAsia="方正仿宋_GBK" w:cs="Times New Roman"/>
          <w:b/>
          <w:bCs/>
          <w:color w:val="auto"/>
          <w:kern w:val="2"/>
          <w:sz w:val="32"/>
          <w:szCs w:val="32"/>
        </w:rPr>
        <w:t>10.深化“放管服”改革转变政府职能。</w:t>
      </w:r>
      <w:r>
        <w:rPr>
          <w:rFonts w:ascii="Times New Roman" w:hAnsi="Times New Roman" w:eastAsia="方正仿宋_GBK" w:cs="Times New Roman"/>
          <w:color w:val="auto"/>
          <w:kern w:val="2"/>
          <w:sz w:val="32"/>
          <w:szCs w:val="32"/>
        </w:rPr>
        <w:t>优化营商环境，推行“渝快办”网上自助申报服务；加大简政放权力度；涉及矿业权登记、不动产预告等13个政务服务事项实现“川渝通办”；推进实施用地规划“多审合一、多证合一”、“多测合一”改革，压缩审批时限。推广“互联网+不动产登记”，启用登记信息自助查询、电子签批屏；精简登记资料，推行证明事项事项告知承诺制；下沉农村不动产登记窗口到镇乡规资所。</w:t>
      </w:r>
    </w:p>
    <w:p>
      <w:pPr>
        <w:pStyle w:val="2"/>
        <w:spacing w:line="600" w:lineRule="exact"/>
        <w:ind w:firstLine="643" w:firstLineChars="200"/>
        <w:rPr>
          <w:rFonts w:ascii="Times New Roman"/>
          <w:color w:val="000000"/>
          <w:szCs w:val="32"/>
        </w:rPr>
      </w:pPr>
      <w:r>
        <w:rPr>
          <w:rFonts w:ascii="Times New Roman"/>
          <w:b/>
          <w:bCs/>
          <w:color w:val="000000"/>
          <w:szCs w:val="32"/>
        </w:rPr>
        <w:t>11.全面落实河长制工作及最严格水资源管理达标率。</w:t>
      </w:r>
      <w:r>
        <w:rPr>
          <w:rFonts w:ascii="Times New Roman"/>
          <w:color w:val="000000"/>
          <w:szCs w:val="32"/>
        </w:rPr>
        <w:t>落实水域岸线空间管控，细化城镇开发边界。完成一河一策编制。落实河长制联络员单位职责。按季度巡河，开展万州开州接口水质问题及重庆市河长办暗访问题整改。开展全流域“三乱”排查，发现问题8项反馈区河长办。</w:t>
      </w:r>
    </w:p>
    <w:p>
      <w:pPr>
        <w:pStyle w:val="2"/>
        <w:spacing w:line="600" w:lineRule="exact"/>
        <w:ind w:firstLine="643" w:firstLineChars="200"/>
        <w:rPr>
          <w:rFonts w:ascii="Times New Roman"/>
          <w:b/>
          <w:bCs/>
          <w:color w:val="000000"/>
          <w:szCs w:val="32"/>
        </w:rPr>
      </w:pPr>
      <w:r>
        <w:rPr>
          <w:rFonts w:ascii="Times New Roman"/>
          <w:b/>
          <w:bCs/>
          <w:color w:val="000000"/>
          <w:szCs w:val="32"/>
        </w:rPr>
        <w:t>12.三峡后续项目建设完成率及水库规范管理达标率。</w:t>
      </w:r>
      <w:r>
        <w:rPr>
          <w:rFonts w:ascii="Times New Roman"/>
          <w:color w:val="000000"/>
          <w:szCs w:val="32"/>
        </w:rPr>
        <w:t>加强三峡后续项目规划审批服务，启动大周镇滨江游客接待中心等项目规划建设指导，助力乡村振兴。</w:t>
      </w:r>
      <w:r>
        <w:rPr>
          <w:rFonts w:ascii="Times New Roman"/>
          <w:color w:val="000000"/>
          <w:szCs w:val="32"/>
        </w:rPr>
        <w:br w:type="textWrapping"/>
      </w:r>
      <w:r>
        <w:rPr>
          <w:rFonts w:ascii="Times New Roman"/>
          <w:szCs w:val="32"/>
        </w:rPr>
        <w:t xml:space="preserve">          </w:t>
      </w:r>
      <w:r>
        <w:rPr>
          <w:rFonts w:ascii="Times New Roman"/>
          <w:b/>
          <w:bCs/>
          <w:color w:val="000000"/>
          <w:szCs w:val="32"/>
        </w:rPr>
        <w:t>13.城乡综合管理水平。</w:t>
      </w:r>
      <w:r>
        <w:rPr>
          <w:rFonts w:ascii="Times New Roman"/>
          <w:color w:val="000000"/>
          <w:szCs w:val="32"/>
        </w:rPr>
        <w:t>推动老旧小区改造，受理老旧住宅增设电梯申请200余件，办理规划手续120余件。推动万州成功申报市级历史文化名城。对全区91个建设工程实施规划跟踪监管，立案查处10个违法线索，结案8件。</w:t>
      </w:r>
    </w:p>
    <w:p>
      <w:pPr>
        <w:pStyle w:val="2"/>
        <w:spacing w:line="600" w:lineRule="exact"/>
        <w:ind w:firstLine="643" w:firstLineChars="200"/>
        <w:rPr>
          <w:rFonts w:ascii="Times New Roman"/>
          <w:color w:val="000000"/>
          <w:szCs w:val="32"/>
        </w:rPr>
      </w:pPr>
      <w:r>
        <w:rPr>
          <w:rFonts w:ascii="Times New Roman"/>
          <w:b/>
          <w:bCs/>
          <w:color w:val="000000"/>
          <w:szCs w:val="32"/>
        </w:rPr>
        <w:t>14.合力完成“双百亿”工程情况。</w:t>
      </w:r>
      <w:r>
        <w:rPr>
          <w:rFonts w:ascii="Times New Roman"/>
          <w:color w:val="000000"/>
          <w:szCs w:val="32"/>
        </w:rPr>
        <w:t>做好设施农用地选址服务工作，助力“双百亿”工程推进。</w:t>
      </w:r>
    </w:p>
    <w:p>
      <w:pPr>
        <w:pStyle w:val="2"/>
        <w:spacing w:line="600" w:lineRule="exact"/>
        <w:ind w:firstLine="643" w:firstLineChars="200"/>
        <w:rPr>
          <w:rFonts w:ascii="Times New Roman"/>
          <w:color w:val="000000"/>
          <w:szCs w:val="32"/>
        </w:rPr>
      </w:pPr>
      <w:r>
        <w:rPr>
          <w:rFonts w:ascii="Times New Roman"/>
          <w:b/>
          <w:bCs/>
          <w:color w:val="000000"/>
          <w:szCs w:val="32"/>
        </w:rPr>
        <w:t>15.科技创新工作成效。</w:t>
      </w:r>
      <w:r>
        <w:rPr>
          <w:rFonts w:ascii="Times New Roman"/>
          <w:color w:val="000000"/>
          <w:szCs w:val="32"/>
        </w:rPr>
        <w:t>一是完成中心城区约170平方公里高精度倾斜三维城市模型、正射影像数据的采集建库，搭建全区智慧城市底版。二是创新性建立“隐患点+风险区双控”风险防控管理模式，全区693处地灾点接入预警系统管理。三是与科研单位合作研发了适合大型顺层岩质滑坡特点的智能监测预警技术和设备。</w:t>
      </w:r>
    </w:p>
    <w:p>
      <w:pPr>
        <w:pStyle w:val="2"/>
        <w:spacing w:line="600" w:lineRule="exact"/>
        <w:ind w:firstLine="643" w:firstLineChars="200"/>
        <w:rPr>
          <w:rFonts w:ascii="Times New Roman"/>
          <w:szCs w:val="32"/>
        </w:rPr>
      </w:pPr>
      <w:r>
        <w:rPr>
          <w:rFonts w:ascii="Times New Roman"/>
          <w:b/>
          <w:bCs/>
          <w:color w:val="000000"/>
          <w:szCs w:val="32"/>
        </w:rPr>
        <w:t>16.退役军人服务管理达标率。</w:t>
      </w:r>
      <w:r>
        <w:rPr>
          <w:rFonts w:ascii="Times New Roman"/>
          <w:szCs w:val="32"/>
        </w:rPr>
        <w:t>弘扬“双拥”光荣传统，接收安置2名退役军人至区规划自然资源综合行政执法支队、区征地事务中心工作。</w:t>
      </w:r>
    </w:p>
    <w:p>
      <w:pPr>
        <w:pStyle w:val="2"/>
        <w:spacing w:line="600" w:lineRule="exact"/>
        <w:ind w:firstLine="643" w:firstLineChars="200"/>
        <w:rPr>
          <w:rFonts w:ascii="Times New Roman"/>
          <w:b/>
          <w:bCs/>
          <w:color w:val="000000"/>
          <w:szCs w:val="32"/>
        </w:rPr>
      </w:pPr>
      <w:r>
        <w:rPr>
          <w:rFonts w:ascii="Times New Roman"/>
          <w:b/>
          <w:bCs/>
          <w:color w:val="000000"/>
          <w:szCs w:val="32"/>
        </w:rPr>
        <w:t>17.工业发展质效。</w:t>
      </w:r>
      <w:r>
        <w:rPr>
          <w:rFonts w:ascii="Times New Roman"/>
          <w:color w:val="000000"/>
          <w:szCs w:val="32"/>
        </w:rPr>
        <w:t>重点保障澳斯卡粮油、博联能源、三峡农业、中船重工等工业项目供地，全年实现工矿仓储类用地供应38宗3075亩，为万州工业发展保驾护航。</w:t>
      </w:r>
    </w:p>
    <w:p>
      <w:pPr>
        <w:spacing w:line="600" w:lineRule="exact"/>
        <w:ind w:firstLine="643"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b/>
          <w:bCs/>
          <w:color w:val="000000"/>
          <w:sz w:val="32"/>
          <w:szCs w:val="32"/>
        </w:rPr>
        <w:t>18.数字经济发展质效。</w:t>
      </w:r>
      <w:r>
        <w:rPr>
          <w:rFonts w:ascii="Times New Roman" w:hAnsi="Times New Roman" w:eastAsia="方正仿宋_GBK" w:cs="Times New Roman"/>
          <w:color w:val="000000"/>
          <w:sz w:val="32"/>
          <w:szCs w:val="32"/>
        </w:rPr>
        <w:t>一是建设万州经开区智慧园区网络信息系统、教育大数据集控中心，打造重庆市智慧城市建设示范区县及“数字孪生城市”。二是完善自然资源“一张图”数据体系，建立“横向到边，纵向到底”的自然资源空间数据框架。</w:t>
      </w:r>
    </w:p>
    <w:p>
      <w:pPr>
        <w:pStyle w:val="2"/>
        <w:spacing w:line="600" w:lineRule="exact"/>
        <w:ind w:firstLine="643" w:firstLineChars="200"/>
        <w:rPr>
          <w:rFonts w:ascii="Times New Roman"/>
          <w:color w:val="000000"/>
          <w:szCs w:val="32"/>
        </w:rPr>
      </w:pPr>
      <w:r>
        <w:rPr>
          <w:rFonts w:ascii="Times New Roman"/>
          <w:b/>
          <w:bCs/>
          <w:color w:val="000000"/>
          <w:szCs w:val="32"/>
        </w:rPr>
        <w:t>19.健康中国万州行动实施质效。</w:t>
      </w:r>
      <w:r>
        <w:rPr>
          <w:rFonts w:ascii="Times New Roman"/>
          <w:color w:val="000000"/>
          <w:szCs w:val="32"/>
        </w:rPr>
        <w:t>在区爱卫办统一部署下集中投放灭鼠药，喷洒灭蚊灭虫药，做好环境卫生，治理卫生死角，清除四害栖息繁殖地。组织全体干部职工完成疫苗接种，接种完成率100%。</w:t>
      </w:r>
    </w:p>
    <w:p>
      <w:pPr>
        <w:pStyle w:val="3"/>
        <w:spacing w:line="600" w:lineRule="exact"/>
        <w:rPr>
          <w:rFonts w:ascii="Times New Roman" w:hAnsi="Times New Roman" w:eastAsia="方正仿宋_GBK" w:cs="Times New Roman"/>
          <w:kern w:val="2"/>
          <w:sz w:val="32"/>
          <w:szCs w:val="32"/>
        </w:rPr>
      </w:pPr>
      <w:r>
        <w:rPr>
          <w:rFonts w:ascii="Times New Roman" w:hAnsi="Times New Roman" w:eastAsia="方正仿宋_GBK" w:cs="Times New Roman"/>
          <w:sz w:val="32"/>
          <w:szCs w:val="32"/>
        </w:rPr>
        <w:t xml:space="preserve">    </w:t>
      </w:r>
      <w:r>
        <w:rPr>
          <w:rFonts w:ascii="Times New Roman" w:hAnsi="Times New Roman" w:eastAsia="方正楷体_GBK" w:cs="Times New Roman"/>
          <w:kern w:val="2"/>
          <w:sz w:val="32"/>
          <w:szCs w:val="32"/>
        </w:rPr>
        <w:t>（二）基本职能工作</w:t>
      </w:r>
    </w:p>
    <w:p>
      <w:pPr>
        <w:pStyle w:val="2"/>
        <w:spacing w:line="600" w:lineRule="exact"/>
        <w:ind w:firstLine="643" w:firstLineChars="200"/>
        <w:rPr>
          <w:rFonts w:ascii="Times New Roman"/>
          <w:color w:val="000000"/>
          <w:szCs w:val="32"/>
        </w:rPr>
      </w:pPr>
      <w:r>
        <w:rPr>
          <w:rFonts w:ascii="Times New Roman"/>
          <w:b/>
          <w:bCs/>
          <w:color w:val="000000"/>
          <w:szCs w:val="32"/>
        </w:rPr>
        <w:t>20.落实耕地保护目标责任，自然资源调查确权登记成效。</w:t>
      </w:r>
      <w:r>
        <w:rPr>
          <w:rFonts w:ascii="Times New Roman"/>
          <w:color w:val="000000"/>
          <w:szCs w:val="32"/>
        </w:rPr>
        <w:t>全年新增耕地面积1800亩、完成农村建设用地复垦市级验收项目15个规模520亩、完成市级备案项目18个规模900亩，均超额完成市级下达各项目标任务。高质量开展国土变更调查、地理国情监测工作，动态跟踪全区自然资源变化情况。</w:t>
      </w:r>
    </w:p>
    <w:p>
      <w:pPr>
        <w:pStyle w:val="2"/>
        <w:spacing w:line="600" w:lineRule="exact"/>
        <w:ind w:firstLine="643" w:firstLineChars="200"/>
        <w:rPr>
          <w:rFonts w:ascii="Times New Roman"/>
          <w:szCs w:val="32"/>
        </w:rPr>
      </w:pPr>
      <w:r>
        <w:rPr>
          <w:rFonts w:ascii="Times New Roman"/>
          <w:b/>
          <w:bCs/>
          <w:color w:val="000000"/>
          <w:szCs w:val="32"/>
        </w:rPr>
        <w:t>21.国土空间用途管制及权益利用成效。</w:t>
      </w:r>
      <w:r>
        <w:rPr>
          <w:rFonts w:ascii="Times New Roman"/>
          <w:szCs w:val="32"/>
        </w:rPr>
        <w:t>探索建立全区两级三类国土空间规划体系。持续加强万达开、万开云区域城镇空间协调发展等重大国土空间规划发展战略研究。完成全区国土空间总体规划阶段性方案成果。启动恒合乡、龙驹镇等重点镇乡的国土空间总体规划编制。</w:t>
      </w:r>
    </w:p>
    <w:p>
      <w:pPr>
        <w:spacing w:line="600" w:lineRule="exact"/>
        <w:ind w:firstLine="643"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b/>
          <w:bCs/>
          <w:color w:val="000000"/>
          <w:sz w:val="32"/>
          <w:szCs w:val="32"/>
        </w:rPr>
        <w:t>22.矿产资源保护监督及矿业权管理成效。</w:t>
      </w:r>
      <w:r>
        <w:rPr>
          <w:rFonts w:ascii="Times New Roman" w:hAnsi="Times New Roman" w:eastAsia="方正仿宋_GBK" w:cs="Times New Roman"/>
          <w:color w:val="000000"/>
          <w:sz w:val="32"/>
          <w:szCs w:val="32"/>
        </w:rPr>
        <w:t>积极推进万州区矿产资源规划编制工作，同步开展规划环境影响评价。完成6宗拟出让矿业权现场联合踏勘、5宗矿业权项目计划申报；办理43宗建设项目压覆重要矿产资源审批。完成新丰岩盐、万博新铝、经开区新材料产业园、恒合旅游度假区等项目配套矿山选址工作。坚持打非治违，切实做好矿产资源监督保护。</w:t>
      </w:r>
    </w:p>
    <w:p>
      <w:pPr>
        <w:pStyle w:val="2"/>
        <w:spacing w:line="600" w:lineRule="exact"/>
        <w:ind w:firstLine="640"/>
        <w:rPr>
          <w:rFonts w:ascii="Times New Roman"/>
          <w:snapToGrid w:val="0"/>
          <w:szCs w:val="32"/>
        </w:rPr>
      </w:pPr>
      <w:r>
        <w:rPr>
          <w:rFonts w:ascii="Times New Roman"/>
          <w:b/>
          <w:bCs/>
          <w:color w:val="000000"/>
          <w:szCs w:val="32"/>
        </w:rPr>
        <w:t>23.地质灾害防治达标率。</w:t>
      </w:r>
      <w:r>
        <w:rPr>
          <w:rFonts w:ascii="Times New Roman"/>
          <w:color w:val="000000"/>
          <w:szCs w:val="32"/>
        </w:rPr>
        <w:t>2021年地质灾</w:t>
      </w:r>
      <w:r>
        <w:rPr>
          <w:rFonts w:ascii="Times New Roman"/>
          <w:snapToGrid w:val="0"/>
          <w:szCs w:val="32"/>
        </w:rPr>
        <w:t>害防治达标率为100%。全年未发生大型及以上地质灾害责任事件；已落实监测措施的地质灾害点未发生人员伤亡；市局下达我区地灾避险搬迁731人及实施中小型地灾治理工程10处均已完成；长岭镇箭楼滑坡等3个治理项目已完工。</w:t>
      </w:r>
    </w:p>
    <w:p>
      <w:pPr>
        <w:pStyle w:val="2"/>
        <w:spacing w:line="600" w:lineRule="exact"/>
        <w:ind w:firstLine="640"/>
        <w:rPr>
          <w:rFonts w:ascii="Times New Roman"/>
          <w:kern w:val="0"/>
          <w:szCs w:val="32"/>
        </w:rPr>
      </w:pPr>
      <w:r>
        <w:rPr>
          <w:rFonts w:ascii="Times New Roman"/>
          <w:b/>
          <w:bCs/>
          <w:color w:val="000000"/>
          <w:szCs w:val="32"/>
        </w:rPr>
        <w:t>24.国土空间规划编制及管理成效。</w:t>
      </w:r>
      <w:r>
        <w:rPr>
          <w:rFonts w:ascii="Times New Roman"/>
          <w:szCs w:val="32"/>
        </w:rPr>
        <w:t>完成《渝东北三峡库区城镇群空间布局研究》《“万达开”川渝统筹发展示范区发展研究》《万开云空间布局优化研究》3个空间协同优化报告、</w:t>
      </w:r>
      <w:r>
        <w:rPr>
          <w:rFonts w:ascii="Times New Roman"/>
          <w:kern w:val="0"/>
          <w:szCs w:val="32"/>
        </w:rPr>
        <w:t>10项重点专题研究报告和多轮“三线”划定报告，按照市规划自然资源局预控指标完成国土空间规划阶段性成果。</w:t>
      </w:r>
    </w:p>
    <w:p>
      <w:pPr>
        <w:spacing w:line="600" w:lineRule="exact"/>
        <w:ind w:firstLine="645"/>
        <w:jc w:val="left"/>
        <w:rPr>
          <w:rFonts w:ascii="Times New Roman" w:hAnsi="Times New Roman" w:eastAsia="方正楷体_GBK" w:cs="Times New Roman"/>
          <w:sz w:val="32"/>
          <w:szCs w:val="32"/>
        </w:rPr>
      </w:pPr>
      <w:r>
        <w:rPr>
          <w:rFonts w:ascii="Times New Roman" w:hAnsi="Times New Roman" w:eastAsia="方正楷体_GBK" w:cs="Times New Roman"/>
          <w:sz w:val="32"/>
          <w:szCs w:val="32"/>
        </w:rPr>
        <w:t>（四）部门（单位）项目绩效重点评价情况。</w:t>
      </w:r>
    </w:p>
    <w:p>
      <w:pPr>
        <w:spacing w:line="600" w:lineRule="exact"/>
        <w:ind w:firstLine="645"/>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无。</w:t>
      </w:r>
    </w:p>
    <w:p>
      <w:pPr>
        <w:spacing w:line="600" w:lineRule="exact"/>
        <w:ind w:firstLine="645"/>
        <w:jc w:val="left"/>
        <w:rPr>
          <w:rFonts w:ascii="Times New Roman" w:hAnsi="Times New Roman" w:eastAsia="方正黑体_GBK" w:cs="Times New Roman"/>
          <w:sz w:val="32"/>
          <w:szCs w:val="32"/>
        </w:rPr>
      </w:pPr>
      <w:r>
        <w:rPr>
          <w:rFonts w:ascii="Times New Roman" w:hAnsi="Times New Roman" w:eastAsia="方正黑体_GBK" w:cs="Times New Roman"/>
          <w:sz w:val="32"/>
          <w:szCs w:val="32"/>
        </w:rPr>
        <w:t>三、绩效中存在问题及改进措施</w:t>
      </w:r>
    </w:p>
    <w:p>
      <w:pPr>
        <w:spacing w:line="600" w:lineRule="exact"/>
        <w:ind w:firstLine="645"/>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行政事业单位的预算绩效管理，是指政府以及相关部门通过制定的绩效指标对各个政府及部门内部的财政支出做出评价。本部门在2021年的预算绩效管理中，围绕部门预算绩效管理，逐步搭建起一系列制度体系，初步形成了涵盖绩效目标管理、整体支出绩效评价、项目支出绩效自评、重点项目绩效评价等环节，覆盖一般公共预算、政府性基金预算等内容的绩效评价管理体系，且管理要求越来越具体、明确，但仍与财政开展预算绩效管理初衷，提高财政资金使用效率，促进财务管理规范化存在一定差距。</w:t>
      </w:r>
    </w:p>
    <w:p>
      <w:pPr>
        <w:spacing w:line="600" w:lineRule="exact"/>
        <w:ind w:firstLine="645"/>
        <w:jc w:val="left"/>
        <w:rPr>
          <w:rFonts w:ascii="Times New Roman" w:hAnsi="Times New Roman" w:eastAsia="方正楷体_GBK" w:cs="Times New Roman"/>
          <w:color w:val="000000"/>
          <w:sz w:val="32"/>
          <w:szCs w:val="32"/>
        </w:rPr>
      </w:pPr>
      <w:r>
        <w:rPr>
          <w:rFonts w:ascii="Times New Roman" w:hAnsi="Times New Roman" w:eastAsia="方正楷体_GBK" w:cs="Times New Roman"/>
          <w:color w:val="000000"/>
          <w:sz w:val="32"/>
          <w:szCs w:val="32"/>
        </w:rPr>
        <w:t>（一）主要问题及原因分析。</w:t>
      </w:r>
    </w:p>
    <w:p>
      <w:pPr>
        <w:spacing w:line="600" w:lineRule="exact"/>
        <w:ind w:firstLine="645"/>
        <w:jc w:val="left"/>
        <w:rPr>
          <w:rFonts w:ascii="Times New Roman" w:hAnsi="Times New Roman" w:eastAsia="方正仿宋_GBK" w:cs="Times New Roman"/>
          <w:b/>
          <w:bCs/>
          <w:sz w:val="32"/>
          <w:szCs w:val="32"/>
        </w:rPr>
      </w:pPr>
      <w:r>
        <w:rPr>
          <w:rFonts w:ascii="Times New Roman" w:hAnsi="Times New Roman" w:eastAsia="方正仿宋_GBK" w:cs="Times New Roman"/>
          <w:sz w:val="32"/>
          <w:szCs w:val="32"/>
        </w:rPr>
        <w:t>1.主要问题：一是预算绩效管理的重要性认识不足，主要体现在业务部门对开展绩效评价积极性不高，财务部门对绩效评价结果运用无从下手，绩效评价成为部门的附加工作，实施效果不佳；二是预算绩效评价的技术能力亟需提升，主要体现在项目绩效指标设置难、量化难、细化难、衔接难、数据搜集难、结果验证难，绩效指标设计的合理性有待提高，评价力量的专业性有待加强；三是预算绩效评价的管理功能有待拓展，按照《意见》要求，“花钱必问效，无效必问责”，预算绩效管理的“最后一公里”还没有完全打通，部门整体绩效评价未与部门职能、资金分配、人事选拔等形成有效联通，绩效评价的管理功能还未真正上线。</w:t>
      </w:r>
    </w:p>
    <w:p>
      <w:pPr>
        <w:spacing w:line="600" w:lineRule="exact"/>
        <w:ind w:firstLine="645"/>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2.原因分析：一是对预算绩效管理的重要性认识不足，存在差异；二是本部门对于预算绩效管理工作的建设仍处于摸索阶段，专业人员有限，工作开展不够深入。</w:t>
      </w:r>
    </w:p>
    <w:p>
      <w:pPr>
        <w:spacing w:line="600" w:lineRule="exact"/>
        <w:ind w:firstLine="645"/>
        <w:jc w:val="left"/>
        <w:rPr>
          <w:rFonts w:ascii="Times New Roman" w:hAnsi="Times New Roman" w:eastAsia="方正楷体_GBK" w:cs="Times New Roman"/>
          <w:sz w:val="32"/>
          <w:szCs w:val="32"/>
        </w:rPr>
      </w:pPr>
      <w:r>
        <w:rPr>
          <w:rFonts w:ascii="Times New Roman" w:hAnsi="Times New Roman" w:eastAsia="方正楷体_GBK" w:cs="Times New Roman"/>
          <w:sz w:val="32"/>
          <w:szCs w:val="32"/>
        </w:rPr>
        <w:t>（二）改进的方向和具体措施。  </w:t>
      </w:r>
    </w:p>
    <w:p>
      <w:pPr>
        <w:spacing w:line="600" w:lineRule="exact"/>
        <w:ind w:firstLine="645"/>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一是提高认识，突出重点。提高对预算绩效管理的认识，充分理解财政绩效评价指标体系，注重绩效目标、评价指标的关联性，依据部门职责和年度工作重点，更加科学合理地确定部门绩效目标和评价目标。</w:t>
      </w:r>
    </w:p>
    <w:p>
      <w:pPr>
        <w:spacing w:line="600" w:lineRule="exact"/>
        <w:ind w:firstLine="645"/>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二是强化管理，规范行为。一要强化部门预算约束，细化预算编制，严格预算执行，合理制定项目方案和计划，减少预算执行中的项目调整和结余，平衡好预算执行进度，提高财政资金使用效率和效益。二要加强预算项目事前、事中、事后管控，做到事前有评估、事中有监控、事后有评价，并且按预期绩效目标完成程度考核项目实施效果。三要强化绩效管理责任制，明确项目实施部门和项目负责人实现预算绩效目标并且收集、保存各项预算绩效目标并且收集、保存各项预算效果资料的主体责任。四是加强项目档案管理，重视绩效信息资料的收集，及时、全面、完整归集项目效果资料，充分反映项目实施绩效。</w:t>
      </w:r>
    </w:p>
    <w:p>
      <w:pPr>
        <w:spacing w:line="600" w:lineRule="exact"/>
        <w:ind w:firstLine="645"/>
        <w:jc w:val="left"/>
        <w:rPr>
          <w:rFonts w:ascii="Times New Roman" w:hAnsi="Times New Roman" w:eastAsia="方正黑体_GBK" w:cs="Times New Roman"/>
          <w:sz w:val="32"/>
          <w:szCs w:val="32"/>
        </w:rPr>
      </w:pPr>
      <w:r>
        <w:rPr>
          <w:rFonts w:ascii="Times New Roman" w:hAnsi="Times New Roman" w:eastAsia="方正黑体_GBK" w:cs="Times New Roman"/>
          <w:sz w:val="32"/>
          <w:szCs w:val="32"/>
        </w:rPr>
        <w:t>四、绩效自评结果拟应用和公开情况</w:t>
      </w:r>
    </w:p>
    <w:p>
      <w:pPr>
        <w:spacing w:line="600" w:lineRule="exact"/>
        <w:ind w:firstLine="645"/>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本绩效评价完成后，评价结果将作为本部门安排2022年预算和改进管理的重要依据。绩效自评结果将向社会公开，接受监督。</w:t>
      </w:r>
    </w:p>
    <w:p>
      <w:pPr>
        <w:spacing w:line="600" w:lineRule="exact"/>
        <w:ind w:firstLine="645"/>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  </w:t>
      </w:r>
    </w:p>
    <w:p>
      <w:pPr>
        <w:spacing w:line="600" w:lineRule="exact"/>
        <w:ind w:firstLine="645"/>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  </w:t>
      </w:r>
    </w:p>
    <w:p>
      <w:pPr>
        <w:spacing w:line="600" w:lineRule="exact"/>
        <w:ind w:firstLine="645"/>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  </w:t>
      </w:r>
    </w:p>
    <w:p>
      <w:pPr>
        <w:spacing w:line="600" w:lineRule="exact"/>
        <w:ind w:firstLine="645"/>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 重庆市万州区规划和自然资源局</w:t>
      </w:r>
    </w:p>
    <w:p>
      <w:pPr>
        <w:spacing w:line="600" w:lineRule="exact"/>
        <w:ind w:firstLine="645"/>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         2022年3月2</w:t>
      </w: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日</w:t>
      </w:r>
    </w:p>
    <w:p>
      <w:pPr>
        <w:spacing w:line="600" w:lineRule="exact"/>
        <w:rPr>
          <w:rFonts w:ascii="Times New Roman" w:hAnsi="Times New Roman" w:eastAsia="方正仿宋_GBK" w:cs="Times New Roman"/>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Helvetica">
    <w:panose1 w:val="020B0504020202030204"/>
    <w:charset w:val="00"/>
    <w:family w:val="swiss"/>
    <w:pitch w:val="default"/>
    <w:sig w:usb0="00000007" w:usb1="00000000" w:usb2="00000000" w:usb3="00000000" w:csb0="00000093"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- 9 -</w:t>
                </w:r>
                <w:r>
                  <w:rPr>
                    <w:rFonts w:hint="eastAsia" w:ascii="宋体" w:hAnsi="宋体" w:eastAsia="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characterSpacingControl w:val="doNotCompress"/>
  <w:hdrShapeDefaults>
    <o:shapelayout v:ext="edit">
      <o:idmap v:ext="edit" data="3"/>
    </o:shapelayout>
  </w:hdrShapeDefaults>
  <w:compat>
    <w:useFELayout/>
    <w:compatSetting w:name="compatibilityMode" w:uri="http://schemas.microsoft.com/office/word" w:val="12"/>
  </w:compat>
  <w:rsids>
    <w:rsidRoot w:val="00872071"/>
    <w:rsid w:val="00000728"/>
    <w:rsid w:val="000043D4"/>
    <w:rsid w:val="000205ED"/>
    <w:rsid w:val="000515FB"/>
    <w:rsid w:val="00053615"/>
    <w:rsid w:val="0009355D"/>
    <w:rsid w:val="000F5A9B"/>
    <w:rsid w:val="001009AC"/>
    <w:rsid w:val="001016F0"/>
    <w:rsid w:val="00120E34"/>
    <w:rsid w:val="00197E61"/>
    <w:rsid w:val="001F1064"/>
    <w:rsid w:val="00233B6E"/>
    <w:rsid w:val="00236A0B"/>
    <w:rsid w:val="002432D8"/>
    <w:rsid w:val="0024563E"/>
    <w:rsid w:val="00252401"/>
    <w:rsid w:val="002D2AEF"/>
    <w:rsid w:val="0031339E"/>
    <w:rsid w:val="003265FE"/>
    <w:rsid w:val="003930FD"/>
    <w:rsid w:val="004915DA"/>
    <w:rsid w:val="004D7F7A"/>
    <w:rsid w:val="005457D0"/>
    <w:rsid w:val="0058448D"/>
    <w:rsid w:val="006034D9"/>
    <w:rsid w:val="0063711C"/>
    <w:rsid w:val="00641EDB"/>
    <w:rsid w:val="00667E38"/>
    <w:rsid w:val="00680325"/>
    <w:rsid w:val="00685583"/>
    <w:rsid w:val="006A493E"/>
    <w:rsid w:val="006D5D07"/>
    <w:rsid w:val="007433FB"/>
    <w:rsid w:val="007534EE"/>
    <w:rsid w:val="00872071"/>
    <w:rsid w:val="009507C6"/>
    <w:rsid w:val="0095339C"/>
    <w:rsid w:val="009C6367"/>
    <w:rsid w:val="009D37A4"/>
    <w:rsid w:val="00A33647"/>
    <w:rsid w:val="00A538FA"/>
    <w:rsid w:val="00A97247"/>
    <w:rsid w:val="00B003F2"/>
    <w:rsid w:val="00B507DE"/>
    <w:rsid w:val="00B93432"/>
    <w:rsid w:val="00C7676D"/>
    <w:rsid w:val="00C8133F"/>
    <w:rsid w:val="00CA5516"/>
    <w:rsid w:val="00CE28AF"/>
    <w:rsid w:val="00CF54EB"/>
    <w:rsid w:val="00D65826"/>
    <w:rsid w:val="00DA4A74"/>
    <w:rsid w:val="00DE0C74"/>
    <w:rsid w:val="00DF36CF"/>
    <w:rsid w:val="00E17D15"/>
    <w:rsid w:val="00E37D8C"/>
    <w:rsid w:val="00F43B4B"/>
    <w:rsid w:val="00FE570C"/>
    <w:rsid w:val="2C8937B7"/>
    <w:rsid w:val="45244B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3"/>
    <w:qFormat/>
    <w:uiPriority w:val="0"/>
    <w:pPr>
      <w:spacing w:line="590" w:lineRule="exact"/>
    </w:pPr>
    <w:rPr>
      <w:rFonts w:ascii="方正仿宋_GBK" w:hAnsi="Times New Roman" w:eastAsia="方正仿宋_GBK" w:cs="Times New Roman"/>
      <w:sz w:val="32"/>
      <w:szCs w:val="24"/>
    </w:rPr>
  </w:style>
  <w:style w:type="paragraph" w:customStyle="1" w:styleId="3">
    <w:name w:val="默认"/>
    <w:qFormat/>
    <w:uiPriority w:val="0"/>
    <w:rPr>
      <w:rFonts w:ascii="Helvetica" w:hAnsi="Helvetica" w:eastAsia="宋体" w:cs="Helvetica"/>
      <w:color w:val="000000"/>
      <w:sz w:val="22"/>
      <w:szCs w:val="22"/>
      <w:lang w:val="en-US" w:eastAsia="zh-CN" w:bidi="ar-SA"/>
    </w:rPr>
  </w:style>
  <w:style w:type="paragraph" w:styleId="4">
    <w:name w:val="Body Text Indent"/>
    <w:basedOn w:val="1"/>
    <w:link w:val="14"/>
    <w:unhideWhenUsed/>
    <w:qFormat/>
    <w:uiPriority w:val="99"/>
    <w:pPr>
      <w:ind w:firstLine="720" w:firstLineChars="225"/>
    </w:pPr>
    <w:rPr>
      <w:rFonts w:ascii="仿宋_GB2312" w:hAnsi="Times New Roman" w:eastAsia="仿宋_GB2312" w:cs="Times New Roman"/>
      <w:sz w:val="32"/>
      <w:szCs w:val="24"/>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customStyle="1" w:styleId="11">
    <w:name w:val="页眉 Char"/>
    <w:basedOn w:val="9"/>
    <w:link w:val="6"/>
    <w:qFormat/>
    <w:uiPriority w:val="99"/>
    <w:rPr>
      <w:sz w:val="18"/>
      <w:szCs w:val="18"/>
    </w:rPr>
  </w:style>
  <w:style w:type="character" w:customStyle="1" w:styleId="12">
    <w:name w:val="页脚 Char"/>
    <w:basedOn w:val="9"/>
    <w:link w:val="5"/>
    <w:qFormat/>
    <w:uiPriority w:val="99"/>
    <w:rPr>
      <w:sz w:val="18"/>
      <w:szCs w:val="18"/>
    </w:rPr>
  </w:style>
  <w:style w:type="character" w:customStyle="1" w:styleId="13">
    <w:name w:val="正文文本 Char"/>
    <w:basedOn w:val="9"/>
    <w:link w:val="2"/>
    <w:qFormat/>
    <w:uiPriority w:val="0"/>
    <w:rPr>
      <w:rFonts w:ascii="方正仿宋_GBK" w:hAnsi="Times New Roman" w:eastAsia="方正仿宋_GBK" w:cs="Times New Roman"/>
      <w:sz w:val="32"/>
      <w:szCs w:val="24"/>
    </w:rPr>
  </w:style>
  <w:style w:type="character" w:customStyle="1" w:styleId="14">
    <w:name w:val="正文文本缩进 Char"/>
    <w:basedOn w:val="9"/>
    <w:link w:val="4"/>
    <w:qFormat/>
    <w:uiPriority w:val="99"/>
    <w:rPr>
      <w:rFonts w:ascii="仿宋_GB2312" w:hAnsi="Times New Roman" w:eastAsia="仿宋_GB2312" w:cs="Times New Roman"/>
      <w:sz w:val="32"/>
      <w:szCs w:val="24"/>
    </w:rPr>
  </w:style>
  <w:style w:type="character" w:customStyle="1" w:styleId="15">
    <w:name w:val="04二级 Char"/>
    <w:basedOn w:val="16"/>
    <w:link w:val="18"/>
    <w:qFormat/>
    <w:locked/>
    <w:uiPriority w:val="0"/>
    <w:rPr>
      <w:rFonts w:ascii="方正楷体_GBK" w:eastAsia="方正楷体_GBK"/>
    </w:rPr>
  </w:style>
  <w:style w:type="character" w:customStyle="1" w:styleId="16">
    <w:name w:val="02正文 Char"/>
    <w:basedOn w:val="9"/>
    <w:link w:val="17"/>
    <w:qFormat/>
    <w:locked/>
    <w:uiPriority w:val="0"/>
    <w:rPr>
      <w:rFonts w:ascii="方正仿宋_GBK" w:eastAsia="方正仿宋_GBK"/>
      <w:sz w:val="32"/>
      <w:szCs w:val="32"/>
    </w:rPr>
  </w:style>
  <w:style w:type="paragraph" w:customStyle="1" w:styleId="17">
    <w:name w:val="02正文"/>
    <w:basedOn w:val="1"/>
    <w:link w:val="16"/>
    <w:qFormat/>
    <w:uiPriority w:val="0"/>
    <w:pPr>
      <w:spacing w:line="600" w:lineRule="exact"/>
      <w:ind w:firstLine="200" w:firstLineChars="200"/>
    </w:pPr>
    <w:rPr>
      <w:rFonts w:ascii="方正仿宋_GBK" w:eastAsia="方正仿宋_GBK"/>
      <w:sz w:val="32"/>
      <w:szCs w:val="32"/>
    </w:rPr>
  </w:style>
  <w:style w:type="paragraph" w:customStyle="1" w:styleId="18">
    <w:name w:val="04二级"/>
    <w:basedOn w:val="17"/>
    <w:next w:val="17"/>
    <w:link w:val="15"/>
    <w:qFormat/>
    <w:uiPriority w:val="0"/>
    <w:rPr>
      <w:rFonts w:ascii="方正楷体_GBK" w:eastAsia="方正楷体_GBK"/>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1715</Words>
  <Characters>9778</Characters>
  <Lines>81</Lines>
  <Paragraphs>22</Paragraphs>
  <TotalTime>11</TotalTime>
  <ScaleCrop>false</ScaleCrop>
  <LinksUpToDate>false</LinksUpToDate>
  <CharactersWithSpaces>11471</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2022-03-24T06:37:00Z</dcterms:created>
  <dc:creator>THINKSERVER</dc:creator>
  <cp:lastModifiedBy>Administrator</cp:lastModifiedBy>
  <dcterms:modified xsi:type="dcterms:W3CDTF">2023-08-04T02:38:50Z</dcterms:modified>
  <dc:title>重庆市万州区规划和自然资源局</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5C4A22C837754234A5700CABEB010B32</vt:lpwstr>
  </property>
</Properties>
</file>