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</w:rPr>
      </w:pPr>
      <w:r>
        <w:rPr>
          <w:rFonts w:hint="default" w:ascii="Times New Roman" w:hAnsi="Times New Roman" w:eastAsia="方正小标宋_GBK" w:cs="Times New Roman"/>
          <w:b w:val="0"/>
          <w:bCs w:val="0"/>
        </w:rPr>
        <w:t>重庆市万州区地质灾害防治办公室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</w:rPr>
      </w:pPr>
      <w:r>
        <w:rPr>
          <w:rFonts w:hint="default" w:ascii="Times New Roman" w:hAnsi="Times New Roman" w:eastAsia="方正小标宋_GBK" w:cs="Times New Roman"/>
          <w:b w:val="0"/>
          <w:bCs w:val="0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lang w:val="en-US" w:eastAsia="zh-CN"/>
        </w:rPr>
        <w:t>做好</w:t>
      </w:r>
      <w:r>
        <w:rPr>
          <w:rFonts w:hint="default" w:ascii="Times New Roman" w:hAnsi="Times New Roman" w:eastAsia="方正小标宋_GBK" w:cs="Times New Roman"/>
          <w:b w:val="0"/>
          <w:bCs w:val="0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</w:rPr>
        <w:t>年地质灾害</w:t>
      </w:r>
      <w:r>
        <w:rPr>
          <w:rFonts w:hint="default" w:ascii="Times New Roman" w:hAnsi="Times New Roman" w:eastAsia="方正小标宋_GBK" w:cs="Times New Roman"/>
          <w:b w:val="0"/>
          <w:bCs w:val="0"/>
          <w:lang w:val="en-US" w:eastAsia="zh-CN"/>
        </w:rPr>
        <w:t>汛后核查</w:t>
      </w:r>
      <w:r>
        <w:rPr>
          <w:rFonts w:hint="default" w:ascii="Times New Roman" w:hAnsi="Times New Roman" w:eastAsia="方正小标宋_GBK" w:cs="Times New Roman"/>
          <w:b w:val="0"/>
          <w:bCs w:val="0"/>
        </w:rPr>
        <w:t>的通知</w:t>
      </w:r>
    </w:p>
    <w:p>
      <w:pPr>
        <w:jc w:val="center"/>
        <w:rPr>
          <w:rFonts w:hint="default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万州地防办发〔2023〕5号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各镇乡（民族乡）人民政府、街道办事处，区级有关部门：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2023年汛期于10月20日24时结束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我区今年经历“7.4”、“7.13”、“9.20”等多轮强降雨过程，地质环境愈发脆弱，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汛后地质灾害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核查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异常重要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根据区委、区政府工作部署和市级有关部门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工作安排，区地质灾害防治办公室决定组织开展地质灾害汛后核查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有关事宜通知如下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199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核查时间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本次汛后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核查时间为即日起至11月28日。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核查工作由各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乡镇街道、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区级有关部门组织自查，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区地灾防治办公室组织工作组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二、核查重点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各镇乡（民族乡）人民政府、街道办事处，区级有关部门主要领导要统一布置，分管领导要督促检查，相关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要坚决克服麻痹松懈思想，切实将地质灾害汛后核查工作落到实处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一是重点核查危岩地灾隐患。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危岩地灾隐患是汛后核查工作的重中之重，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各镇乡街道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务必精心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会同驻守地质工程师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全面细致核查危岩基本情况、影响对象、监测设备运行状况、已采取措施等。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二是重点核查重大灾险情后续处置情况。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是否实施了防治措施、是否仍存在安全隐患、是否存在变形进一步加剧、是否存在威胁对象等情况，如走马镇駟水河铁路大桥滑坡等。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三是重点核查群测群防隐患点。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核实隐患点规模、影响范围、威胁对象、预警信号、撤离路线、避灾场地和监测预警设备运行情况，并分析隐患点发展变形趋势。核查“四重”网格人员到岗到位、日常巡查工作情况，单点防灾预案和防治措施建议的科学性、合理性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四是重点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核查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辖区隐患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变化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新增隐患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，要立即落实地质灾害防治“四重”网格员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编制单点防灾预案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并报区地质环境监测站复核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工程治理、搬迁避让等防治措施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已排除风险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或经工程勘查认为地质灾害已经处于稳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定的，要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报区规划自然资源局及区地质环境监测站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按照销号技术要求和程序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重庆市万州区地质灾害防治办公室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3" w:rightChars="611" w:firstLine="3680" w:firstLineChars="115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</w:rPr>
        <w:t>（此件公开发布）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E2CF1"/>
    <w:multiLevelType w:val="singleLevel"/>
    <w:tmpl w:val="F28E2C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22E9"/>
    <w:rsid w:val="22973FE7"/>
    <w:rsid w:val="3BFA22E9"/>
    <w:rsid w:val="4C354E46"/>
    <w:rsid w:val="7D9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0" w:after="0" w:line="600" w:lineRule="exact"/>
      <w:ind w:firstLine="290" w:firstLineChars="200"/>
      <w:outlineLvl w:val="1"/>
    </w:pPr>
    <w:rPr>
      <w:rFonts w:ascii="Times New Roman" w:hAnsi="Times New Roman" w:eastAsia="方正黑体_GBK" w:cstheme="majorBidi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2023-11-08T07:36:00Z</dcterms:created>
  <dc:creator>Administrator</dc:creator>
  <cp:lastModifiedBy>Administrator</cp:lastModifiedBy>
  <dcterms:modified xsi:type="dcterms:W3CDTF">2024-07-10T03:38:53Z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8967C67BEA5646168536EC3BC46E1F3F</vt:lpwstr>
  </property>
</Properties>
</file>