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snapToGrid w:val="0"/>
        <w:jc w:val="center"/>
        <w:rPr>
          <w:rFonts w:ascii="方正仿宋_GBK" w:hAnsi="宋体" w:eastAsia="方正仿宋_GBK"/>
          <w:bCs/>
          <w:szCs w:val="32"/>
        </w:rPr>
      </w:pPr>
    </w:p>
    <w:p>
      <w:pPr>
        <w:pStyle w:val="2"/>
        <w:snapToGrid w:val="0"/>
        <w:jc w:val="center"/>
        <w:rPr>
          <w:rFonts w:ascii="方正仿宋_GBK" w:hAnsi="宋体" w:eastAsia="方正仿宋_GBK"/>
          <w:bCs/>
          <w:szCs w:val="32"/>
        </w:rPr>
      </w:pPr>
    </w:p>
    <w:p>
      <w:pPr>
        <w:pStyle w:val="2"/>
        <w:snapToGrid w:val="0"/>
        <w:rPr>
          <w:rFonts w:ascii="方正仿宋_GBK" w:hAnsi="宋体" w:eastAsia="方正仿宋_GBK"/>
          <w:bCs/>
          <w:szCs w:val="32"/>
        </w:rPr>
      </w:pPr>
    </w:p>
    <w:p>
      <w:pPr>
        <w:pStyle w:val="2"/>
        <w:snapToGrid w:val="0"/>
        <w:spacing w:line="560" w:lineRule="atLeast"/>
        <w:ind w:right="-336" w:rightChars="-160"/>
        <w:jc w:val="center"/>
        <w:rPr>
          <w:rFonts w:hint="eastAsia" w:ascii="方正仿宋_GBK" w:eastAsia="方正仿宋_GBK"/>
          <w:color w:val="000000"/>
          <w:kern w:val="2"/>
          <w:szCs w:val="32"/>
        </w:rPr>
      </w:pPr>
      <w:r>
        <w:rPr>
          <w:rFonts w:hint="eastAsia" w:ascii="方正仿宋_GBK" w:eastAsia="方正仿宋_GBK"/>
          <w:kern w:val="2"/>
          <w:szCs w:val="32"/>
        </w:rPr>
        <w:t>渝（万）环准〔202</w:t>
      </w:r>
      <w:r>
        <w:rPr>
          <w:rFonts w:hint="eastAsia" w:ascii="方正仿宋_GBK" w:eastAsia="方正仿宋_GBK"/>
          <w:kern w:val="2"/>
          <w:szCs w:val="32"/>
          <w:lang w:val="en-US" w:eastAsia="zh-CN"/>
        </w:rPr>
        <w:t>4</w:t>
      </w:r>
      <w:r>
        <w:rPr>
          <w:rFonts w:hint="eastAsia" w:ascii="方正仿宋_GBK" w:eastAsia="方正仿宋_GBK"/>
          <w:color w:val="000000"/>
          <w:kern w:val="2"/>
          <w:szCs w:val="32"/>
        </w:rPr>
        <w:t>〕</w:t>
      </w:r>
      <w:r>
        <w:rPr>
          <w:rFonts w:hint="eastAsia" w:ascii="方正仿宋_GBK" w:eastAsia="方正仿宋_GBK"/>
          <w:color w:val="000000"/>
          <w:kern w:val="2"/>
          <w:szCs w:val="32"/>
          <w:lang w:val="en-US" w:eastAsia="zh-CN"/>
        </w:rPr>
        <w:t>2</w:t>
      </w:r>
      <w:r>
        <w:rPr>
          <w:rFonts w:hint="eastAsia" w:ascii="方正仿宋_GBK" w:eastAsia="方正仿宋_GBK"/>
          <w:color w:val="000000"/>
          <w:kern w:val="2"/>
          <w:szCs w:val="32"/>
        </w:rPr>
        <w:t>号</w:t>
      </w:r>
    </w:p>
    <w:p>
      <w:pPr>
        <w:pStyle w:val="2"/>
        <w:snapToGrid w:val="0"/>
        <w:spacing w:line="560" w:lineRule="atLeast"/>
        <w:ind w:right="-336" w:rightChars="-160"/>
        <w:jc w:val="center"/>
        <w:rPr>
          <w:rFonts w:hint="eastAsia" w:ascii="方正仿宋_GBK" w:eastAsia="方正仿宋_GBK"/>
          <w:color w:val="000000"/>
          <w:kern w:val="2"/>
          <w:szCs w:val="32"/>
        </w:rPr>
      </w:pPr>
    </w:p>
    <w:p>
      <w:pPr>
        <w:pStyle w:val="2"/>
        <w:keepNext w:val="0"/>
        <w:keepLines w:val="0"/>
        <w:pageBreakBefore w:val="0"/>
        <w:kinsoku/>
        <w:wordWrap/>
        <w:overflowPunct/>
        <w:topLinePunct w:val="0"/>
        <w:autoSpaceDE/>
        <w:autoSpaceDN/>
        <w:bidi w:val="0"/>
        <w:adjustRightInd w:val="0"/>
        <w:snapToGrid w:val="0"/>
        <w:spacing w:line="480" w:lineRule="exact"/>
        <w:jc w:val="both"/>
        <w:textAlignment w:val="auto"/>
        <w:rPr>
          <w:rFonts w:ascii="方正仿宋_GBK" w:hAnsi="仿宋" w:eastAsia="方正仿宋_GBK"/>
          <w:kern w:val="2"/>
          <w:szCs w:val="32"/>
        </w:rPr>
      </w:pPr>
      <w:r>
        <w:rPr>
          <w:rFonts w:hint="eastAsia" w:ascii="方正仿宋_GBK" w:hAnsi="仿宋" w:eastAsia="方正仿宋_GBK"/>
          <w:kern w:val="2"/>
          <w:szCs w:val="32"/>
          <w:lang w:val="en-US" w:eastAsia="zh-CN"/>
        </w:rPr>
        <w:t>重庆市万州路桥建设有限公司</w:t>
      </w:r>
      <w:r>
        <w:rPr>
          <w:rFonts w:hint="eastAsia" w:ascii="方正仿宋_GBK" w:hAnsi="仿宋" w:eastAsia="方正仿宋_GBK"/>
          <w:kern w:val="2"/>
          <w:szCs w:val="32"/>
        </w:rPr>
        <w:t>：</w:t>
      </w:r>
    </w:p>
    <w:p>
      <w:pPr>
        <w:pStyle w:val="2"/>
        <w:keepNext w:val="0"/>
        <w:keepLines w:val="0"/>
        <w:pageBreakBefore w:val="0"/>
        <w:kinsoku/>
        <w:wordWrap/>
        <w:overflowPunct/>
        <w:topLinePunct w:val="0"/>
        <w:autoSpaceDE/>
        <w:autoSpaceDN/>
        <w:bidi w:val="0"/>
        <w:snapToGrid w:val="0"/>
        <w:spacing w:line="480" w:lineRule="exact"/>
        <w:ind w:firstLine="640" w:firstLineChars="200"/>
        <w:jc w:val="both"/>
        <w:textAlignment w:val="auto"/>
        <w:rPr>
          <w:rFonts w:ascii="方正仿宋_GBK" w:hAnsi="仿宋" w:eastAsia="方正仿宋_GBK"/>
          <w:kern w:val="2"/>
          <w:szCs w:val="32"/>
        </w:rPr>
      </w:pPr>
      <w:r>
        <w:rPr>
          <w:rFonts w:hint="eastAsia" w:ascii="方正仿宋_GBK" w:hAnsi="仿宋" w:eastAsia="方正仿宋_GBK"/>
          <w:kern w:val="2"/>
          <w:szCs w:val="32"/>
        </w:rPr>
        <w:t>你单位报送的</w:t>
      </w:r>
      <w:r>
        <w:rPr>
          <w:rFonts w:hint="eastAsia" w:ascii="方正仿宋_GBK" w:hAnsi="仿宋" w:eastAsia="方正仿宋_GBK"/>
          <w:kern w:val="2"/>
          <w:szCs w:val="32"/>
          <w:lang w:val="en-US" w:eastAsia="zh-CN"/>
        </w:rPr>
        <w:t>长岭沥青混凝土及水泥稳定碎石搅拌站建设项目</w:t>
      </w:r>
      <w:r>
        <w:rPr>
          <w:rFonts w:hint="eastAsia" w:ascii="方正仿宋_GBK" w:hAnsi="仿宋" w:eastAsia="方正仿宋_GBK"/>
          <w:kern w:val="2"/>
          <w:szCs w:val="32"/>
        </w:rPr>
        <w:t>（项目代码：</w:t>
      </w:r>
      <w:r>
        <w:rPr>
          <w:rFonts w:hint="eastAsia" w:ascii="方正仿宋_GBK" w:hAnsi="仿宋" w:eastAsia="方正仿宋_GBK"/>
          <w:kern w:val="2"/>
          <w:szCs w:val="32"/>
          <w:lang w:eastAsia="zh-CN"/>
        </w:rPr>
        <w:t>2310-500101-04-01-530032</w:t>
      </w:r>
      <w:r>
        <w:rPr>
          <w:rFonts w:hint="eastAsia" w:ascii="方正仿宋_GBK" w:hAnsi="仿宋" w:eastAsia="方正仿宋_GBK"/>
          <w:kern w:val="2"/>
          <w:szCs w:val="32"/>
        </w:rPr>
        <w:t>）环境影响评价文件审批申请表及相关材料收悉。经研究，现审批如下。</w:t>
      </w:r>
    </w:p>
    <w:p>
      <w:pPr>
        <w:keepNext w:val="0"/>
        <w:keepLines w:val="0"/>
        <w:pageBreakBefore w:val="0"/>
        <w:widowControl/>
        <w:kinsoku/>
        <w:wordWrap/>
        <w:overflowPunct/>
        <w:topLinePunct w:val="0"/>
        <w:autoSpaceDE/>
        <w:autoSpaceDN/>
        <w:bidi w:val="0"/>
        <w:snapToGrid w:val="0"/>
        <w:spacing w:line="480" w:lineRule="exact"/>
        <w:ind w:firstLine="640" w:firstLineChars="200"/>
        <w:textAlignment w:val="auto"/>
        <w:rPr>
          <w:rFonts w:ascii="方正仿宋_GBK" w:hAnsi="仿宋" w:eastAsia="方正仿宋_GBK"/>
          <w:sz w:val="32"/>
          <w:szCs w:val="32"/>
        </w:rPr>
      </w:pPr>
      <w:r>
        <w:rPr>
          <w:rFonts w:hint="eastAsia" w:ascii="方正仿宋_GBK" w:eastAsia="方正仿宋_GBK"/>
          <w:sz w:val="32"/>
          <w:szCs w:val="32"/>
        </w:rPr>
        <w:t>一</w:t>
      </w:r>
      <w:r>
        <w:rPr>
          <w:rFonts w:hint="eastAsia" w:ascii="方正仿宋_GBK" w:hAnsi="仿宋" w:eastAsia="方正仿宋_GBK"/>
          <w:sz w:val="32"/>
          <w:szCs w:val="32"/>
        </w:rPr>
        <w:t>、根据《中华人民共和国环境影响评价法》等法律法规规定，我局原则同意</w:t>
      </w:r>
      <w:r>
        <w:rPr>
          <w:rFonts w:hint="eastAsia" w:ascii="方正仿宋_GBK" w:hAnsi="仿宋" w:eastAsia="方正仿宋_GBK"/>
          <w:sz w:val="32"/>
          <w:szCs w:val="32"/>
          <w:lang w:val="en-US" w:eastAsia="zh-CN"/>
        </w:rPr>
        <w:t>重庆长嵘环保科技有限公司</w:t>
      </w:r>
      <w:r>
        <w:rPr>
          <w:rFonts w:hint="eastAsia" w:ascii="方正仿宋_GBK" w:hAnsi="仿宋" w:eastAsia="方正仿宋_GBK"/>
          <w:sz w:val="32"/>
          <w:szCs w:val="32"/>
        </w:rPr>
        <w:t>编制的《</w:t>
      </w:r>
      <w:r>
        <w:rPr>
          <w:rFonts w:hint="eastAsia" w:ascii="方正仿宋_GBK" w:hAnsi="仿宋" w:eastAsia="方正仿宋_GBK"/>
          <w:sz w:val="32"/>
          <w:szCs w:val="32"/>
          <w:lang w:val="en-US" w:eastAsia="zh-CN"/>
        </w:rPr>
        <w:t>长岭沥青混凝土及水泥稳定碎石搅拌站建设项目</w:t>
      </w:r>
      <w:r>
        <w:rPr>
          <w:rFonts w:hint="eastAsia" w:ascii="方正仿宋_GBK" w:hAnsi="仿宋" w:eastAsia="方正仿宋_GBK"/>
          <w:sz w:val="32"/>
          <w:szCs w:val="32"/>
        </w:rPr>
        <w:t>环境影响报告</w:t>
      </w:r>
      <w:r>
        <w:rPr>
          <w:rFonts w:hint="eastAsia" w:ascii="方正仿宋_GBK" w:hAnsi="仿宋" w:eastAsia="方正仿宋_GBK"/>
          <w:sz w:val="32"/>
          <w:szCs w:val="32"/>
          <w:lang w:eastAsia="zh-CN"/>
        </w:rPr>
        <w:t>表</w:t>
      </w:r>
      <w:r>
        <w:rPr>
          <w:rFonts w:hint="eastAsia" w:ascii="方正仿宋_GBK" w:hAnsi="仿宋" w:eastAsia="方正仿宋_GBK"/>
          <w:sz w:val="32"/>
          <w:szCs w:val="32"/>
        </w:rPr>
        <w:t>》结论和提出的生态环境保护措施。</w:t>
      </w:r>
    </w:p>
    <w:p>
      <w:pPr>
        <w:keepNext w:val="0"/>
        <w:keepLines w:val="0"/>
        <w:pageBreakBefore w:val="0"/>
        <w:widowControl/>
        <w:kinsoku/>
        <w:wordWrap/>
        <w:overflowPunct/>
        <w:topLinePunct w:val="0"/>
        <w:autoSpaceDE/>
        <w:autoSpaceDN/>
        <w:bidi w:val="0"/>
        <w:snapToGrid w:val="0"/>
        <w:spacing w:line="480" w:lineRule="exact"/>
        <w:ind w:firstLine="640" w:firstLineChars="200"/>
        <w:textAlignment w:val="auto"/>
        <w:rPr>
          <w:rFonts w:ascii="方正仿宋_GBK" w:hAnsi="仿宋" w:eastAsia="方正仿宋_GBK"/>
          <w:sz w:val="32"/>
          <w:szCs w:val="32"/>
        </w:rPr>
      </w:pPr>
      <w:r>
        <w:rPr>
          <w:rFonts w:hint="eastAsia" w:ascii="方正仿宋_GBK" w:eastAsia="方正仿宋_GBK"/>
          <w:sz w:val="32"/>
          <w:szCs w:val="32"/>
        </w:rPr>
        <w:t>二、项目</w:t>
      </w:r>
      <w:r>
        <w:rPr>
          <w:rFonts w:hint="eastAsia" w:ascii="方正仿宋_GBK" w:hAnsi="仿宋" w:eastAsia="方正仿宋_GBK"/>
          <w:sz w:val="32"/>
          <w:szCs w:val="32"/>
        </w:rPr>
        <w:t>主要建设内容为：</w:t>
      </w:r>
      <w:r>
        <w:rPr>
          <w:rFonts w:hint="eastAsia" w:ascii="方正仿宋_GBK" w:hAnsi="仿宋" w:eastAsia="方正仿宋_GBK"/>
          <w:sz w:val="32"/>
          <w:szCs w:val="32"/>
          <w:lang w:eastAsia="zh-CN"/>
        </w:rPr>
        <w:t>该项目</w:t>
      </w:r>
      <w:r>
        <w:rPr>
          <w:rFonts w:hint="eastAsia" w:ascii="方正仿宋_GBK" w:hAnsi="仿宋" w:eastAsia="方正仿宋_GBK"/>
          <w:sz w:val="32"/>
          <w:szCs w:val="32"/>
          <w:lang w:val="en-US" w:eastAsia="zh-CN"/>
        </w:rPr>
        <w:t>租用重庆万利万达高速公路有限公司</w:t>
      </w:r>
      <w:r>
        <w:rPr>
          <w:rFonts w:hint="eastAsia" w:ascii="方正仿宋_GBK" w:hAnsi="仿宋" w:eastAsia="方正仿宋_GBK"/>
          <w:sz w:val="32"/>
          <w:szCs w:val="32"/>
        </w:rPr>
        <w:t>位于</w:t>
      </w:r>
      <w:r>
        <w:rPr>
          <w:rFonts w:hint="eastAsia" w:ascii="方正仿宋_GBK" w:hAnsi="仿宋" w:eastAsia="方正仿宋_GBK"/>
          <w:sz w:val="32"/>
          <w:szCs w:val="32"/>
          <w:lang w:val="en-US" w:eastAsia="zh-CN"/>
        </w:rPr>
        <w:t>万州区长岭镇老土村长岭服务区地块进行建设，是为当地道路养护工程配套建设的临时工程项目，设计运营时间为3年，服务期满自行拆除关闭。项目占地面积约6667平方米，主要建设1座LB-1500型沥青混凝土搅拌站以及1座400型水泥稳定碎石搅拌站，同时配套建设导热油炉、沥青罐、柴油罐等，建成后年产沥青混凝土40000吨、水泥稳定碎石30000吨。总投资300万元，环保投资60万元。</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lang w:eastAsia="zh-CN"/>
        </w:rPr>
        <w:t>三</w:t>
      </w:r>
      <w:r>
        <w:rPr>
          <w:rFonts w:hint="eastAsia" w:ascii="方正仿宋_GBK" w:eastAsia="方正仿宋_GBK"/>
          <w:sz w:val="32"/>
          <w:szCs w:val="32"/>
        </w:rPr>
        <w:t>、项目建设与运营管理中，</w:t>
      </w:r>
      <w:r>
        <w:rPr>
          <w:rFonts w:hint="eastAsia" w:ascii="方正仿宋_GBK" w:eastAsia="方正仿宋_GBK"/>
          <w:sz w:val="32"/>
          <w:szCs w:val="32"/>
          <w:lang w:eastAsia="zh-CN"/>
        </w:rPr>
        <w:t>应</w:t>
      </w:r>
      <w:r>
        <w:rPr>
          <w:rFonts w:hint="eastAsia" w:ascii="方正仿宋_GBK" w:eastAsia="方正仿宋_GBK"/>
          <w:sz w:val="32"/>
          <w:szCs w:val="32"/>
        </w:rPr>
        <w:t>认真落实《环境影响报告</w:t>
      </w:r>
      <w:r>
        <w:rPr>
          <w:rFonts w:hint="eastAsia" w:ascii="方正仿宋_GBK" w:eastAsia="方正仿宋_GBK"/>
          <w:sz w:val="32"/>
          <w:szCs w:val="32"/>
          <w:lang w:eastAsia="zh-CN"/>
        </w:rPr>
        <w:t>表</w:t>
      </w:r>
      <w:r>
        <w:rPr>
          <w:rFonts w:hint="eastAsia" w:ascii="方正仿宋_GBK" w:eastAsia="方正仿宋_GBK"/>
          <w:sz w:val="32"/>
          <w:szCs w:val="32"/>
        </w:rPr>
        <w:t>》提出的各项污染防治及生态保护措施，实施清洁生产，减少污染物产生和排放，重点应做好以下工作：</w:t>
      </w:r>
    </w:p>
    <w:p>
      <w:pPr>
        <w:pStyle w:val="8"/>
        <w:keepNext w:val="0"/>
        <w:keepLines w:val="0"/>
        <w:pageBreakBefore w:val="0"/>
        <w:kinsoku/>
        <w:wordWrap/>
        <w:overflowPunct/>
        <w:topLinePunct w:val="0"/>
        <w:autoSpaceDE/>
        <w:autoSpaceDN/>
        <w:bidi w:val="0"/>
        <w:spacing w:line="480" w:lineRule="exact"/>
        <w:ind w:firstLine="640" w:firstLineChars="200"/>
        <w:textAlignment w:val="auto"/>
        <w:rPr>
          <w:rFonts w:hint="eastAsia" w:ascii="方正仿宋_GBK" w:eastAsia="方正仿宋_GBK" w:cs="宋体"/>
          <w:bCs/>
          <w:sz w:val="32"/>
          <w:szCs w:val="32"/>
          <w:lang w:val="en-US" w:eastAsia="zh-CN"/>
        </w:rPr>
      </w:pPr>
      <w:r>
        <w:rPr>
          <w:rFonts w:hint="eastAsia" w:ascii="方正仿宋_GBK" w:eastAsia="方正仿宋_GBK"/>
          <w:sz w:val="32"/>
          <w:szCs w:val="32"/>
        </w:rPr>
        <w:t>（</w:t>
      </w:r>
      <w:r>
        <w:rPr>
          <w:rFonts w:hint="eastAsia" w:ascii="方正仿宋_GBK" w:eastAsia="方正仿宋_GBK"/>
          <w:sz w:val="32"/>
          <w:szCs w:val="32"/>
          <w:lang w:eastAsia="zh-CN"/>
        </w:rPr>
        <w:t>一</w:t>
      </w:r>
      <w:r>
        <w:rPr>
          <w:rFonts w:hint="eastAsia" w:ascii="方正仿宋_GBK" w:eastAsia="方正仿宋_GBK"/>
          <w:sz w:val="32"/>
          <w:szCs w:val="32"/>
        </w:rPr>
        <w:t>）落实废水</w:t>
      </w:r>
      <w:r>
        <w:rPr>
          <w:rFonts w:hint="eastAsia" w:ascii="方正仿宋_GBK" w:eastAsia="方正仿宋_GBK" w:cs="宋体"/>
          <w:bCs/>
          <w:sz w:val="32"/>
          <w:szCs w:val="32"/>
        </w:rPr>
        <w:t>处理措施。</w:t>
      </w:r>
      <w:r>
        <w:rPr>
          <w:rFonts w:hint="eastAsia" w:ascii="方正仿宋_GBK" w:eastAsia="方正仿宋_GBK" w:cs="宋体"/>
          <w:bCs/>
          <w:sz w:val="32"/>
          <w:szCs w:val="32"/>
          <w:lang w:val="en-US" w:eastAsia="zh-CN"/>
        </w:rPr>
        <w:t>生活污水经化粪池（2m³/d）收集后用作农肥不外排；地坪清洁废水、初期雨水、水泥稳定碎石搅拌罐清洗废水经沉淀池（容积100m³）收集沉淀后回用，不外排。</w:t>
      </w:r>
    </w:p>
    <w:p>
      <w:pPr>
        <w:pStyle w:val="8"/>
        <w:keepNext w:val="0"/>
        <w:keepLines w:val="0"/>
        <w:pageBreakBefore w:val="0"/>
        <w:kinsoku/>
        <w:wordWrap/>
        <w:overflowPunct/>
        <w:topLinePunct w:val="0"/>
        <w:autoSpaceDE/>
        <w:autoSpaceDN/>
        <w:bidi w:val="0"/>
        <w:spacing w:line="480" w:lineRule="exact"/>
        <w:ind w:firstLine="640" w:firstLineChars="200"/>
        <w:textAlignment w:val="auto"/>
        <w:rPr>
          <w:rFonts w:hint="eastAsia"/>
          <w:lang w:val="en-US" w:eastAsia="zh-CN"/>
        </w:rPr>
      </w:pPr>
      <w:r>
        <w:rPr>
          <w:rFonts w:hint="eastAsia" w:ascii="方正仿宋_GBK" w:eastAsia="方正仿宋_GBK"/>
          <w:sz w:val="32"/>
          <w:szCs w:val="32"/>
          <w:lang w:eastAsia="zh-CN"/>
        </w:rPr>
        <w:t>（二）</w:t>
      </w:r>
      <w:r>
        <w:rPr>
          <w:rFonts w:hint="eastAsia" w:ascii="方正仿宋_GBK" w:eastAsia="方正仿宋_GBK"/>
          <w:sz w:val="32"/>
          <w:szCs w:val="32"/>
        </w:rPr>
        <w:t>加强大气污染防治。</w:t>
      </w:r>
      <w:r>
        <w:rPr>
          <w:rFonts w:hint="eastAsia" w:ascii="方正仿宋_GBK" w:eastAsia="方正仿宋_GBK"/>
          <w:sz w:val="32"/>
          <w:szCs w:val="32"/>
          <w:lang w:val="en-US" w:eastAsia="zh-CN"/>
        </w:rPr>
        <w:t>导热油炉燃烧废气采取SNCR炉内脱硝处理达到《锅炉大气污染物排放标准》（DB50/ 658-2016）及重庆市地方标准第1号修改单中其他区域的排放限值后通过15m高1#排气筒排放；沥青混凝土卸料口和沥青罐呼吸产生的沥青烟汇集至一根集气管道后引至喷淋塔+过滤棉+静电净化器+活性炭吸附装置处理达到《大气污染物综合排放标准》（DB50/418-2016）中其他区域排放限值后通过15m高2#排气筒排放；烘干燃烧废气、烘干滚筒废气、筛分废气、热料仓废气一并引入一套旋风+布袋除尘器处理达到《大气污染物综合排放标准》（DB50/418-2016）中其他区域排放限值后由1根15m高3#排气筒排放；水泥稳定碎石搅拌废气经呼吸口密闭连接的布袋除尘器处理后在拌合楼内无组织排放；石粉罐和水泥罐设置仓顶除尘器处理后无组织排放；厂区道路硬化、定期清扫、洒水降尘；输送皮带密闭；骨料料斗设置围挡、下料时喷淋降尘；密闭堆场。厂界无组织排放的颗粒物满足《水泥工业大气污染物排放标准》（DB50/656-2016）；臭气浓度、氨气满足《恶臭污染物排放标准》（GB14554-93）。</w:t>
      </w:r>
    </w:p>
    <w:p>
      <w:pPr>
        <w:keepNext w:val="0"/>
        <w:keepLines w:val="0"/>
        <w:pageBreakBefore w:val="0"/>
        <w:kinsoku/>
        <w:wordWrap/>
        <w:overflowPunct/>
        <w:topLinePunct w:val="0"/>
        <w:autoSpaceDE/>
        <w:autoSpaceDN/>
        <w:bidi w:val="0"/>
        <w:spacing w:line="480" w:lineRule="exact"/>
        <w:ind w:firstLine="640" w:firstLineChars="200"/>
        <w:textAlignment w:val="auto"/>
        <w:rPr>
          <w:rFonts w:hint="eastAsia" w:ascii="方正仿宋_GBK" w:eastAsia="方正仿宋_GBK"/>
          <w:sz w:val="32"/>
          <w:szCs w:val="32"/>
          <w:lang w:val="en-US" w:eastAsia="zh-CN"/>
        </w:rPr>
      </w:pPr>
      <w:r>
        <w:rPr>
          <w:rFonts w:hint="eastAsia" w:ascii="方正仿宋_GBK" w:eastAsia="方正仿宋_GBK"/>
          <w:sz w:val="32"/>
          <w:szCs w:val="32"/>
        </w:rPr>
        <w:t>（</w:t>
      </w:r>
      <w:r>
        <w:rPr>
          <w:rFonts w:hint="eastAsia" w:ascii="方正仿宋_GBK" w:eastAsia="方正仿宋_GBK"/>
          <w:sz w:val="32"/>
          <w:szCs w:val="32"/>
          <w:lang w:eastAsia="zh-CN"/>
        </w:rPr>
        <w:t>三</w:t>
      </w:r>
      <w:r>
        <w:rPr>
          <w:rFonts w:hint="eastAsia" w:ascii="方正仿宋_GBK" w:eastAsia="方正仿宋_GBK"/>
          <w:sz w:val="32"/>
          <w:szCs w:val="32"/>
        </w:rPr>
        <w:t>）做好噪声防治工作。</w:t>
      </w:r>
      <w:r>
        <w:rPr>
          <w:rFonts w:hint="eastAsia" w:ascii="方正仿宋_GBK" w:eastAsia="方正仿宋_GBK"/>
          <w:sz w:val="32"/>
          <w:szCs w:val="32"/>
          <w:lang w:val="en-US" w:eastAsia="zh-CN"/>
        </w:rPr>
        <w:t>选用低噪声的设备，加强设备的维护与保养；设置减振基座、强化车间阻隔消声措施；合理布局噪声高的设备、机械，尽量将高噪声设备远离居民点一侧；合理安排施工时间，确保厂界噪声达到</w:t>
      </w:r>
      <w:r>
        <w:rPr>
          <w:rFonts w:hint="eastAsia" w:ascii="方正仿宋_GBK" w:eastAsia="方正仿宋_GBK"/>
          <w:sz w:val="32"/>
          <w:szCs w:val="32"/>
        </w:rPr>
        <w:t>《</w:t>
      </w:r>
      <w:r>
        <w:rPr>
          <w:rFonts w:hint="eastAsia" w:ascii="方正仿宋_GBK" w:eastAsia="方正仿宋_GBK"/>
          <w:sz w:val="32"/>
          <w:szCs w:val="32"/>
          <w:lang w:eastAsia="zh-CN"/>
        </w:rPr>
        <w:t>工业企业厂界</w:t>
      </w:r>
      <w:r>
        <w:rPr>
          <w:rFonts w:hint="eastAsia" w:ascii="方正仿宋_GBK" w:eastAsia="方正仿宋_GBK"/>
          <w:sz w:val="32"/>
          <w:szCs w:val="32"/>
        </w:rPr>
        <w:t>环境噪声排放标准》（GB12</w:t>
      </w:r>
      <w:r>
        <w:rPr>
          <w:rFonts w:hint="eastAsia" w:ascii="方正仿宋_GBK" w:eastAsia="方正仿宋_GBK"/>
          <w:sz w:val="32"/>
          <w:szCs w:val="32"/>
          <w:lang w:val="en-US" w:eastAsia="zh-CN"/>
        </w:rPr>
        <w:t>348</w:t>
      </w:r>
      <w:r>
        <w:rPr>
          <w:rFonts w:hint="eastAsia" w:ascii="方正仿宋_GBK" w:eastAsia="方正仿宋_GBK"/>
          <w:sz w:val="32"/>
          <w:szCs w:val="32"/>
        </w:rPr>
        <w:t>-20</w:t>
      </w:r>
      <w:r>
        <w:rPr>
          <w:rFonts w:hint="eastAsia" w:ascii="方正仿宋_GBK" w:eastAsia="方正仿宋_GBK"/>
          <w:sz w:val="32"/>
          <w:szCs w:val="32"/>
          <w:lang w:val="en-US" w:eastAsia="zh-CN"/>
        </w:rPr>
        <w:t>08</w:t>
      </w:r>
      <w:r>
        <w:rPr>
          <w:rFonts w:hint="eastAsia" w:ascii="方正仿宋_GBK" w:eastAsia="方正仿宋_GBK"/>
          <w:sz w:val="32"/>
          <w:szCs w:val="32"/>
        </w:rPr>
        <w:t>）</w:t>
      </w:r>
      <w:r>
        <w:rPr>
          <w:rFonts w:hint="eastAsia" w:ascii="方正仿宋_GBK" w:eastAsia="方正仿宋_GBK"/>
          <w:sz w:val="32"/>
          <w:szCs w:val="32"/>
          <w:lang w:val="en-US" w:eastAsia="zh-CN"/>
        </w:rPr>
        <w:t>2类标准。</w:t>
      </w:r>
    </w:p>
    <w:p>
      <w:pPr>
        <w:keepNext w:val="0"/>
        <w:keepLines w:val="0"/>
        <w:pageBreakBefore w:val="0"/>
        <w:kinsoku/>
        <w:wordWrap/>
        <w:overflowPunct/>
        <w:topLinePunct w:val="0"/>
        <w:autoSpaceDE/>
        <w:autoSpaceDN/>
        <w:bidi w:val="0"/>
        <w:snapToGrid w:val="0"/>
        <w:spacing w:line="480" w:lineRule="exact"/>
        <w:ind w:firstLine="640" w:firstLineChars="200"/>
        <w:textAlignment w:val="auto"/>
        <w:rPr>
          <w:rFonts w:hint="eastAsia" w:ascii="方正仿宋_GBK" w:eastAsia="方正仿宋_GBK"/>
          <w:sz w:val="32"/>
          <w:szCs w:val="32"/>
          <w:lang w:val="en-US" w:eastAsia="zh-CN"/>
        </w:rPr>
      </w:pPr>
      <w:r>
        <w:rPr>
          <w:rFonts w:ascii="方正仿宋_GBK" w:eastAsia="方正仿宋_GBK" w:cs="Times New Roman"/>
          <w:sz w:val="32"/>
          <w:szCs w:val="32"/>
        </w:rPr>
        <w:t>（</w:t>
      </w:r>
      <w:r>
        <w:rPr>
          <w:rFonts w:hint="eastAsia" w:ascii="方正仿宋_GBK" w:eastAsia="方正仿宋_GBK"/>
          <w:sz w:val="32"/>
          <w:szCs w:val="32"/>
          <w:lang w:eastAsia="zh-CN"/>
        </w:rPr>
        <w:t>四</w:t>
      </w:r>
      <w:r>
        <w:rPr>
          <w:rFonts w:ascii="方正仿宋_GBK" w:eastAsia="方正仿宋_GBK" w:cs="Times New Roman"/>
          <w:sz w:val="32"/>
          <w:szCs w:val="32"/>
        </w:rPr>
        <w:t>）</w:t>
      </w:r>
      <w:r>
        <w:rPr>
          <w:rFonts w:hint="eastAsia" w:ascii="方正仿宋_GBK" w:eastAsia="方正仿宋_GBK"/>
          <w:sz w:val="32"/>
          <w:szCs w:val="32"/>
        </w:rPr>
        <w:t>妥善处理</w:t>
      </w:r>
      <w:r>
        <w:rPr>
          <w:rFonts w:hint="eastAsia" w:ascii="方正仿宋_GBK" w:eastAsia="方正仿宋_GBK" w:cs="Times New Roman"/>
          <w:sz w:val="32"/>
          <w:szCs w:val="32"/>
        </w:rPr>
        <w:t>固体废物</w:t>
      </w:r>
      <w:r>
        <w:rPr>
          <w:rFonts w:ascii="方正仿宋_GBK" w:eastAsia="方正仿宋_GBK"/>
          <w:sz w:val="32"/>
          <w:szCs w:val="32"/>
        </w:rPr>
        <w:t>。</w:t>
      </w:r>
      <w:r>
        <w:rPr>
          <w:rFonts w:hint="eastAsia" w:ascii="方正仿宋_GBK" w:eastAsia="方正仿宋_GBK"/>
          <w:sz w:val="32"/>
          <w:szCs w:val="32"/>
        </w:rPr>
        <w:t>实施分类收集和处置，做到“减量化、资源化、无害化”。</w:t>
      </w:r>
      <w:r>
        <w:rPr>
          <w:rFonts w:hint="eastAsia" w:ascii="方正仿宋_GBK" w:eastAsia="方正仿宋_GBK"/>
          <w:sz w:val="32"/>
          <w:szCs w:val="32"/>
          <w:lang w:val="en-US" w:eastAsia="zh-CN"/>
        </w:rPr>
        <w:t>危险废物经分类收集暂存后交有危废处置资质单位处理；生活垃圾分类收集后交由当地环卫部门进行处置。</w:t>
      </w:r>
      <w:r>
        <w:rPr>
          <w:rFonts w:hint="eastAsia" w:ascii="方正仿宋_GBK" w:eastAsia="方正仿宋_GBK"/>
          <w:sz w:val="32"/>
          <w:szCs w:val="32"/>
        </w:rPr>
        <w:t>规范设置</w:t>
      </w:r>
      <w:r>
        <w:rPr>
          <w:rFonts w:ascii="方正仿宋_GBK" w:eastAsia="方正仿宋_GBK"/>
          <w:sz w:val="32"/>
          <w:szCs w:val="32"/>
        </w:rPr>
        <w:t>危废</w:t>
      </w:r>
      <w:r>
        <w:rPr>
          <w:rFonts w:hint="eastAsia" w:ascii="方正仿宋_GBK" w:eastAsia="方正仿宋_GBK"/>
          <w:sz w:val="32"/>
          <w:szCs w:val="32"/>
        </w:rPr>
        <w:t>暂存间，防止环境二次污染。</w:t>
      </w:r>
    </w:p>
    <w:p>
      <w:pPr>
        <w:keepNext w:val="0"/>
        <w:keepLines w:val="0"/>
        <w:pageBreakBefore w:val="0"/>
        <w:kinsoku/>
        <w:wordWrap/>
        <w:overflowPunct/>
        <w:topLinePunct w:val="0"/>
        <w:autoSpaceDE/>
        <w:autoSpaceDN/>
        <w:bidi w:val="0"/>
        <w:spacing w:line="48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w:t>
      </w:r>
      <w:r>
        <w:rPr>
          <w:rFonts w:hint="eastAsia" w:ascii="方正仿宋_GBK" w:eastAsia="方正仿宋_GBK"/>
          <w:sz w:val="32"/>
          <w:szCs w:val="32"/>
          <w:lang w:eastAsia="zh-CN"/>
        </w:rPr>
        <w:t>五</w:t>
      </w:r>
      <w:r>
        <w:rPr>
          <w:rFonts w:hint="eastAsia" w:ascii="方正仿宋_GBK" w:eastAsia="方正仿宋_GBK"/>
          <w:sz w:val="32"/>
          <w:szCs w:val="32"/>
        </w:rPr>
        <w:t>）强化环境风险防范。落实报告</w:t>
      </w:r>
      <w:r>
        <w:rPr>
          <w:rFonts w:hint="eastAsia" w:ascii="方正仿宋_GBK" w:eastAsia="方正仿宋_GBK"/>
          <w:sz w:val="32"/>
          <w:szCs w:val="32"/>
          <w:lang w:eastAsia="zh-CN"/>
        </w:rPr>
        <w:t>表</w:t>
      </w:r>
      <w:r>
        <w:rPr>
          <w:rFonts w:hint="eastAsia" w:ascii="方正仿宋_GBK" w:eastAsia="方正仿宋_GBK"/>
          <w:sz w:val="32"/>
          <w:szCs w:val="32"/>
        </w:rPr>
        <w:t>提出的各项应急管理措施和环境风险防</w:t>
      </w:r>
      <w:r>
        <w:rPr>
          <w:rFonts w:hint="eastAsia" w:ascii="方正仿宋_GBK" w:hAnsi="仿宋" w:eastAsia="方正仿宋_GBK"/>
          <w:sz w:val="32"/>
          <w:szCs w:val="32"/>
        </w:rPr>
        <w:t>范措施</w:t>
      </w:r>
      <w:r>
        <w:rPr>
          <w:rFonts w:hint="eastAsia" w:ascii="方正仿宋_GBK" w:hAnsi="仿宋" w:eastAsia="方正仿宋_GBK"/>
          <w:sz w:val="32"/>
          <w:szCs w:val="32"/>
          <w:lang w:eastAsia="zh-CN"/>
        </w:rPr>
        <w:t>，</w:t>
      </w:r>
      <w:r>
        <w:rPr>
          <w:rFonts w:hint="eastAsia" w:ascii="方正仿宋_GBK" w:eastAsia="方正仿宋_GBK"/>
          <w:sz w:val="32"/>
          <w:szCs w:val="32"/>
          <w:lang w:eastAsia="zh-CN"/>
        </w:rPr>
        <w:t>结合本单位的特点制定</w:t>
      </w:r>
      <w:r>
        <w:rPr>
          <w:rFonts w:hint="eastAsia" w:ascii="方正仿宋_GBK" w:eastAsia="方正仿宋_GBK"/>
          <w:sz w:val="32"/>
          <w:szCs w:val="32"/>
        </w:rPr>
        <w:t>环境风险</w:t>
      </w:r>
      <w:r>
        <w:rPr>
          <w:rFonts w:hint="eastAsia" w:ascii="方正仿宋_GBK" w:eastAsia="方正仿宋_GBK"/>
          <w:sz w:val="32"/>
          <w:szCs w:val="32"/>
          <w:lang w:eastAsia="zh-CN"/>
        </w:rPr>
        <w:t>事故</w:t>
      </w:r>
      <w:r>
        <w:rPr>
          <w:rFonts w:hint="eastAsia" w:ascii="方正仿宋_GBK" w:eastAsia="方正仿宋_GBK"/>
          <w:sz w:val="32"/>
          <w:szCs w:val="32"/>
        </w:rPr>
        <w:t>应急预案，加强环境风险管理</w:t>
      </w:r>
      <w:r>
        <w:rPr>
          <w:rFonts w:hint="eastAsia" w:ascii="方正仿宋_GBK" w:hAnsi="仿宋" w:eastAsia="方正仿宋_GBK"/>
          <w:sz w:val="32"/>
          <w:szCs w:val="32"/>
        </w:rPr>
        <w:t>，</w:t>
      </w:r>
      <w:r>
        <w:rPr>
          <w:rFonts w:hint="eastAsia" w:ascii="方正仿宋_GBK" w:eastAsia="方正仿宋_GBK"/>
          <w:sz w:val="32"/>
          <w:szCs w:val="32"/>
          <w:lang w:eastAsia="zh-CN"/>
        </w:rPr>
        <w:t>落实环境保护主体责任，</w:t>
      </w:r>
      <w:r>
        <w:rPr>
          <w:rFonts w:hint="eastAsia" w:ascii="方正仿宋_GBK" w:eastAsia="方正仿宋_GBK"/>
          <w:sz w:val="32"/>
          <w:szCs w:val="32"/>
        </w:rPr>
        <w:t>防止因事故引发环境污染。</w:t>
      </w:r>
    </w:p>
    <w:p>
      <w:pPr>
        <w:pStyle w:val="27"/>
        <w:keepNext w:val="0"/>
        <w:keepLines w:val="0"/>
        <w:pageBreakBefore w:val="0"/>
        <w:widowControl/>
        <w:kinsoku/>
        <w:wordWrap/>
        <w:overflowPunct/>
        <w:topLinePunct w:val="0"/>
        <w:autoSpaceDE/>
        <w:autoSpaceDN/>
        <w:bidi w:val="0"/>
        <w:spacing w:line="480" w:lineRule="exact"/>
        <w:ind w:firstLine="640" w:firstLineChars="200"/>
        <w:jc w:val="both"/>
        <w:textAlignment w:val="auto"/>
        <w:rPr>
          <w:rFonts w:hint="eastAsia" w:ascii="方正仿宋_GBK" w:hAnsi="仿宋" w:eastAsia="方正仿宋_GBK"/>
          <w:sz w:val="32"/>
          <w:szCs w:val="32"/>
          <w:lang w:val="en-US" w:eastAsia="zh-CN"/>
        </w:rPr>
      </w:pPr>
      <w:r>
        <w:rPr>
          <w:rFonts w:hint="eastAsia" w:ascii="方正仿宋_GBK" w:eastAsia="方正仿宋_GBK"/>
          <w:sz w:val="32"/>
          <w:szCs w:val="32"/>
          <w:lang w:val="en-US" w:eastAsia="zh-CN"/>
        </w:rPr>
        <w:t>（六）执行排污总量控制。项目</w:t>
      </w:r>
      <w:r>
        <w:rPr>
          <w:rFonts w:hint="eastAsia" w:ascii="方正仿宋_GBK" w:hAnsi="仿宋" w:eastAsia="方正仿宋_GBK"/>
          <w:sz w:val="32"/>
          <w:szCs w:val="32"/>
          <w:lang w:eastAsia="zh-CN"/>
        </w:rPr>
        <w:t>污染物总量控制指标为：</w:t>
      </w:r>
      <w:r>
        <w:rPr>
          <w:rFonts w:hint="eastAsia" w:ascii="方正仿宋_GBK" w:hAnsi="仿宋" w:eastAsia="方正仿宋_GBK"/>
          <w:sz w:val="32"/>
          <w:szCs w:val="32"/>
          <w:lang w:val="en-US" w:eastAsia="zh-CN"/>
        </w:rPr>
        <w:t>SO</w:t>
      </w:r>
      <w:r>
        <w:rPr>
          <w:rFonts w:hint="eastAsia" w:ascii="方正仿宋_GBK" w:hAnsi="仿宋" w:eastAsia="方正仿宋_GBK"/>
          <w:sz w:val="32"/>
          <w:szCs w:val="32"/>
          <w:vertAlign w:val="subscript"/>
          <w:lang w:val="en-US" w:eastAsia="zh-CN"/>
        </w:rPr>
        <w:t>2</w:t>
      </w:r>
      <w:r>
        <w:rPr>
          <w:rFonts w:hint="eastAsia" w:ascii="方正仿宋_GBK" w:hAnsi="仿宋" w:eastAsia="方正仿宋_GBK"/>
          <w:sz w:val="32"/>
          <w:szCs w:val="32"/>
          <w:lang w:val="en-US" w:eastAsia="zh-CN"/>
        </w:rPr>
        <w:t>为0.0095t/a、NOx为0.1815t/a、颗粒物为0.209t/a、非甲烷总烃为0.0154t/a、沥青烟为0.022t/a、苯并[a]芘为0.593×10</w:t>
      </w:r>
      <w:r>
        <w:rPr>
          <w:rFonts w:hint="eastAsia" w:ascii="方正仿宋_GBK" w:hAnsi="仿宋" w:eastAsia="方正仿宋_GBK"/>
          <w:sz w:val="32"/>
          <w:szCs w:val="32"/>
          <w:vertAlign w:val="superscript"/>
          <w:lang w:val="en-US" w:eastAsia="zh-CN"/>
        </w:rPr>
        <w:t>-6</w:t>
      </w:r>
      <w:r>
        <w:rPr>
          <w:rFonts w:hint="eastAsia" w:ascii="方正仿宋_GBK" w:hAnsi="仿宋" w:eastAsia="方正仿宋_GBK"/>
          <w:sz w:val="32"/>
          <w:szCs w:val="32"/>
          <w:lang w:val="en-US" w:eastAsia="zh-CN"/>
        </w:rPr>
        <w:t>t/a。</w:t>
      </w:r>
    </w:p>
    <w:p>
      <w:pPr>
        <w:pStyle w:val="27"/>
        <w:keepNext w:val="0"/>
        <w:keepLines w:val="0"/>
        <w:pageBreakBefore w:val="0"/>
        <w:widowControl/>
        <w:kinsoku/>
        <w:wordWrap/>
        <w:overflowPunct/>
        <w:topLinePunct w:val="0"/>
        <w:autoSpaceDE/>
        <w:autoSpaceDN/>
        <w:bidi w:val="0"/>
        <w:spacing w:line="480" w:lineRule="exact"/>
        <w:ind w:firstLine="640" w:firstLineChars="200"/>
        <w:jc w:val="both"/>
        <w:textAlignment w:val="auto"/>
        <w:rPr>
          <w:rFonts w:ascii="方正仿宋_GBK" w:eastAsia="方正仿宋_GBK"/>
          <w:sz w:val="32"/>
          <w:szCs w:val="32"/>
        </w:rPr>
      </w:pPr>
      <w:r>
        <w:rPr>
          <w:rFonts w:hint="eastAsia" w:ascii="方正仿宋_GBK" w:eastAsia="方正仿宋_GBK"/>
          <w:sz w:val="32"/>
          <w:szCs w:val="32"/>
        </w:rPr>
        <w:t>（</w:t>
      </w:r>
      <w:r>
        <w:rPr>
          <w:rFonts w:hint="eastAsia" w:ascii="方正仿宋_GBK" w:eastAsia="方正仿宋_GBK"/>
          <w:sz w:val="32"/>
          <w:szCs w:val="32"/>
          <w:lang w:eastAsia="zh-CN"/>
        </w:rPr>
        <w:t>七</w:t>
      </w:r>
      <w:r>
        <w:rPr>
          <w:rFonts w:hint="eastAsia" w:ascii="方正仿宋_GBK" w:eastAsia="方正仿宋_GBK"/>
          <w:sz w:val="32"/>
          <w:szCs w:val="32"/>
        </w:rPr>
        <w:t>）</w:t>
      </w:r>
      <w:r>
        <w:rPr>
          <w:rFonts w:hint="eastAsia" w:ascii="方正仿宋_GBK" w:eastAsia="方正仿宋_GBK"/>
          <w:sz w:val="32"/>
          <w:szCs w:val="32"/>
          <w:lang w:eastAsia="zh-CN"/>
        </w:rPr>
        <w:t>建立企业内部生态环境管理机构和管理制度，明确人员和职责。项目</w:t>
      </w:r>
      <w:r>
        <w:rPr>
          <w:rFonts w:hint="eastAsia" w:ascii="方正仿宋_GBK" w:eastAsia="方正仿宋_GBK"/>
          <w:sz w:val="32"/>
          <w:szCs w:val="32"/>
        </w:rPr>
        <w:t>主动公开</w:t>
      </w:r>
      <w:r>
        <w:rPr>
          <w:rFonts w:ascii="方正仿宋_GBK" w:eastAsia="方正仿宋_GBK"/>
          <w:sz w:val="32"/>
          <w:szCs w:val="32"/>
        </w:rPr>
        <w:t>环境信息，接受社会监督。</w:t>
      </w:r>
      <w:r>
        <w:rPr>
          <w:rFonts w:hint="eastAsia" w:ascii="方正仿宋_GBK" w:eastAsia="方正仿宋_GBK"/>
          <w:sz w:val="32"/>
          <w:szCs w:val="32"/>
          <w:lang w:eastAsia="zh-CN"/>
        </w:rPr>
        <w:t>项目的</w:t>
      </w:r>
      <w:r>
        <w:rPr>
          <w:rFonts w:hint="eastAsia" w:ascii="方正仿宋_GBK" w:hAnsi="仿宋" w:eastAsia="方正仿宋_GBK"/>
          <w:bCs/>
          <w:sz w:val="32"/>
          <w:szCs w:val="32"/>
        </w:rPr>
        <w:t>环保</w:t>
      </w:r>
      <w:bookmarkStart w:id="0" w:name="_GoBack"/>
      <w:bookmarkEnd w:id="0"/>
      <w:r>
        <w:rPr>
          <w:rFonts w:hint="eastAsia" w:ascii="方正仿宋_GBK" w:hAnsi="仿宋" w:eastAsia="方正仿宋_GBK"/>
          <w:bCs/>
          <w:sz w:val="32"/>
          <w:szCs w:val="32"/>
        </w:rPr>
        <w:t>日常监督管理由重庆市万州区生态环境保护综合行政执法支队按照有关职责实施</w:t>
      </w:r>
      <w:r>
        <w:rPr>
          <w:rFonts w:ascii="方正仿宋_GBK" w:eastAsia="方正仿宋_GBK"/>
          <w:sz w:val="32"/>
          <w:szCs w:val="32"/>
        </w:rPr>
        <w:t>。</w:t>
      </w:r>
    </w:p>
    <w:p>
      <w:pPr>
        <w:pStyle w:val="9"/>
        <w:keepNext w:val="0"/>
        <w:keepLines w:val="0"/>
        <w:pageBreakBefore w:val="0"/>
        <w:kinsoku/>
        <w:wordWrap/>
        <w:overflowPunct/>
        <w:topLinePunct w:val="0"/>
        <w:autoSpaceDE/>
        <w:autoSpaceDN/>
        <w:bidi w:val="0"/>
        <w:spacing w:line="480" w:lineRule="exact"/>
        <w:ind w:left="0" w:leftChars="0" w:firstLine="640" w:firstLineChars="200"/>
        <w:textAlignment w:val="auto"/>
        <w:rPr>
          <w:rFonts w:ascii="方正仿宋_GBK" w:eastAsia="方正仿宋_GBK" w:cs="宋体"/>
          <w:sz w:val="32"/>
          <w:szCs w:val="32"/>
        </w:rPr>
      </w:pPr>
      <w:r>
        <w:rPr>
          <w:rFonts w:hint="eastAsia" w:ascii="方正仿宋_GBK" w:eastAsia="方正仿宋_GBK" w:cs="宋体"/>
          <w:sz w:val="32"/>
          <w:szCs w:val="32"/>
          <w:lang w:eastAsia="zh-CN"/>
        </w:rPr>
        <w:t>四</w:t>
      </w:r>
      <w:r>
        <w:rPr>
          <w:rFonts w:hint="eastAsia" w:ascii="方正仿宋_GBK" w:eastAsia="方正仿宋_GBK" w:cs="宋体"/>
          <w:sz w:val="32"/>
          <w:szCs w:val="32"/>
        </w:rPr>
        <w:t>、</w:t>
      </w:r>
      <w:r>
        <w:rPr>
          <w:rFonts w:ascii="方正仿宋_GBK" w:eastAsia="方正仿宋_GBK" w:cs="宋体"/>
          <w:sz w:val="32"/>
          <w:szCs w:val="32"/>
        </w:rPr>
        <w:t>项目建设必须严格执行环境保护设施与主体工程同时设计、同时施工、同时投</w:t>
      </w:r>
      <w:r>
        <w:rPr>
          <w:rFonts w:hint="eastAsia" w:ascii="方正仿宋_GBK" w:eastAsia="方正仿宋_GBK" w:cs="宋体"/>
          <w:sz w:val="32"/>
          <w:szCs w:val="32"/>
        </w:rPr>
        <w:t>入</w:t>
      </w:r>
      <w:r>
        <w:rPr>
          <w:rFonts w:ascii="方正仿宋_GBK" w:eastAsia="方正仿宋_GBK" w:cs="宋体"/>
          <w:sz w:val="32"/>
          <w:szCs w:val="32"/>
        </w:rPr>
        <w:t>使用的环境保护“三同时”制度</w:t>
      </w:r>
      <w:r>
        <w:rPr>
          <w:rFonts w:hint="eastAsia" w:ascii="方正仿宋_GBK" w:eastAsia="方正仿宋_GBK" w:cs="宋体"/>
          <w:sz w:val="32"/>
          <w:szCs w:val="32"/>
        </w:rPr>
        <w:t>。</w:t>
      </w:r>
      <w:r>
        <w:rPr>
          <w:rFonts w:hint="eastAsia" w:ascii="方正仿宋_GBK" w:hAnsi="仿宋" w:eastAsia="方正仿宋_GBK"/>
          <w:bCs/>
          <w:sz w:val="32"/>
          <w:szCs w:val="32"/>
          <w:lang w:eastAsia="zh-CN"/>
        </w:rPr>
        <w:t>项目投入运行前，及时向我局申请排污许可，不得无证排污或不按证排污。</w:t>
      </w:r>
      <w:r>
        <w:rPr>
          <w:rFonts w:ascii="方正仿宋_GBK" w:eastAsia="方正仿宋_GBK" w:cs="宋体"/>
          <w:sz w:val="32"/>
          <w:szCs w:val="32"/>
        </w:rPr>
        <w:t>项目</w:t>
      </w:r>
      <w:r>
        <w:rPr>
          <w:rFonts w:hint="eastAsia" w:ascii="方正仿宋_GBK" w:eastAsia="方正仿宋_GBK" w:cs="宋体"/>
          <w:sz w:val="32"/>
          <w:szCs w:val="32"/>
          <w:lang w:eastAsia="zh-CN"/>
        </w:rPr>
        <w:t>竣工</w:t>
      </w:r>
      <w:r>
        <w:rPr>
          <w:rFonts w:ascii="方正仿宋_GBK" w:eastAsia="方正仿宋_GBK" w:cs="宋体"/>
          <w:sz w:val="32"/>
          <w:szCs w:val="32"/>
        </w:rPr>
        <w:t>后，</w:t>
      </w:r>
      <w:r>
        <w:rPr>
          <w:rFonts w:hint="eastAsia" w:ascii="方正仿宋_GBK" w:eastAsia="方正仿宋_GBK" w:cs="宋体"/>
          <w:sz w:val="32"/>
          <w:szCs w:val="32"/>
          <w:lang w:eastAsia="zh-CN"/>
        </w:rPr>
        <w:t>应按照有关规定对</w:t>
      </w:r>
      <w:r>
        <w:rPr>
          <w:rFonts w:ascii="方正仿宋_GBK" w:eastAsia="方正仿宋_GBK" w:cs="宋体"/>
          <w:sz w:val="32"/>
          <w:szCs w:val="32"/>
        </w:rPr>
        <w:t>环境保护</w:t>
      </w:r>
      <w:r>
        <w:rPr>
          <w:rFonts w:hint="eastAsia" w:ascii="方正仿宋_GBK" w:eastAsia="方正仿宋_GBK" w:cs="宋体"/>
          <w:sz w:val="32"/>
          <w:szCs w:val="32"/>
        </w:rPr>
        <w:t>设施</w:t>
      </w:r>
      <w:r>
        <w:rPr>
          <w:rFonts w:hint="eastAsia" w:ascii="方正仿宋_GBK" w:eastAsia="方正仿宋_GBK" w:cs="宋体"/>
          <w:sz w:val="32"/>
          <w:szCs w:val="32"/>
          <w:lang w:eastAsia="zh-CN"/>
        </w:rPr>
        <w:t>进行</w:t>
      </w:r>
      <w:r>
        <w:rPr>
          <w:rFonts w:ascii="方正仿宋_GBK" w:eastAsia="方正仿宋_GBK" w:cs="宋体"/>
          <w:sz w:val="32"/>
          <w:szCs w:val="32"/>
        </w:rPr>
        <w:t>验收</w:t>
      </w:r>
      <w:r>
        <w:rPr>
          <w:rFonts w:hint="eastAsia" w:ascii="方正仿宋_GBK" w:eastAsia="方正仿宋_GBK" w:cs="宋体"/>
          <w:sz w:val="32"/>
          <w:szCs w:val="32"/>
        </w:rPr>
        <w:t>，</w:t>
      </w:r>
      <w:r>
        <w:rPr>
          <w:rFonts w:hint="eastAsia" w:ascii="方正仿宋_GBK" w:eastAsia="方正仿宋_GBK" w:cs="宋体"/>
          <w:sz w:val="32"/>
          <w:szCs w:val="32"/>
          <w:lang w:eastAsia="zh-CN"/>
        </w:rPr>
        <w:t>编制验收报告并依法向社会公开验收报告，</w:t>
      </w:r>
      <w:r>
        <w:rPr>
          <w:rFonts w:hint="eastAsia" w:ascii="方正仿宋_GBK" w:hAnsi="仿宋" w:eastAsia="方正仿宋_GBK"/>
          <w:bCs/>
          <w:sz w:val="32"/>
          <w:szCs w:val="32"/>
        </w:rPr>
        <w:t>公示期满5个工作日内，登录全国建设项目竣工环境保护验收信息平台，填报验收等相关信息</w:t>
      </w:r>
      <w:r>
        <w:rPr>
          <w:rFonts w:hint="eastAsia" w:ascii="方正仿宋_GBK" w:eastAsia="方正仿宋_GBK" w:cs="宋体"/>
          <w:sz w:val="32"/>
          <w:szCs w:val="32"/>
        </w:rPr>
        <w:t>。</w:t>
      </w:r>
    </w:p>
    <w:p>
      <w:pPr>
        <w:pStyle w:val="9"/>
        <w:keepNext w:val="0"/>
        <w:keepLines w:val="0"/>
        <w:pageBreakBefore w:val="0"/>
        <w:kinsoku/>
        <w:wordWrap/>
        <w:overflowPunct/>
        <w:topLinePunct w:val="0"/>
        <w:autoSpaceDE/>
        <w:autoSpaceDN/>
        <w:bidi w:val="0"/>
        <w:spacing w:line="480" w:lineRule="exact"/>
        <w:ind w:left="0" w:leftChars="0" w:firstLine="640" w:firstLineChars="200"/>
        <w:textAlignment w:val="auto"/>
        <w:rPr>
          <w:rFonts w:ascii="方正仿宋_GBK" w:hAnsi="仿宋" w:eastAsia="方正仿宋_GBK"/>
          <w:color w:val="000000"/>
          <w:sz w:val="32"/>
          <w:szCs w:val="32"/>
        </w:rPr>
      </w:pPr>
      <w:r>
        <w:rPr>
          <w:rFonts w:hint="eastAsia" w:ascii="方正仿宋_GBK" w:hAnsi="仿宋" w:eastAsia="方正仿宋_GBK"/>
          <w:color w:val="000000"/>
          <w:sz w:val="32"/>
          <w:szCs w:val="32"/>
          <w:lang w:eastAsia="zh-CN"/>
        </w:rPr>
        <w:t>五</w:t>
      </w:r>
      <w:r>
        <w:rPr>
          <w:rFonts w:hint="eastAsia" w:ascii="方正仿宋_GBK" w:hAnsi="仿宋" w:eastAsia="方正仿宋_GBK"/>
          <w:color w:val="000000"/>
          <w:sz w:val="32"/>
          <w:szCs w:val="32"/>
        </w:rPr>
        <w:t>、</w:t>
      </w:r>
      <w:r>
        <w:rPr>
          <w:rFonts w:ascii="方正仿宋_GBK" w:hAnsi="仿宋" w:eastAsia="方正仿宋_GBK"/>
          <w:color w:val="000000"/>
          <w:sz w:val="32"/>
          <w:szCs w:val="32"/>
        </w:rPr>
        <w:t>项目的性质、规模、地点、采用的生产工艺或者防治污染、防止生态破坏的措施发生重大变动，</w:t>
      </w:r>
      <w:r>
        <w:rPr>
          <w:rFonts w:hint="eastAsia" w:ascii="方正仿宋_GBK" w:hAnsi="仿宋" w:eastAsia="方正仿宋_GBK"/>
          <w:color w:val="000000"/>
          <w:sz w:val="32"/>
          <w:szCs w:val="32"/>
        </w:rPr>
        <w:t>你</w:t>
      </w:r>
      <w:r>
        <w:rPr>
          <w:rFonts w:ascii="方正仿宋_GBK" w:hAnsi="仿宋" w:eastAsia="方正仿宋_GBK"/>
          <w:color w:val="000000"/>
          <w:sz w:val="32"/>
          <w:szCs w:val="32"/>
        </w:rPr>
        <w:t>单位应当重新报批</w:t>
      </w:r>
      <w:r>
        <w:rPr>
          <w:rFonts w:hint="eastAsia" w:ascii="方正仿宋_GBK" w:hAnsi="仿宋" w:eastAsia="方正仿宋_GBK"/>
          <w:color w:val="000000"/>
          <w:sz w:val="32"/>
          <w:szCs w:val="32"/>
        </w:rPr>
        <w:t>该</w:t>
      </w:r>
      <w:r>
        <w:rPr>
          <w:rFonts w:ascii="方正仿宋_GBK" w:hAnsi="仿宋" w:eastAsia="方正仿宋_GBK"/>
          <w:color w:val="000000"/>
          <w:sz w:val="32"/>
          <w:szCs w:val="32"/>
        </w:rPr>
        <w:t>项目的环境影响评价文件。</w:t>
      </w:r>
    </w:p>
    <w:p>
      <w:pPr>
        <w:pStyle w:val="9"/>
        <w:keepNext w:val="0"/>
        <w:keepLines w:val="0"/>
        <w:pageBreakBefore w:val="0"/>
        <w:kinsoku/>
        <w:wordWrap/>
        <w:overflowPunct/>
        <w:topLinePunct w:val="0"/>
        <w:autoSpaceDE/>
        <w:autoSpaceDN/>
        <w:bidi w:val="0"/>
        <w:spacing w:line="480" w:lineRule="exact"/>
        <w:ind w:left="0" w:leftChars="0" w:firstLine="640" w:firstLineChars="200"/>
        <w:textAlignment w:val="auto"/>
      </w:pPr>
      <w:r>
        <w:rPr>
          <w:rFonts w:hint="eastAsia" w:ascii="方正仿宋_GBK" w:hAnsi="仿宋" w:eastAsia="方正仿宋_GBK"/>
          <w:color w:val="000000"/>
          <w:sz w:val="32"/>
          <w:szCs w:val="32"/>
          <w:lang w:val="en-US" w:eastAsia="zh-CN"/>
        </w:rPr>
        <w:t>六、若项目实施或运行后，国家和重庆市提出新的环境管控要求，或发布更加严格的污染物排放标准，你单位有义务采取有效的改进措施确保项目满足新的环境保护管理规定。</w:t>
      </w:r>
    </w:p>
    <w:p>
      <w:pPr>
        <w:pStyle w:val="25"/>
        <w:keepNext w:val="0"/>
        <w:keepLines w:val="0"/>
        <w:pageBreakBefore w:val="0"/>
        <w:kinsoku/>
        <w:wordWrap/>
        <w:overflowPunct/>
        <w:topLinePunct w:val="0"/>
        <w:autoSpaceDE/>
        <w:autoSpaceDN/>
        <w:bidi w:val="0"/>
        <w:spacing w:line="480" w:lineRule="exact"/>
        <w:ind w:left="0" w:leftChars="0" w:firstLine="0" w:firstLineChars="0"/>
        <w:textAlignment w:val="auto"/>
      </w:pPr>
    </w:p>
    <w:p>
      <w:pPr>
        <w:pStyle w:val="25"/>
        <w:keepNext w:val="0"/>
        <w:keepLines w:val="0"/>
        <w:pageBreakBefore w:val="0"/>
        <w:kinsoku/>
        <w:wordWrap/>
        <w:overflowPunct/>
        <w:topLinePunct w:val="0"/>
        <w:autoSpaceDE/>
        <w:autoSpaceDN/>
        <w:bidi w:val="0"/>
        <w:spacing w:line="480" w:lineRule="exact"/>
        <w:ind w:left="0" w:leftChars="0" w:firstLine="0" w:firstLineChars="0"/>
        <w:textAlignment w:val="auto"/>
      </w:pPr>
    </w:p>
    <w:p>
      <w:pPr>
        <w:pStyle w:val="6"/>
        <w:keepNext w:val="0"/>
        <w:keepLines w:val="0"/>
        <w:pageBreakBefore w:val="0"/>
        <w:kinsoku/>
        <w:wordWrap/>
        <w:overflowPunct/>
        <w:topLinePunct w:val="0"/>
        <w:autoSpaceDE/>
        <w:autoSpaceDN/>
        <w:bidi w:val="0"/>
        <w:snapToGrid w:val="0"/>
        <w:spacing w:line="480" w:lineRule="exact"/>
        <w:ind w:left="0" w:right="105" w:rightChars="50" w:firstLine="4480" w:firstLineChars="1400"/>
        <w:textAlignment w:val="auto"/>
        <w:rPr>
          <w:rFonts w:ascii="方正仿宋_GBK" w:eastAsia="方正仿宋_GBK"/>
          <w:b w:val="0"/>
          <w:sz w:val="32"/>
          <w:szCs w:val="32"/>
        </w:rPr>
      </w:pPr>
      <w:r>
        <w:rPr>
          <w:rFonts w:hint="eastAsia" w:ascii="方正仿宋_GBK" w:eastAsia="方正仿宋_GBK"/>
          <w:b w:val="0"/>
          <w:sz w:val="32"/>
          <w:szCs w:val="32"/>
        </w:rPr>
        <w:t>重庆市万州区生态环境局</w:t>
      </w:r>
    </w:p>
    <w:p>
      <w:pPr>
        <w:pStyle w:val="6"/>
        <w:keepNext w:val="0"/>
        <w:keepLines w:val="0"/>
        <w:pageBreakBefore w:val="0"/>
        <w:kinsoku/>
        <w:wordWrap/>
        <w:overflowPunct/>
        <w:topLinePunct w:val="0"/>
        <w:autoSpaceDE/>
        <w:autoSpaceDN/>
        <w:bidi w:val="0"/>
        <w:snapToGrid w:val="0"/>
        <w:spacing w:line="480" w:lineRule="exact"/>
        <w:ind w:left="0" w:leftChars="0" w:right="105" w:rightChars="50" w:firstLine="5120" w:firstLineChars="1600"/>
        <w:textAlignment w:val="auto"/>
        <w:rPr>
          <w:rFonts w:hint="eastAsia" w:ascii="方正仿宋_GBK" w:eastAsia="方正仿宋_GBK"/>
          <w:b w:val="0"/>
          <w:sz w:val="32"/>
          <w:szCs w:val="32"/>
        </w:rPr>
      </w:pPr>
      <w:r>
        <w:rPr>
          <w:rFonts w:hint="eastAsia" w:ascii="方正仿宋_GBK" w:eastAsia="方正仿宋_GBK"/>
          <w:b w:val="0"/>
          <w:sz w:val="32"/>
          <w:szCs w:val="32"/>
        </w:rPr>
        <w:t>202</w:t>
      </w:r>
      <w:r>
        <w:rPr>
          <w:rFonts w:hint="eastAsia" w:ascii="方正仿宋_GBK" w:eastAsia="方正仿宋_GBK"/>
          <w:b w:val="0"/>
          <w:sz w:val="32"/>
          <w:szCs w:val="32"/>
          <w:lang w:val="en-US" w:eastAsia="zh-CN"/>
        </w:rPr>
        <w:t>4</w:t>
      </w:r>
      <w:r>
        <w:rPr>
          <w:rFonts w:hint="eastAsia" w:ascii="方正仿宋_GBK" w:eastAsia="方正仿宋_GBK"/>
          <w:b w:val="0"/>
          <w:sz w:val="32"/>
          <w:szCs w:val="32"/>
        </w:rPr>
        <w:t>年</w:t>
      </w:r>
      <w:r>
        <w:rPr>
          <w:rFonts w:hint="eastAsia" w:ascii="方正仿宋_GBK" w:eastAsia="方正仿宋_GBK"/>
          <w:b w:val="0"/>
          <w:sz w:val="32"/>
          <w:szCs w:val="32"/>
          <w:lang w:val="en-US" w:eastAsia="zh-CN"/>
        </w:rPr>
        <w:t>1</w:t>
      </w:r>
      <w:r>
        <w:rPr>
          <w:rFonts w:hint="eastAsia" w:ascii="方正仿宋_GBK" w:eastAsia="方正仿宋_GBK"/>
          <w:b w:val="0"/>
          <w:sz w:val="32"/>
          <w:szCs w:val="32"/>
        </w:rPr>
        <w:t>月</w:t>
      </w:r>
      <w:r>
        <w:rPr>
          <w:rFonts w:hint="eastAsia" w:ascii="方正仿宋_GBK" w:eastAsia="方正仿宋_GBK"/>
          <w:b w:val="0"/>
          <w:sz w:val="32"/>
          <w:szCs w:val="32"/>
          <w:lang w:val="en-US" w:eastAsia="zh-CN"/>
        </w:rPr>
        <w:t>4</w:t>
      </w:r>
      <w:r>
        <w:rPr>
          <w:rFonts w:hint="eastAsia" w:ascii="方正仿宋_GBK" w:eastAsia="方正仿宋_GBK"/>
          <w:b w:val="0"/>
          <w:sz w:val="32"/>
          <w:szCs w:val="32"/>
        </w:rPr>
        <w:t>日</w:t>
      </w:r>
    </w:p>
    <w:p>
      <w:pPr>
        <w:pStyle w:val="15"/>
        <w:rPr>
          <w:rFonts w:hint="eastAsia"/>
        </w:rPr>
      </w:pPr>
    </w:p>
    <w:p>
      <w:pPr>
        <w:rPr>
          <w:rFonts w:hint="eastAsia"/>
        </w:rPr>
      </w:pPr>
    </w:p>
    <w:p>
      <w:pPr>
        <w:keepNext w:val="0"/>
        <w:keepLines w:val="0"/>
        <w:pageBreakBefore w:val="0"/>
        <w:kinsoku/>
        <w:wordWrap/>
        <w:overflowPunct/>
        <w:topLinePunct w:val="0"/>
        <w:autoSpaceDE/>
        <w:autoSpaceDN/>
        <w:bidi w:val="0"/>
        <w:snapToGrid w:val="0"/>
        <w:spacing w:line="520" w:lineRule="exact"/>
        <w:ind w:right="105" w:rightChars="50"/>
        <w:textAlignment w:val="auto"/>
        <w:rPr>
          <w:b/>
          <w:sz w:val="36"/>
          <w:szCs w:val="36"/>
        </w:rPr>
      </w:pPr>
      <w:r>
        <w:rPr>
          <w:rFonts w:ascii="方正仿宋_GBK" w:hAnsi="宋体" w:eastAsia="方正仿宋_GBK"/>
          <w:sz w:val="32"/>
          <w:szCs w:val="32"/>
        </w:rPr>
        <w:pict>
          <v:line id="直线 3" o:spid="_x0000_s1026" o:spt="20" style="position:absolute;left:0pt;margin-left:-1.5pt;margin-top:1.85pt;height:0pt;width:441pt;z-index:251660288;mso-width-relative:page;mso-height-relative:page;" coordsize="21600,21600" o:gfxdata="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&#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u8SybTAAAABgEAAA8AAAAAAAAAAQAgAAAAIgAAAGRy&#10;cy9kb3ducmV2LnhtbFBLAQIUABQAAAAIAIdO4kD1kDUs0QEAAJsDAAAOAAAAAAAAAAEAIAAAACIB&#10;AABkcnMvZTJvRG9jLnhtbFBLBQYAAAAABgAGAFkBAABlBQAAAAA=&#10;">
            <v:path arrowok="t"/>
            <v:fill focussize="0,0"/>
            <v:stroke/>
            <v:imagedata o:title=""/>
            <o:lock v:ext="edit"/>
          </v:line>
        </w:pict>
      </w:r>
      <w:r>
        <w:rPr>
          <w:rFonts w:ascii="方正仿宋_GBK" w:hAnsi="宋体" w:eastAsia="方正仿宋_GBK"/>
          <w:bCs/>
          <w:sz w:val="32"/>
          <w:szCs w:val="32"/>
        </w:rPr>
        <w:pict>
          <v:line id="直线 2" o:spid="_x0000_s1027" o:spt="20" style="position:absolute;left:0pt;margin-left:-1.5pt;margin-top:30.15pt;height:0pt;width:441pt;z-index:251660288;mso-width-relative:page;mso-height-relative:page;" coordsize="21600,21600" o:gfxdata="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&#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PteQDTAAAABgEAAA8AAAAAAAAAAQAgAAAAIgAAAGRy&#10;cy9kb3ducmV2LnhtbFBLAQIUABQAAAAIAIdO4kCU0I4e0QEAAJsDAAAOAAAAAAAAAAEAIAAAACIB&#10;AABkcnMvZTJvRG9jLnhtbFBLBQYAAAAABgAGAFkBAABlBQAAAAA=&#10;">
            <v:path arrowok="t"/>
            <v:fill focussize="0,0"/>
            <v:stroke/>
            <v:imagedata o:title=""/>
            <o:lock v:ext="edit"/>
          </v:line>
        </w:pict>
      </w:r>
      <w:r>
        <w:rPr>
          <w:rFonts w:ascii="方正仿宋_GBK" w:hAnsi="宋体" w:eastAsia="方正仿宋_GBK"/>
          <w:bCs/>
          <w:sz w:val="32"/>
          <w:szCs w:val="32"/>
        </w:rPr>
        <w:pict>
          <v:line id="_x0000_s1028" o:spid="_x0000_s1028" o:spt="20" style="position:absolute;left:0pt;flip:x;margin-left:540pt;margin-top:11pt;height:7.8pt;width:18pt;z-index:251659264;mso-width-relative:page;mso-height-relative:page;" coordsize="21600,21600" o:gfxdata="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EoD1TXAAAACwEAAA8AAAAA&#10;AAAAAQAgAAAAIgAAAGRycy9kb3ducmV2LnhtbFBLAQIUABQAAAAIAIdO4kCkpjJL3AEAAKgDAAAO&#10;AAAAAAAAAAEAIAAAACYBAABkcnMvZTJvRG9jLnhtbFBLBQYAAAAABgAGAFkBAAB0BQAAAAA=&#10;">
            <v:path arrowok="t"/>
            <v:fill focussize="0,0"/>
            <v:stroke/>
            <v:imagedata o:title=""/>
            <o:lock v:ext="edit"/>
          </v:line>
        </w:pict>
      </w:r>
      <w:r>
        <w:rPr>
          <w:rFonts w:hint="eastAsia" w:ascii="方正仿宋_GBK" w:hAnsi="宋体" w:eastAsia="方正仿宋_GBK"/>
          <w:bCs/>
          <w:sz w:val="32"/>
          <w:szCs w:val="32"/>
        </w:rPr>
        <w:t>抄送：区</w:t>
      </w:r>
      <w:r>
        <w:rPr>
          <w:rFonts w:hint="eastAsia" w:ascii="方正仿宋_GBK" w:hAnsi="宋体" w:eastAsia="方正仿宋_GBK"/>
          <w:bCs/>
          <w:sz w:val="32"/>
          <w:szCs w:val="32"/>
          <w:lang w:eastAsia="zh-CN"/>
        </w:rPr>
        <w:t>生态</w:t>
      </w:r>
      <w:r>
        <w:rPr>
          <w:rFonts w:hint="eastAsia" w:ascii="方正仿宋_GBK" w:hAnsi="宋体" w:eastAsia="方正仿宋_GBK"/>
          <w:bCs/>
          <w:sz w:val="32"/>
          <w:szCs w:val="32"/>
        </w:rPr>
        <w:t>环境</w:t>
      </w:r>
      <w:r>
        <w:rPr>
          <w:rFonts w:hint="eastAsia" w:ascii="方正仿宋_GBK" w:hAnsi="宋体" w:eastAsia="方正仿宋_GBK"/>
          <w:bCs/>
          <w:sz w:val="32"/>
          <w:szCs w:val="32"/>
          <w:lang w:eastAsia="zh-CN"/>
        </w:rPr>
        <w:t>保护综合</w:t>
      </w:r>
      <w:r>
        <w:rPr>
          <w:rFonts w:hint="eastAsia" w:ascii="方正仿宋_GBK" w:hAnsi="宋体" w:eastAsia="方正仿宋_GBK"/>
          <w:bCs/>
          <w:sz w:val="32"/>
          <w:szCs w:val="32"/>
        </w:rPr>
        <w:t>行政执法支队</w:t>
      </w:r>
      <w:r>
        <w:rPr>
          <w:rFonts w:hint="eastAsia" w:ascii="方正仿宋_GBK" w:hAnsi="宋体" w:eastAsia="方正仿宋_GBK"/>
          <w:bCs/>
          <w:sz w:val="32"/>
          <w:szCs w:val="32"/>
          <w:lang w:eastAsia="zh-CN"/>
        </w:rPr>
        <w:t>。</w:t>
      </w:r>
    </w:p>
    <w:p>
      <w:pPr>
        <w:ind w:firstLine="1265" w:firstLineChars="350"/>
        <w:rPr>
          <w:b/>
          <w:sz w:val="36"/>
          <w:szCs w:val="36"/>
        </w:rPr>
      </w:pPr>
      <w:r>
        <w:rPr>
          <w:rFonts w:hint="eastAsia"/>
          <w:b/>
          <w:sz w:val="36"/>
          <w:szCs w:val="36"/>
        </w:rPr>
        <w:t>重庆市建设项目环境影响评价文件审批表</w:t>
      </w:r>
    </w:p>
    <w:p>
      <w:pPr>
        <w:wordWrap w:val="0"/>
        <w:ind w:right="1718" w:rightChars="818"/>
        <w:jc w:val="right"/>
        <w:rPr>
          <w:rFonts w:hint="default" w:ascii="宋体" w:eastAsia="宋体"/>
          <w:bCs/>
          <w:sz w:val="24"/>
          <w:lang w:val="en-US" w:eastAsia="zh-CN"/>
        </w:rPr>
      </w:pPr>
      <w:r>
        <w:rPr>
          <w:rFonts w:hint="eastAsia" w:ascii="宋体"/>
          <w:bCs/>
          <w:sz w:val="24"/>
        </w:rPr>
        <w:t>编号：202</w:t>
      </w:r>
      <w:r>
        <w:rPr>
          <w:rFonts w:hint="eastAsia" w:ascii="宋体"/>
          <w:bCs/>
          <w:sz w:val="24"/>
          <w:lang w:val="en-US" w:eastAsia="zh-CN"/>
        </w:rPr>
        <w:t>4</w:t>
      </w:r>
      <w:r>
        <w:rPr>
          <w:rFonts w:hint="eastAsia" w:ascii="宋体"/>
          <w:bCs/>
          <w:color w:val="000000"/>
          <w:sz w:val="24"/>
        </w:rPr>
        <w:t>-</w:t>
      </w:r>
      <w:r>
        <w:rPr>
          <w:rFonts w:hint="eastAsia" w:ascii="宋体"/>
          <w:bCs/>
          <w:color w:val="000000"/>
          <w:sz w:val="24"/>
          <w:lang w:val="en-US" w:eastAsia="zh-CN"/>
        </w:rPr>
        <w:t>2</w:t>
      </w:r>
    </w:p>
    <w:tbl>
      <w:tblPr>
        <w:tblStyle w:val="19"/>
        <w:tblW w:w="96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8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trPr>
        <w:tc>
          <w:tcPr>
            <w:tcW w:w="1186" w:type="dxa"/>
            <w:vAlign w:val="center"/>
          </w:tcPr>
          <w:p>
            <w:pPr>
              <w:rPr>
                <w:rFonts w:ascii="楷体_GB2312" w:hAnsi="宋体" w:eastAsia="楷体_GB2312"/>
                <w:sz w:val="24"/>
              </w:rPr>
            </w:pPr>
            <w:r>
              <w:rPr>
                <w:rFonts w:hint="eastAsia" w:ascii="楷体_GB2312" w:hAnsi="宋体" w:eastAsia="楷体_GB2312"/>
                <w:sz w:val="24"/>
              </w:rPr>
              <w:t>建设单位</w:t>
            </w:r>
          </w:p>
        </w:tc>
        <w:tc>
          <w:tcPr>
            <w:tcW w:w="8462" w:type="dxa"/>
            <w:vAlign w:val="center"/>
          </w:tcPr>
          <w:p>
            <w:pPr>
              <w:rPr>
                <w:rFonts w:ascii="楷体_GB2312" w:hAnsi="宋体" w:eastAsia="楷体_GB2312"/>
                <w:sz w:val="24"/>
              </w:rPr>
            </w:pPr>
            <w:r>
              <w:rPr>
                <w:rFonts w:hint="eastAsia" w:ascii="方正仿宋_GBK" w:hAnsi="仿宋" w:eastAsia="方正仿宋_GBK"/>
                <w:kern w:val="2"/>
                <w:szCs w:val="32"/>
                <w:lang w:val="en-US" w:eastAsia="zh-CN"/>
              </w:rPr>
              <w:t>重庆市万州路桥建设有限公司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186" w:type="dxa"/>
            <w:vAlign w:val="center"/>
          </w:tcPr>
          <w:p>
            <w:pPr>
              <w:rPr>
                <w:rFonts w:ascii="楷体_GB2312" w:hAnsi="宋体" w:eastAsia="楷体_GB2312"/>
                <w:sz w:val="24"/>
              </w:rPr>
            </w:pPr>
            <w:r>
              <w:rPr>
                <w:rFonts w:hint="eastAsia" w:ascii="楷体_GB2312" w:hAnsi="宋体" w:eastAsia="楷体_GB2312"/>
                <w:sz w:val="24"/>
              </w:rPr>
              <w:t>项目名称</w:t>
            </w:r>
          </w:p>
        </w:tc>
        <w:tc>
          <w:tcPr>
            <w:tcW w:w="8462" w:type="dxa"/>
            <w:vAlign w:val="center"/>
          </w:tcPr>
          <w:p>
            <w:pPr>
              <w:rPr>
                <w:rFonts w:ascii="楷体_GB2312" w:hAnsi="宋体" w:eastAsia="楷体_GB2312"/>
                <w:sz w:val="24"/>
              </w:rPr>
            </w:pPr>
            <w:r>
              <w:rPr>
                <w:rFonts w:hint="eastAsia" w:ascii="方正仿宋_GBK" w:hAnsi="仿宋" w:eastAsia="方正仿宋_GBK"/>
                <w:kern w:val="2"/>
                <w:szCs w:val="32"/>
                <w:lang w:val="en-US" w:eastAsia="zh-CN"/>
              </w:rPr>
              <w:t>长岭沥青混凝土及水泥稳定碎石搅拌站建设项目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6" w:hRule="atLeast"/>
        </w:trPr>
        <w:tc>
          <w:tcPr>
            <w:tcW w:w="1186" w:type="dxa"/>
            <w:tcBorders>
              <w:bottom w:val="single" w:color="auto" w:sz="4" w:space="0"/>
            </w:tcBorders>
            <w:vAlign w:val="center"/>
          </w:tcPr>
          <w:p>
            <w:pPr>
              <w:jc w:val="center"/>
              <w:rPr>
                <w:rFonts w:ascii="楷体_GB2312" w:hAnsi="宋体" w:eastAsia="楷体_GB2312"/>
                <w:sz w:val="24"/>
              </w:rPr>
            </w:pPr>
            <w:r>
              <w:rPr>
                <w:rFonts w:hint="eastAsia" w:ascii="楷体_GB2312" w:hAnsi="宋体" w:eastAsia="楷体_GB2312"/>
                <w:sz w:val="24"/>
              </w:rPr>
              <w:t>对</w:t>
            </w:r>
          </w:p>
          <w:p>
            <w:pPr>
              <w:jc w:val="center"/>
              <w:rPr>
                <w:rFonts w:ascii="楷体_GB2312" w:hAnsi="宋体" w:eastAsia="楷体_GB2312"/>
                <w:sz w:val="24"/>
              </w:rPr>
            </w:pPr>
            <w:r>
              <w:rPr>
                <w:rFonts w:hint="eastAsia" w:ascii="楷体_GB2312" w:hAnsi="宋体" w:eastAsia="楷体_GB2312"/>
                <w:sz w:val="24"/>
              </w:rPr>
              <w:t>申</w:t>
            </w:r>
          </w:p>
          <w:p>
            <w:pPr>
              <w:jc w:val="center"/>
              <w:rPr>
                <w:rFonts w:ascii="楷体_GB2312" w:hAnsi="宋体" w:eastAsia="楷体_GB2312"/>
                <w:sz w:val="24"/>
              </w:rPr>
            </w:pPr>
            <w:r>
              <w:rPr>
                <w:rFonts w:hint="eastAsia" w:ascii="楷体_GB2312" w:hAnsi="宋体" w:eastAsia="楷体_GB2312"/>
                <w:sz w:val="24"/>
              </w:rPr>
              <w:t>请</w:t>
            </w:r>
          </w:p>
          <w:p>
            <w:pPr>
              <w:jc w:val="center"/>
              <w:rPr>
                <w:rFonts w:ascii="楷体_GB2312" w:hAnsi="宋体" w:eastAsia="楷体_GB2312"/>
                <w:sz w:val="24"/>
              </w:rPr>
            </w:pPr>
            <w:r>
              <w:rPr>
                <w:rFonts w:hint="eastAsia" w:ascii="楷体_GB2312" w:hAnsi="宋体" w:eastAsia="楷体_GB2312"/>
                <w:sz w:val="24"/>
              </w:rPr>
              <w:t>实</w:t>
            </w:r>
          </w:p>
          <w:p>
            <w:pPr>
              <w:jc w:val="center"/>
              <w:rPr>
                <w:rFonts w:ascii="楷体_GB2312" w:hAnsi="宋体" w:eastAsia="楷体_GB2312"/>
                <w:sz w:val="24"/>
              </w:rPr>
            </w:pPr>
            <w:r>
              <w:rPr>
                <w:rFonts w:hint="eastAsia" w:ascii="楷体_GB2312" w:hAnsi="宋体" w:eastAsia="楷体_GB2312"/>
                <w:sz w:val="24"/>
              </w:rPr>
              <w:t>质</w:t>
            </w:r>
          </w:p>
          <w:p>
            <w:pPr>
              <w:jc w:val="center"/>
              <w:rPr>
                <w:rFonts w:ascii="楷体_GB2312" w:hAnsi="宋体" w:eastAsia="楷体_GB2312"/>
                <w:sz w:val="24"/>
              </w:rPr>
            </w:pPr>
            <w:r>
              <w:rPr>
                <w:rFonts w:hint="eastAsia" w:ascii="楷体_GB2312" w:hAnsi="宋体" w:eastAsia="楷体_GB2312"/>
                <w:sz w:val="24"/>
              </w:rPr>
              <w:t>审</w:t>
            </w:r>
          </w:p>
          <w:p>
            <w:pPr>
              <w:jc w:val="center"/>
              <w:rPr>
                <w:rFonts w:ascii="楷体_GB2312" w:hAnsi="宋体" w:eastAsia="楷体_GB2312"/>
                <w:sz w:val="24"/>
              </w:rPr>
            </w:pPr>
            <w:r>
              <w:rPr>
                <w:rFonts w:hint="eastAsia" w:ascii="楷体_GB2312" w:hAnsi="宋体" w:eastAsia="楷体_GB2312"/>
                <w:sz w:val="24"/>
              </w:rPr>
              <w:t>查</w:t>
            </w:r>
          </w:p>
          <w:p>
            <w:pPr>
              <w:jc w:val="center"/>
              <w:rPr>
                <w:rFonts w:ascii="楷体_GB2312" w:hAnsi="宋体" w:eastAsia="楷体_GB2312"/>
                <w:sz w:val="24"/>
              </w:rPr>
            </w:pPr>
            <w:r>
              <w:rPr>
                <w:rFonts w:hint="eastAsia" w:ascii="楷体_GB2312" w:hAnsi="宋体" w:eastAsia="楷体_GB2312"/>
                <w:sz w:val="24"/>
              </w:rPr>
              <w:t>情</w:t>
            </w:r>
          </w:p>
          <w:p>
            <w:pPr>
              <w:jc w:val="center"/>
              <w:rPr>
                <w:rFonts w:ascii="楷体_GB2312" w:hAnsi="宋体" w:eastAsia="楷体_GB2312"/>
                <w:sz w:val="24"/>
              </w:rPr>
            </w:pPr>
            <w:r>
              <w:rPr>
                <w:rFonts w:hint="eastAsia" w:ascii="楷体_GB2312" w:hAnsi="宋体" w:eastAsia="楷体_GB2312"/>
                <w:sz w:val="24"/>
              </w:rPr>
              <w:t>况</w:t>
            </w:r>
          </w:p>
        </w:tc>
        <w:tc>
          <w:tcPr>
            <w:tcW w:w="8462" w:type="dxa"/>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楷体_GB2312" w:hAnsi="宋体" w:eastAsia="楷体_GB2312"/>
                <w:sz w:val="24"/>
              </w:rPr>
            </w:pPr>
            <w:r>
              <w:rPr>
                <w:rFonts w:hint="eastAsia" w:ascii="楷体_GB2312" w:hAnsi="宋体" w:eastAsia="楷体_GB2312"/>
                <w:sz w:val="24"/>
              </w:rPr>
              <w:t>1、产业政策的符合性：符合</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楷体_GB2312" w:hAnsi="宋体" w:eastAsia="楷体_GB2312"/>
                <w:sz w:val="24"/>
              </w:rPr>
            </w:pPr>
            <w:r>
              <w:rPr>
                <w:rFonts w:hint="eastAsia" w:ascii="楷体_GB2312" w:hAnsi="宋体" w:eastAsia="楷体_GB2312"/>
                <w:sz w:val="24"/>
              </w:rPr>
              <w:t>2、规划的符合性：</w:t>
            </w:r>
            <w:r>
              <w:rPr>
                <w:rFonts w:hint="eastAsia" w:ascii="楷体_GB2312" w:hAnsi="宋体" w:eastAsia="楷体_GB2312"/>
                <w:bCs/>
                <w:sz w:val="24"/>
              </w:rPr>
              <w:t>符合</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楷体_GB2312" w:hAnsi="宋体" w:eastAsia="楷体_GB2312"/>
                <w:sz w:val="24"/>
              </w:rPr>
            </w:pPr>
            <w:r>
              <w:rPr>
                <w:rFonts w:hint="eastAsia" w:ascii="楷体_GB2312" w:hAnsi="宋体" w:eastAsia="楷体_GB2312"/>
                <w:sz w:val="24"/>
              </w:rPr>
              <w:t>3、功能区环境质量的符合性：基本符合</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楷体_GB2312" w:hAnsi="宋体" w:eastAsia="楷体_GB2312"/>
                <w:sz w:val="24"/>
              </w:rPr>
            </w:pPr>
            <w:r>
              <w:rPr>
                <w:rFonts w:hint="eastAsia" w:ascii="楷体_GB2312" w:hAnsi="宋体" w:eastAsia="楷体_GB2312"/>
                <w:sz w:val="24"/>
              </w:rPr>
              <w:t>4、清洁生产水平的符合性：符合</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楷体_GB2312" w:hAnsi="宋体" w:eastAsia="楷体_GB2312"/>
                <w:sz w:val="24"/>
              </w:rPr>
            </w:pPr>
            <w:r>
              <w:rPr>
                <w:rFonts w:hint="eastAsia" w:ascii="楷体_GB2312" w:hAnsi="宋体" w:eastAsia="楷体_GB2312"/>
                <w:sz w:val="24"/>
              </w:rPr>
              <w:t>5、污染物达标排放的符合性：符合</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楷体_GB2312" w:hAnsi="宋体" w:eastAsia="楷体_GB2312"/>
                <w:sz w:val="24"/>
              </w:rPr>
            </w:pPr>
            <w:r>
              <w:rPr>
                <w:rFonts w:hint="eastAsia" w:ascii="楷体_GB2312" w:hAnsi="宋体" w:eastAsia="楷体_GB2312"/>
                <w:sz w:val="24"/>
              </w:rPr>
              <w:t>6、污染物总量控制指标的符合性：符合</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楷体_GB2312" w:hAnsi="宋体" w:eastAsia="楷体_GB2312"/>
                <w:sz w:val="24"/>
                <w:lang w:eastAsia="zh-CN"/>
              </w:rPr>
            </w:pPr>
            <w:r>
              <w:rPr>
                <w:rFonts w:hint="eastAsia" w:ascii="楷体_GB2312" w:hAnsi="宋体" w:eastAsia="楷体_GB2312"/>
                <w:sz w:val="24"/>
              </w:rPr>
              <w:t>7、环境敏感目标：</w:t>
            </w:r>
            <w:r>
              <w:rPr>
                <w:rFonts w:hint="eastAsia" w:ascii="楷体_GB2312" w:hAnsi="宋体" w:eastAsia="楷体_GB2312"/>
                <w:sz w:val="24"/>
                <w:lang w:eastAsia="zh-CN"/>
              </w:rPr>
              <w:t>周边居民</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楷体_GB2312" w:hAnsi="宋体" w:eastAsia="楷体_GB2312"/>
                <w:sz w:val="24"/>
              </w:rPr>
            </w:pPr>
            <w:r>
              <w:rPr>
                <w:rFonts w:hint="eastAsia" w:ascii="楷体_GB2312" w:hAnsi="宋体" w:eastAsia="楷体_GB2312"/>
                <w:sz w:val="24"/>
              </w:rPr>
              <w:t>8、环境风险评价情况：有</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楷体_GB2312" w:hAnsi="宋体" w:eastAsia="楷体_GB2312"/>
                <w:sz w:val="24"/>
              </w:rPr>
            </w:pPr>
            <w:r>
              <w:rPr>
                <w:rFonts w:hint="eastAsia" w:ascii="楷体_GB2312" w:hAnsi="宋体" w:eastAsia="楷体_GB2312"/>
                <w:sz w:val="24"/>
              </w:rPr>
              <w:t>9、其它：(蓝天行动、环境准入政策的符合性)符合</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楷体_GB2312" w:hAnsi="宋体" w:eastAsia="楷体_GB2312"/>
                <w:sz w:val="24"/>
              </w:rPr>
            </w:pPr>
            <w:r>
              <w:rPr>
                <w:rFonts w:hint="eastAsia" w:ascii="楷体_GB2312" w:hAnsi="宋体" w:eastAsia="楷体_GB2312"/>
                <w:sz w:val="24"/>
              </w:rPr>
              <w:t>10、污染物排放标准及总量指标见附件</w:t>
            </w:r>
          </w:p>
          <w:p>
            <w:pPr>
              <w:ind w:firstLine="1800" w:firstLineChars="750"/>
              <w:rPr>
                <w:rFonts w:ascii="楷体_GB2312"/>
                <w:sz w:val="24"/>
              </w:rPr>
            </w:pPr>
          </w:p>
          <w:p>
            <w:pPr>
              <w:ind w:firstLine="2880" w:firstLineChars="1200"/>
              <w:rPr>
                <w:rFonts w:ascii="楷体_GB2312" w:hAnsi="宋体" w:eastAsia="楷体_GB2312"/>
                <w:sz w:val="24"/>
              </w:rPr>
            </w:pPr>
          </w:p>
          <w:p>
            <w:pPr>
              <w:ind w:firstLine="2880" w:firstLineChars="1200"/>
              <w:rPr>
                <w:rFonts w:ascii="楷体_GB2312" w:hAnsi="宋体" w:eastAsia="楷体_GB2312"/>
                <w:sz w:val="24"/>
              </w:rPr>
            </w:pPr>
          </w:p>
          <w:p>
            <w:pPr>
              <w:ind w:firstLine="2880" w:firstLineChars="1200"/>
              <w:rPr>
                <w:rFonts w:ascii="楷体_GB2312" w:hAnsi="宋体" w:eastAsia="楷体_GB2312"/>
                <w:bCs/>
                <w:sz w:val="24"/>
              </w:rPr>
            </w:pPr>
            <w:r>
              <w:rPr>
                <w:rFonts w:hint="eastAsia" w:ascii="楷体_GB2312" w:hAnsi="宋体" w:eastAsia="楷体_GB2312"/>
                <w:sz w:val="24"/>
              </w:rPr>
              <w:t>经办人：</w:t>
            </w:r>
            <w:r>
              <w:rPr>
                <w:rFonts w:hint="eastAsia" w:ascii="楷体_GB2312" w:hAnsi="宋体" w:eastAsia="楷体_GB2312"/>
                <w:bCs/>
                <w:sz w:val="24"/>
              </w:rPr>
              <w:t xml:space="preserve">　　　　　　　       </w:t>
            </w:r>
            <w:r>
              <w:rPr>
                <w:rFonts w:hint="eastAsia" w:ascii="楷体_GB2312" w:hAnsi="宋体" w:eastAsia="楷体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7" w:hRule="atLeast"/>
        </w:trPr>
        <w:tc>
          <w:tcPr>
            <w:tcW w:w="9648" w:type="dxa"/>
            <w:gridSpan w:val="2"/>
            <w:tcBorders>
              <w:bottom w:val="single" w:color="auto" w:sz="4" w:space="0"/>
            </w:tcBorders>
            <w:vAlign w:val="center"/>
          </w:tcPr>
          <w:p>
            <w:pPr>
              <w:rPr>
                <w:rFonts w:hint="eastAsia" w:ascii="楷体_GB2312" w:hAnsi="宋体" w:eastAsia="楷体_GB2312"/>
                <w:sz w:val="24"/>
                <w:lang w:eastAsia="zh-CN"/>
              </w:rPr>
            </w:pPr>
          </w:p>
          <w:p>
            <w:pPr>
              <w:rPr>
                <w:rFonts w:ascii="楷体_GB2312" w:hAnsi="宋体" w:eastAsia="楷体_GB2312"/>
                <w:sz w:val="24"/>
              </w:rPr>
            </w:pPr>
            <w:r>
              <w:rPr>
                <w:rFonts w:hint="eastAsia" w:ascii="楷体_GB2312" w:hAnsi="宋体" w:eastAsia="楷体_GB2312"/>
                <w:sz w:val="24"/>
                <w:lang w:eastAsia="zh-CN"/>
              </w:rPr>
              <w:t>环境影响评价</w:t>
            </w:r>
            <w:r>
              <w:rPr>
                <w:rFonts w:hint="eastAsia" w:ascii="楷体_GB2312" w:hAnsi="宋体" w:eastAsia="楷体_GB2312"/>
                <w:sz w:val="24"/>
              </w:rPr>
              <w:t>科审核意见：</w:t>
            </w:r>
          </w:p>
          <w:p>
            <w:pPr>
              <w:pStyle w:val="14"/>
            </w:pPr>
          </w:p>
          <w:p>
            <w:pPr>
              <w:pStyle w:val="15"/>
            </w:pPr>
          </w:p>
          <w:p>
            <w:pPr>
              <w:ind w:firstLine="4060" w:firstLineChars="1692"/>
              <w:rPr>
                <w:rFonts w:ascii="楷体_GB2312" w:hAnsi="宋体" w:eastAsia="楷体_GB2312"/>
                <w:sz w:val="24"/>
              </w:rPr>
            </w:pPr>
            <w:r>
              <w:rPr>
                <w:rFonts w:hint="eastAsia" w:ascii="楷体_GB2312" w:hAnsi="宋体" w:eastAsia="楷体_GB2312"/>
                <w:sz w:val="24"/>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7" w:hRule="atLeast"/>
        </w:trPr>
        <w:tc>
          <w:tcPr>
            <w:tcW w:w="9648" w:type="dxa"/>
            <w:gridSpan w:val="2"/>
            <w:vAlign w:val="center"/>
          </w:tcPr>
          <w:p>
            <w:pPr>
              <w:rPr>
                <w:rFonts w:ascii="楷体_GB2312" w:hAnsi="宋体" w:eastAsia="楷体_GB2312"/>
                <w:sz w:val="24"/>
              </w:rPr>
            </w:pPr>
            <w:r>
              <w:rPr>
                <w:rFonts w:hint="eastAsia" w:ascii="楷体_GB2312" w:hAnsi="宋体" w:eastAsia="楷体_GB2312"/>
                <w:sz w:val="24"/>
              </w:rPr>
              <w:t>相关科室会签意见：</w:t>
            </w:r>
          </w:p>
          <w:p>
            <w:pPr>
              <w:rPr>
                <w:rFonts w:ascii="楷体_GB2312" w:hAnsi="宋体" w:eastAsia="楷体_GB2312"/>
                <w:bCs/>
                <w:sz w:val="24"/>
              </w:rPr>
            </w:pPr>
          </w:p>
          <w:p>
            <w:pPr>
              <w:ind w:firstLine="4055" w:firstLineChars="1690"/>
              <w:rPr>
                <w:rFonts w:ascii="楷体_GB2312" w:hAnsi="宋体" w:eastAsia="楷体_GB2312"/>
                <w:sz w:val="24"/>
              </w:rPr>
            </w:pPr>
            <w:r>
              <w:rPr>
                <w:rFonts w:hint="eastAsia" w:ascii="楷体_GB2312" w:hAnsi="宋体" w:eastAsia="楷体_GB2312"/>
                <w:sz w:val="24"/>
              </w:rPr>
              <w:t>会签人：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7" w:hRule="atLeast"/>
        </w:trPr>
        <w:tc>
          <w:tcPr>
            <w:tcW w:w="9648" w:type="dxa"/>
            <w:gridSpan w:val="2"/>
            <w:vAlign w:val="center"/>
          </w:tcPr>
          <w:p>
            <w:pPr>
              <w:rPr>
                <w:rFonts w:ascii="楷体_GB2312" w:hAnsi="宋体" w:eastAsia="楷体_GB2312"/>
                <w:sz w:val="24"/>
              </w:rPr>
            </w:pPr>
            <w:r>
              <w:rPr>
                <w:rFonts w:hint="eastAsia" w:ascii="楷体_GB2312" w:hAnsi="宋体" w:eastAsia="楷体_GB2312"/>
                <w:sz w:val="24"/>
              </w:rPr>
              <w:t>局领导审批意见：</w:t>
            </w:r>
          </w:p>
          <w:p>
            <w:pPr>
              <w:rPr>
                <w:rFonts w:ascii="楷体_GB2312" w:hAnsi="宋体" w:eastAsia="楷体_GB2312"/>
                <w:bCs/>
                <w:sz w:val="24"/>
              </w:rPr>
            </w:pPr>
            <w:r>
              <w:rPr>
                <w:rFonts w:hint="eastAsia" w:ascii="楷体_GB2312" w:hAnsi="宋体" w:eastAsia="楷体_GB2312"/>
                <w:bCs/>
                <w:sz w:val="24"/>
              </w:rPr>
              <w:t>　　　　　　　　　　　　　　　　　</w:t>
            </w:r>
          </w:p>
          <w:p>
            <w:pPr>
              <w:ind w:firstLine="4080" w:firstLineChars="1700"/>
              <w:rPr>
                <w:rFonts w:ascii="楷体_GB2312" w:hAnsi="宋体" w:eastAsia="楷体_GB2312"/>
                <w:sz w:val="24"/>
              </w:rPr>
            </w:pPr>
            <w:r>
              <w:rPr>
                <w:rFonts w:hint="eastAsia" w:ascii="楷体_GB2312" w:hAnsi="宋体" w:eastAsia="楷体_GB2312"/>
                <w:sz w:val="24"/>
              </w:rPr>
              <w:t>审批人：　　　　　　  　     年　　月　　日</w:t>
            </w:r>
          </w:p>
        </w:tc>
      </w:tr>
    </w:tbl>
    <w:p>
      <w:pPr>
        <w:spacing w:line="400" w:lineRule="exact"/>
        <w:rPr>
          <w:rFonts w:ascii="楷体_GB2312" w:hAnsi="宋体" w:eastAsia="楷体_GB2312"/>
          <w:sz w:val="24"/>
        </w:rPr>
      </w:pPr>
      <w:r>
        <w:rPr>
          <w:rFonts w:hint="eastAsia" w:ascii="楷体_GB2312" w:eastAsia="楷体_GB2312"/>
          <w:bCs/>
          <w:sz w:val="24"/>
        </w:rPr>
        <w:t>注：</w:t>
      </w:r>
      <w:r>
        <w:rPr>
          <w:rFonts w:hint="eastAsia" w:ascii="楷体_GB2312" w:hAnsi="宋体" w:eastAsia="楷体_GB2312"/>
          <w:sz w:val="24"/>
        </w:rPr>
        <w:t>本表附件为重庆市建设项目环境保护批准书(存根)渝(万)环准［202</w:t>
      </w:r>
      <w:r>
        <w:rPr>
          <w:rFonts w:hint="eastAsia" w:ascii="楷体_GB2312" w:hAnsi="宋体" w:eastAsia="楷体_GB2312"/>
          <w:sz w:val="24"/>
          <w:lang w:val="en-US" w:eastAsia="zh-CN"/>
        </w:rPr>
        <w:t>4</w:t>
      </w:r>
      <w:r>
        <w:rPr>
          <w:rFonts w:hint="eastAsia" w:ascii="楷体_GB2312" w:hAnsi="宋体" w:eastAsia="楷体_GB2312"/>
          <w:sz w:val="24"/>
        </w:rPr>
        <w:t>］</w:t>
      </w:r>
      <w:r>
        <w:rPr>
          <w:rFonts w:hint="eastAsia" w:ascii="楷体_GB2312" w:hAnsi="宋体" w:eastAsia="楷体_GB2312"/>
          <w:sz w:val="24"/>
          <w:lang w:val="en-US" w:eastAsia="zh-CN"/>
        </w:rPr>
        <w:t>2</w:t>
      </w:r>
      <w:r>
        <w:rPr>
          <w:rFonts w:hint="eastAsia" w:ascii="楷体_GB2312" w:hAnsi="宋体" w:eastAsia="楷体_GB2312"/>
          <w:sz w:val="24"/>
        </w:rPr>
        <w:t>号</w:t>
      </w:r>
    </w:p>
    <w:sectPr>
      <w:headerReference r:id="rId3" w:type="default"/>
      <w:pgSz w:w="11906" w:h="16838"/>
      <w:pgMar w:top="1588" w:right="1474" w:bottom="147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1"/>
  <w:bordersDoNotSurroundFooter w:val="1"/>
  <w:documentProtection w:enforcement="0"/>
  <w:defaultTabStop w:val="425"/>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2"/>
  </w:compat>
  <w:docVars>
    <w:docVar w:name="commondata" w:val="eyJoZGlkIjoiNGJjODdkYmQwMWZkNjg0ZTc5Yzk0MjI1NmZlYWViNDcifQ=="/>
  </w:docVars>
  <w:rsids>
    <w:rsidRoot w:val="00172A27"/>
    <w:rsid w:val="000070A9"/>
    <w:rsid w:val="00011C6D"/>
    <w:rsid w:val="00013B84"/>
    <w:rsid w:val="0001524B"/>
    <w:rsid w:val="00016572"/>
    <w:rsid w:val="00025C8B"/>
    <w:rsid w:val="00026B00"/>
    <w:rsid w:val="0003135D"/>
    <w:rsid w:val="00032E31"/>
    <w:rsid w:val="00035E06"/>
    <w:rsid w:val="00042186"/>
    <w:rsid w:val="00047449"/>
    <w:rsid w:val="0005168B"/>
    <w:rsid w:val="00054AB3"/>
    <w:rsid w:val="00055B23"/>
    <w:rsid w:val="00057589"/>
    <w:rsid w:val="00062EA8"/>
    <w:rsid w:val="000708CD"/>
    <w:rsid w:val="00075DF5"/>
    <w:rsid w:val="00076025"/>
    <w:rsid w:val="0007705A"/>
    <w:rsid w:val="000847AC"/>
    <w:rsid w:val="00087EDE"/>
    <w:rsid w:val="00093C2F"/>
    <w:rsid w:val="00093D19"/>
    <w:rsid w:val="00095348"/>
    <w:rsid w:val="00096998"/>
    <w:rsid w:val="000A2ED6"/>
    <w:rsid w:val="000A4B70"/>
    <w:rsid w:val="000A604A"/>
    <w:rsid w:val="000A7DE1"/>
    <w:rsid w:val="000C2083"/>
    <w:rsid w:val="000C72AB"/>
    <w:rsid w:val="000D024C"/>
    <w:rsid w:val="000D2D5F"/>
    <w:rsid w:val="000E0C45"/>
    <w:rsid w:val="000E336B"/>
    <w:rsid w:val="000E55D9"/>
    <w:rsid w:val="000F0022"/>
    <w:rsid w:val="000F1CD1"/>
    <w:rsid w:val="000F3F52"/>
    <w:rsid w:val="000F59E7"/>
    <w:rsid w:val="00100349"/>
    <w:rsid w:val="00100764"/>
    <w:rsid w:val="001039CE"/>
    <w:rsid w:val="001130AD"/>
    <w:rsid w:val="00117C95"/>
    <w:rsid w:val="001209CC"/>
    <w:rsid w:val="00121B32"/>
    <w:rsid w:val="00123412"/>
    <w:rsid w:val="0012591C"/>
    <w:rsid w:val="001271D6"/>
    <w:rsid w:val="00127BBD"/>
    <w:rsid w:val="001323B3"/>
    <w:rsid w:val="00133D85"/>
    <w:rsid w:val="00133E96"/>
    <w:rsid w:val="00136865"/>
    <w:rsid w:val="00137F9D"/>
    <w:rsid w:val="001430E2"/>
    <w:rsid w:val="001516E4"/>
    <w:rsid w:val="00157406"/>
    <w:rsid w:val="00162B72"/>
    <w:rsid w:val="00163203"/>
    <w:rsid w:val="00172466"/>
    <w:rsid w:val="00172A27"/>
    <w:rsid w:val="001731EE"/>
    <w:rsid w:val="00175201"/>
    <w:rsid w:val="00176A6C"/>
    <w:rsid w:val="00176C6B"/>
    <w:rsid w:val="00177694"/>
    <w:rsid w:val="001810E3"/>
    <w:rsid w:val="001812E1"/>
    <w:rsid w:val="001820B9"/>
    <w:rsid w:val="00183869"/>
    <w:rsid w:val="001926A0"/>
    <w:rsid w:val="00196A5D"/>
    <w:rsid w:val="001A3678"/>
    <w:rsid w:val="001A537B"/>
    <w:rsid w:val="001A573F"/>
    <w:rsid w:val="001A6ADE"/>
    <w:rsid w:val="001A7780"/>
    <w:rsid w:val="001B0D8F"/>
    <w:rsid w:val="001B6601"/>
    <w:rsid w:val="001C0059"/>
    <w:rsid w:val="001C373D"/>
    <w:rsid w:val="001C3F64"/>
    <w:rsid w:val="001C4270"/>
    <w:rsid w:val="001D2044"/>
    <w:rsid w:val="001D426C"/>
    <w:rsid w:val="001D5338"/>
    <w:rsid w:val="001D5CEF"/>
    <w:rsid w:val="001D78CE"/>
    <w:rsid w:val="001E3EFA"/>
    <w:rsid w:val="001E7D34"/>
    <w:rsid w:val="001F203C"/>
    <w:rsid w:val="001F4381"/>
    <w:rsid w:val="001F5126"/>
    <w:rsid w:val="001F5B86"/>
    <w:rsid w:val="001F5F53"/>
    <w:rsid w:val="001F7C26"/>
    <w:rsid w:val="00202410"/>
    <w:rsid w:val="002054A8"/>
    <w:rsid w:val="00207E91"/>
    <w:rsid w:val="002116E2"/>
    <w:rsid w:val="00212560"/>
    <w:rsid w:val="00212D07"/>
    <w:rsid w:val="00222634"/>
    <w:rsid w:val="0022733B"/>
    <w:rsid w:val="00237A31"/>
    <w:rsid w:val="0024238B"/>
    <w:rsid w:val="00243336"/>
    <w:rsid w:val="00247945"/>
    <w:rsid w:val="00252B97"/>
    <w:rsid w:val="00260BC1"/>
    <w:rsid w:val="00261E37"/>
    <w:rsid w:val="002652F8"/>
    <w:rsid w:val="00265B4F"/>
    <w:rsid w:val="00273992"/>
    <w:rsid w:val="00274695"/>
    <w:rsid w:val="00276542"/>
    <w:rsid w:val="00280174"/>
    <w:rsid w:val="00285E45"/>
    <w:rsid w:val="0029013A"/>
    <w:rsid w:val="00291075"/>
    <w:rsid w:val="00291588"/>
    <w:rsid w:val="002931AC"/>
    <w:rsid w:val="00296CF3"/>
    <w:rsid w:val="002A0337"/>
    <w:rsid w:val="002A04EA"/>
    <w:rsid w:val="002A0ED9"/>
    <w:rsid w:val="002A320E"/>
    <w:rsid w:val="002A4528"/>
    <w:rsid w:val="002B04F9"/>
    <w:rsid w:val="002B57E9"/>
    <w:rsid w:val="002C6F33"/>
    <w:rsid w:val="002D20AF"/>
    <w:rsid w:val="002D5F41"/>
    <w:rsid w:val="002E5F8F"/>
    <w:rsid w:val="002E7FB1"/>
    <w:rsid w:val="002F18AA"/>
    <w:rsid w:val="002F3C2D"/>
    <w:rsid w:val="00305582"/>
    <w:rsid w:val="00307338"/>
    <w:rsid w:val="0031271A"/>
    <w:rsid w:val="00312F88"/>
    <w:rsid w:val="00324AF6"/>
    <w:rsid w:val="00326B2F"/>
    <w:rsid w:val="0033076D"/>
    <w:rsid w:val="00333E0C"/>
    <w:rsid w:val="003419A9"/>
    <w:rsid w:val="003421CF"/>
    <w:rsid w:val="00343265"/>
    <w:rsid w:val="00345391"/>
    <w:rsid w:val="00346DC4"/>
    <w:rsid w:val="00351C31"/>
    <w:rsid w:val="003530A3"/>
    <w:rsid w:val="00355FD4"/>
    <w:rsid w:val="00356CBC"/>
    <w:rsid w:val="003577BC"/>
    <w:rsid w:val="00361BE6"/>
    <w:rsid w:val="0036327F"/>
    <w:rsid w:val="00366B87"/>
    <w:rsid w:val="003755B2"/>
    <w:rsid w:val="00377C2F"/>
    <w:rsid w:val="00382123"/>
    <w:rsid w:val="00382B67"/>
    <w:rsid w:val="003908F5"/>
    <w:rsid w:val="00390E57"/>
    <w:rsid w:val="00395438"/>
    <w:rsid w:val="003A1291"/>
    <w:rsid w:val="003A2193"/>
    <w:rsid w:val="003A3398"/>
    <w:rsid w:val="003A7357"/>
    <w:rsid w:val="003A7868"/>
    <w:rsid w:val="003C1B7A"/>
    <w:rsid w:val="003C3337"/>
    <w:rsid w:val="003C6ABB"/>
    <w:rsid w:val="003C72FF"/>
    <w:rsid w:val="003E044F"/>
    <w:rsid w:val="003E2BFB"/>
    <w:rsid w:val="003E2C89"/>
    <w:rsid w:val="003E7BAB"/>
    <w:rsid w:val="003F29E1"/>
    <w:rsid w:val="003F3712"/>
    <w:rsid w:val="00400266"/>
    <w:rsid w:val="0040516A"/>
    <w:rsid w:val="00407762"/>
    <w:rsid w:val="004121DE"/>
    <w:rsid w:val="00421842"/>
    <w:rsid w:val="00423886"/>
    <w:rsid w:val="004263C8"/>
    <w:rsid w:val="004330D2"/>
    <w:rsid w:val="00436FC6"/>
    <w:rsid w:val="00437E6B"/>
    <w:rsid w:val="00441F7E"/>
    <w:rsid w:val="00443331"/>
    <w:rsid w:val="00447623"/>
    <w:rsid w:val="0045030C"/>
    <w:rsid w:val="00450679"/>
    <w:rsid w:val="00451A9E"/>
    <w:rsid w:val="004620D7"/>
    <w:rsid w:val="00462D78"/>
    <w:rsid w:val="00482A75"/>
    <w:rsid w:val="00485976"/>
    <w:rsid w:val="0048640E"/>
    <w:rsid w:val="004A139D"/>
    <w:rsid w:val="004A2E2B"/>
    <w:rsid w:val="004B01E6"/>
    <w:rsid w:val="004B419E"/>
    <w:rsid w:val="004B4E95"/>
    <w:rsid w:val="004B76B5"/>
    <w:rsid w:val="004C7398"/>
    <w:rsid w:val="004D3963"/>
    <w:rsid w:val="004D7EA8"/>
    <w:rsid w:val="004E05DD"/>
    <w:rsid w:val="004E55C9"/>
    <w:rsid w:val="004F43EA"/>
    <w:rsid w:val="004F705F"/>
    <w:rsid w:val="004F7FC9"/>
    <w:rsid w:val="00503D6E"/>
    <w:rsid w:val="00504086"/>
    <w:rsid w:val="00504B1B"/>
    <w:rsid w:val="00505A97"/>
    <w:rsid w:val="00506E45"/>
    <w:rsid w:val="00512AC6"/>
    <w:rsid w:val="0051318A"/>
    <w:rsid w:val="0051402E"/>
    <w:rsid w:val="00521ABA"/>
    <w:rsid w:val="00522E0D"/>
    <w:rsid w:val="00523E92"/>
    <w:rsid w:val="00524DEC"/>
    <w:rsid w:val="005311B5"/>
    <w:rsid w:val="00531434"/>
    <w:rsid w:val="00531D4C"/>
    <w:rsid w:val="005329D5"/>
    <w:rsid w:val="005347CA"/>
    <w:rsid w:val="005361F5"/>
    <w:rsid w:val="00536F49"/>
    <w:rsid w:val="00544068"/>
    <w:rsid w:val="00544C2E"/>
    <w:rsid w:val="00551D07"/>
    <w:rsid w:val="00554A22"/>
    <w:rsid w:val="005624BE"/>
    <w:rsid w:val="005650F0"/>
    <w:rsid w:val="00570ED7"/>
    <w:rsid w:val="005760EE"/>
    <w:rsid w:val="00576150"/>
    <w:rsid w:val="00580134"/>
    <w:rsid w:val="00582B72"/>
    <w:rsid w:val="0058442D"/>
    <w:rsid w:val="005917FA"/>
    <w:rsid w:val="005923BA"/>
    <w:rsid w:val="005957C1"/>
    <w:rsid w:val="00596097"/>
    <w:rsid w:val="005A2C2F"/>
    <w:rsid w:val="005C2AFB"/>
    <w:rsid w:val="005C4629"/>
    <w:rsid w:val="005C54FD"/>
    <w:rsid w:val="005C620F"/>
    <w:rsid w:val="005C62BA"/>
    <w:rsid w:val="005E2406"/>
    <w:rsid w:val="005E2907"/>
    <w:rsid w:val="005E43EE"/>
    <w:rsid w:val="005F0674"/>
    <w:rsid w:val="005F2738"/>
    <w:rsid w:val="00601988"/>
    <w:rsid w:val="00603815"/>
    <w:rsid w:val="0060648E"/>
    <w:rsid w:val="0061402A"/>
    <w:rsid w:val="006223EF"/>
    <w:rsid w:val="00624328"/>
    <w:rsid w:val="006268FB"/>
    <w:rsid w:val="006302F2"/>
    <w:rsid w:val="0063083E"/>
    <w:rsid w:val="00633000"/>
    <w:rsid w:val="00634C17"/>
    <w:rsid w:val="00636995"/>
    <w:rsid w:val="00636E24"/>
    <w:rsid w:val="006437E4"/>
    <w:rsid w:val="00644575"/>
    <w:rsid w:val="0064721A"/>
    <w:rsid w:val="00650AF3"/>
    <w:rsid w:val="00651E44"/>
    <w:rsid w:val="00652FA4"/>
    <w:rsid w:val="00653E58"/>
    <w:rsid w:val="0065541B"/>
    <w:rsid w:val="0066250C"/>
    <w:rsid w:val="00676331"/>
    <w:rsid w:val="00676B6B"/>
    <w:rsid w:val="006835E8"/>
    <w:rsid w:val="00683CC5"/>
    <w:rsid w:val="00684604"/>
    <w:rsid w:val="006852DB"/>
    <w:rsid w:val="00686C4D"/>
    <w:rsid w:val="00687031"/>
    <w:rsid w:val="00687322"/>
    <w:rsid w:val="00691202"/>
    <w:rsid w:val="00692124"/>
    <w:rsid w:val="006940AE"/>
    <w:rsid w:val="00694AFC"/>
    <w:rsid w:val="006A1B52"/>
    <w:rsid w:val="006B6EB7"/>
    <w:rsid w:val="006C60DB"/>
    <w:rsid w:val="006C69AD"/>
    <w:rsid w:val="006C6F30"/>
    <w:rsid w:val="006C75C1"/>
    <w:rsid w:val="006D175B"/>
    <w:rsid w:val="006D3562"/>
    <w:rsid w:val="006E5E7E"/>
    <w:rsid w:val="006E79DA"/>
    <w:rsid w:val="006F0C38"/>
    <w:rsid w:val="006F2BDE"/>
    <w:rsid w:val="006F3AC9"/>
    <w:rsid w:val="006F62FD"/>
    <w:rsid w:val="006F6B4F"/>
    <w:rsid w:val="007026C5"/>
    <w:rsid w:val="00704767"/>
    <w:rsid w:val="00706736"/>
    <w:rsid w:val="007114A6"/>
    <w:rsid w:val="007126E7"/>
    <w:rsid w:val="00716D31"/>
    <w:rsid w:val="00717C82"/>
    <w:rsid w:val="0072169A"/>
    <w:rsid w:val="00721A7F"/>
    <w:rsid w:val="00722262"/>
    <w:rsid w:val="00723360"/>
    <w:rsid w:val="00723700"/>
    <w:rsid w:val="007301A1"/>
    <w:rsid w:val="00731E82"/>
    <w:rsid w:val="0073375C"/>
    <w:rsid w:val="00735E9E"/>
    <w:rsid w:val="00740DCF"/>
    <w:rsid w:val="00743275"/>
    <w:rsid w:val="00743854"/>
    <w:rsid w:val="007442FA"/>
    <w:rsid w:val="00757AD9"/>
    <w:rsid w:val="00760746"/>
    <w:rsid w:val="007610A2"/>
    <w:rsid w:val="0076355C"/>
    <w:rsid w:val="00763949"/>
    <w:rsid w:val="00763E3C"/>
    <w:rsid w:val="007641B9"/>
    <w:rsid w:val="00767A52"/>
    <w:rsid w:val="007767CF"/>
    <w:rsid w:val="0077697F"/>
    <w:rsid w:val="0078502F"/>
    <w:rsid w:val="0079138E"/>
    <w:rsid w:val="00793586"/>
    <w:rsid w:val="00796A6D"/>
    <w:rsid w:val="00796C8A"/>
    <w:rsid w:val="00797582"/>
    <w:rsid w:val="007A212F"/>
    <w:rsid w:val="007A2A59"/>
    <w:rsid w:val="007B0F5E"/>
    <w:rsid w:val="007C2202"/>
    <w:rsid w:val="007C3C0A"/>
    <w:rsid w:val="007E132B"/>
    <w:rsid w:val="007E192D"/>
    <w:rsid w:val="007E1DC5"/>
    <w:rsid w:val="007F0305"/>
    <w:rsid w:val="007F0442"/>
    <w:rsid w:val="0080181D"/>
    <w:rsid w:val="00801904"/>
    <w:rsid w:val="00803114"/>
    <w:rsid w:val="0080757A"/>
    <w:rsid w:val="00811EF6"/>
    <w:rsid w:val="00812F21"/>
    <w:rsid w:val="0081531C"/>
    <w:rsid w:val="00820EE7"/>
    <w:rsid w:val="008222E1"/>
    <w:rsid w:val="00823CB4"/>
    <w:rsid w:val="008263B7"/>
    <w:rsid w:val="008331B6"/>
    <w:rsid w:val="00833FC7"/>
    <w:rsid w:val="008418AF"/>
    <w:rsid w:val="00844066"/>
    <w:rsid w:val="0085049C"/>
    <w:rsid w:val="00850641"/>
    <w:rsid w:val="0085324E"/>
    <w:rsid w:val="0085365E"/>
    <w:rsid w:val="008542CC"/>
    <w:rsid w:val="00854913"/>
    <w:rsid w:val="00860225"/>
    <w:rsid w:val="008602F4"/>
    <w:rsid w:val="00860E06"/>
    <w:rsid w:val="008628CF"/>
    <w:rsid w:val="0086303D"/>
    <w:rsid w:val="00870A49"/>
    <w:rsid w:val="00873868"/>
    <w:rsid w:val="00881496"/>
    <w:rsid w:val="00883DB3"/>
    <w:rsid w:val="00884435"/>
    <w:rsid w:val="00884B95"/>
    <w:rsid w:val="008853C0"/>
    <w:rsid w:val="00886E95"/>
    <w:rsid w:val="00890289"/>
    <w:rsid w:val="00891820"/>
    <w:rsid w:val="00896711"/>
    <w:rsid w:val="00896CAF"/>
    <w:rsid w:val="008A015B"/>
    <w:rsid w:val="008A045E"/>
    <w:rsid w:val="008A069C"/>
    <w:rsid w:val="008C0271"/>
    <w:rsid w:val="008C2D7F"/>
    <w:rsid w:val="008C3720"/>
    <w:rsid w:val="008C4360"/>
    <w:rsid w:val="008C5A39"/>
    <w:rsid w:val="008C7AE1"/>
    <w:rsid w:val="008D06F7"/>
    <w:rsid w:val="008E6CCD"/>
    <w:rsid w:val="008E7BF5"/>
    <w:rsid w:val="008F0D5B"/>
    <w:rsid w:val="008F3E60"/>
    <w:rsid w:val="008F3E90"/>
    <w:rsid w:val="008F6A93"/>
    <w:rsid w:val="00900854"/>
    <w:rsid w:val="00906E8E"/>
    <w:rsid w:val="009116D3"/>
    <w:rsid w:val="00911986"/>
    <w:rsid w:val="009209A4"/>
    <w:rsid w:val="00924926"/>
    <w:rsid w:val="00926D1F"/>
    <w:rsid w:val="00930DBA"/>
    <w:rsid w:val="0093197A"/>
    <w:rsid w:val="009344F4"/>
    <w:rsid w:val="00934BD2"/>
    <w:rsid w:val="00946D06"/>
    <w:rsid w:val="0094776E"/>
    <w:rsid w:val="00952A57"/>
    <w:rsid w:val="009544BD"/>
    <w:rsid w:val="00956F0B"/>
    <w:rsid w:val="00956FA9"/>
    <w:rsid w:val="00962CFF"/>
    <w:rsid w:val="0096356D"/>
    <w:rsid w:val="00977A96"/>
    <w:rsid w:val="009842A1"/>
    <w:rsid w:val="009846B7"/>
    <w:rsid w:val="00985D66"/>
    <w:rsid w:val="00994107"/>
    <w:rsid w:val="009A0E10"/>
    <w:rsid w:val="009A389D"/>
    <w:rsid w:val="009A6CBA"/>
    <w:rsid w:val="009A7A32"/>
    <w:rsid w:val="009A7C0D"/>
    <w:rsid w:val="009B28FE"/>
    <w:rsid w:val="009B5F67"/>
    <w:rsid w:val="009B753B"/>
    <w:rsid w:val="009C2C25"/>
    <w:rsid w:val="009C4D44"/>
    <w:rsid w:val="009C5ED2"/>
    <w:rsid w:val="009D0DB7"/>
    <w:rsid w:val="009D43F0"/>
    <w:rsid w:val="009D54A4"/>
    <w:rsid w:val="009E0B10"/>
    <w:rsid w:val="009E6FF7"/>
    <w:rsid w:val="009E7344"/>
    <w:rsid w:val="009F2A48"/>
    <w:rsid w:val="009F47C9"/>
    <w:rsid w:val="009F5AC6"/>
    <w:rsid w:val="009F68B6"/>
    <w:rsid w:val="009F68EF"/>
    <w:rsid w:val="009F7B63"/>
    <w:rsid w:val="00A05E21"/>
    <w:rsid w:val="00A1155B"/>
    <w:rsid w:val="00A13EFB"/>
    <w:rsid w:val="00A14D32"/>
    <w:rsid w:val="00A22E6F"/>
    <w:rsid w:val="00A236EA"/>
    <w:rsid w:val="00A23EFA"/>
    <w:rsid w:val="00A26557"/>
    <w:rsid w:val="00A266D3"/>
    <w:rsid w:val="00A26B06"/>
    <w:rsid w:val="00A30FD9"/>
    <w:rsid w:val="00A31FBD"/>
    <w:rsid w:val="00A37C5D"/>
    <w:rsid w:val="00A42968"/>
    <w:rsid w:val="00A44976"/>
    <w:rsid w:val="00A46464"/>
    <w:rsid w:val="00A468F7"/>
    <w:rsid w:val="00A51DBA"/>
    <w:rsid w:val="00A619ED"/>
    <w:rsid w:val="00A62223"/>
    <w:rsid w:val="00A65D6C"/>
    <w:rsid w:val="00A67C65"/>
    <w:rsid w:val="00A7656C"/>
    <w:rsid w:val="00A80EA5"/>
    <w:rsid w:val="00A82A3E"/>
    <w:rsid w:val="00A839E2"/>
    <w:rsid w:val="00A85318"/>
    <w:rsid w:val="00A874D0"/>
    <w:rsid w:val="00A90F96"/>
    <w:rsid w:val="00AA2D81"/>
    <w:rsid w:val="00AA4BE6"/>
    <w:rsid w:val="00AA679B"/>
    <w:rsid w:val="00AD0EE4"/>
    <w:rsid w:val="00AD1539"/>
    <w:rsid w:val="00AD5E3F"/>
    <w:rsid w:val="00AE079E"/>
    <w:rsid w:val="00AE1AF6"/>
    <w:rsid w:val="00AE22B9"/>
    <w:rsid w:val="00AE3A0B"/>
    <w:rsid w:val="00AE519E"/>
    <w:rsid w:val="00AE5A3E"/>
    <w:rsid w:val="00AF2003"/>
    <w:rsid w:val="00AF46BE"/>
    <w:rsid w:val="00AF48BF"/>
    <w:rsid w:val="00B029C2"/>
    <w:rsid w:val="00B05E4E"/>
    <w:rsid w:val="00B209B9"/>
    <w:rsid w:val="00B21727"/>
    <w:rsid w:val="00B218FA"/>
    <w:rsid w:val="00B22AC1"/>
    <w:rsid w:val="00B2326D"/>
    <w:rsid w:val="00B27639"/>
    <w:rsid w:val="00B31FA7"/>
    <w:rsid w:val="00B40367"/>
    <w:rsid w:val="00B417FA"/>
    <w:rsid w:val="00B43F16"/>
    <w:rsid w:val="00B4460B"/>
    <w:rsid w:val="00B4582A"/>
    <w:rsid w:val="00B459DE"/>
    <w:rsid w:val="00B45E20"/>
    <w:rsid w:val="00B46961"/>
    <w:rsid w:val="00B5008A"/>
    <w:rsid w:val="00B544AD"/>
    <w:rsid w:val="00B54807"/>
    <w:rsid w:val="00B5620C"/>
    <w:rsid w:val="00B607AC"/>
    <w:rsid w:val="00B70612"/>
    <w:rsid w:val="00B70F80"/>
    <w:rsid w:val="00B76BEE"/>
    <w:rsid w:val="00B81C5C"/>
    <w:rsid w:val="00B81F34"/>
    <w:rsid w:val="00B85ADE"/>
    <w:rsid w:val="00B8665E"/>
    <w:rsid w:val="00B90924"/>
    <w:rsid w:val="00B91CF8"/>
    <w:rsid w:val="00B922FE"/>
    <w:rsid w:val="00B92C0F"/>
    <w:rsid w:val="00B9593D"/>
    <w:rsid w:val="00B95CD1"/>
    <w:rsid w:val="00BA3FCB"/>
    <w:rsid w:val="00BA48C6"/>
    <w:rsid w:val="00BA552D"/>
    <w:rsid w:val="00BA5F32"/>
    <w:rsid w:val="00BA6295"/>
    <w:rsid w:val="00BA754E"/>
    <w:rsid w:val="00BA7A98"/>
    <w:rsid w:val="00BB092D"/>
    <w:rsid w:val="00BB10FB"/>
    <w:rsid w:val="00BC22A6"/>
    <w:rsid w:val="00BD2776"/>
    <w:rsid w:val="00BD7C8D"/>
    <w:rsid w:val="00BE68CF"/>
    <w:rsid w:val="00BF429D"/>
    <w:rsid w:val="00BF4C80"/>
    <w:rsid w:val="00BF6A4B"/>
    <w:rsid w:val="00C00C24"/>
    <w:rsid w:val="00C037E7"/>
    <w:rsid w:val="00C1140D"/>
    <w:rsid w:val="00C2076A"/>
    <w:rsid w:val="00C22854"/>
    <w:rsid w:val="00C264CB"/>
    <w:rsid w:val="00C31EEE"/>
    <w:rsid w:val="00C33C71"/>
    <w:rsid w:val="00C35564"/>
    <w:rsid w:val="00C37BF6"/>
    <w:rsid w:val="00C40F90"/>
    <w:rsid w:val="00C42A69"/>
    <w:rsid w:val="00C4682A"/>
    <w:rsid w:val="00C47068"/>
    <w:rsid w:val="00C4782E"/>
    <w:rsid w:val="00C47F00"/>
    <w:rsid w:val="00C5148E"/>
    <w:rsid w:val="00C57105"/>
    <w:rsid w:val="00C60443"/>
    <w:rsid w:val="00C62D0A"/>
    <w:rsid w:val="00C62FAA"/>
    <w:rsid w:val="00C67287"/>
    <w:rsid w:val="00C701BC"/>
    <w:rsid w:val="00C70B57"/>
    <w:rsid w:val="00C7592D"/>
    <w:rsid w:val="00C85AF2"/>
    <w:rsid w:val="00C863BA"/>
    <w:rsid w:val="00C9134D"/>
    <w:rsid w:val="00C9488E"/>
    <w:rsid w:val="00C97D26"/>
    <w:rsid w:val="00CA5329"/>
    <w:rsid w:val="00CA5693"/>
    <w:rsid w:val="00CA6F97"/>
    <w:rsid w:val="00CB080C"/>
    <w:rsid w:val="00CB516C"/>
    <w:rsid w:val="00CB6B35"/>
    <w:rsid w:val="00CC00E7"/>
    <w:rsid w:val="00CC15A4"/>
    <w:rsid w:val="00CC1BFC"/>
    <w:rsid w:val="00CC1F21"/>
    <w:rsid w:val="00CC3289"/>
    <w:rsid w:val="00CC6243"/>
    <w:rsid w:val="00CD1BCC"/>
    <w:rsid w:val="00CD21A9"/>
    <w:rsid w:val="00CD31CA"/>
    <w:rsid w:val="00CD3AED"/>
    <w:rsid w:val="00CD4F87"/>
    <w:rsid w:val="00CD5E70"/>
    <w:rsid w:val="00CD6D94"/>
    <w:rsid w:val="00CE3ACD"/>
    <w:rsid w:val="00CE563C"/>
    <w:rsid w:val="00CF039F"/>
    <w:rsid w:val="00CF1FD0"/>
    <w:rsid w:val="00CF35EB"/>
    <w:rsid w:val="00CF5D48"/>
    <w:rsid w:val="00D00C99"/>
    <w:rsid w:val="00D0450A"/>
    <w:rsid w:val="00D136D7"/>
    <w:rsid w:val="00D17962"/>
    <w:rsid w:val="00D204E4"/>
    <w:rsid w:val="00D245D1"/>
    <w:rsid w:val="00D30012"/>
    <w:rsid w:val="00D33D89"/>
    <w:rsid w:val="00D40B2B"/>
    <w:rsid w:val="00D464C3"/>
    <w:rsid w:val="00D47E3A"/>
    <w:rsid w:val="00D51E2B"/>
    <w:rsid w:val="00D57A8D"/>
    <w:rsid w:val="00D610A0"/>
    <w:rsid w:val="00D64C22"/>
    <w:rsid w:val="00D670E0"/>
    <w:rsid w:val="00D71784"/>
    <w:rsid w:val="00D72B85"/>
    <w:rsid w:val="00D7500B"/>
    <w:rsid w:val="00D77AFE"/>
    <w:rsid w:val="00D807CC"/>
    <w:rsid w:val="00D82C0F"/>
    <w:rsid w:val="00D87CDF"/>
    <w:rsid w:val="00D87E75"/>
    <w:rsid w:val="00DA1F8D"/>
    <w:rsid w:val="00DA4432"/>
    <w:rsid w:val="00DB2432"/>
    <w:rsid w:val="00DB6872"/>
    <w:rsid w:val="00DB69C4"/>
    <w:rsid w:val="00DC18E4"/>
    <w:rsid w:val="00DC45CE"/>
    <w:rsid w:val="00DC5CC4"/>
    <w:rsid w:val="00DC7629"/>
    <w:rsid w:val="00DD19B8"/>
    <w:rsid w:val="00DD285A"/>
    <w:rsid w:val="00DD5E7B"/>
    <w:rsid w:val="00DD6F46"/>
    <w:rsid w:val="00DE0C0A"/>
    <w:rsid w:val="00DE144E"/>
    <w:rsid w:val="00DE4723"/>
    <w:rsid w:val="00DE47DC"/>
    <w:rsid w:val="00DE7D0A"/>
    <w:rsid w:val="00DF3BB2"/>
    <w:rsid w:val="00DF7A14"/>
    <w:rsid w:val="00DF7A15"/>
    <w:rsid w:val="00E01711"/>
    <w:rsid w:val="00E060F5"/>
    <w:rsid w:val="00E07F35"/>
    <w:rsid w:val="00E10D20"/>
    <w:rsid w:val="00E12BE0"/>
    <w:rsid w:val="00E13499"/>
    <w:rsid w:val="00E23351"/>
    <w:rsid w:val="00E23739"/>
    <w:rsid w:val="00E23855"/>
    <w:rsid w:val="00E307C1"/>
    <w:rsid w:val="00E3359F"/>
    <w:rsid w:val="00E40479"/>
    <w:rsid w:val="00E459DC"/>
    <w:rsid w:val="00E46250"/>
    <w:rsid w:val="00E5201B"/>
    <w:rsid w:val="00E557A8"/>
    <w:rsid w:val="00E5797C"/>
    <w:rsid w:val="00E657FC"/>
    <w:rsid w:val="00E66A7A"/>
    <w:rsid w:val="00E66D8F"/>
    <w:rsid w:val="00E67347"/>
    <w:rsid w:val="00E67435"/>
    <w:rsid w:val="00E67FAE"/>
    <w:rsid w:val="00E716F3"/>
    <w:rsid w:val="00E74FE6"/>
    <w:rsid w:val="00E80C33"/>
    <w:rsid w:val="00E91F46"/>
    <w:rsid w:val="00EA04ED"/>
    <w:rsid w:val="00EA180A"/>
    <w:rsid w:val="00EA3994"/>
    <w:rsid w:val="00EA5C74"/>
    <w:rsid w:val="00EA7BB6"/>
    <w:rsid w:val="00EB49E9"/>
    <w:rsid w:val="00EC26AE"/>
    <w:rsid w:val="00EC2DF2"/>
    <w:rsid w:val="00EC3AF6"/>
    <w:rsid w:val="00EC77B7"/>
    <w:rsid w:val="00ED030F"/>
    <w:rsid w:val="00ED125F"/>
    <w:rsid w:val="00ED56F6"/>
    <w:rsid w:val="00ED76C1"/>
    <w:rsid w:val="00EE5DCA"/>
    <w:rsid w:val="00EF04B9"/>
    <w:rsid w:val="00EF1C15"/>
    <w:rsid w:val="00EF2407"/>
    <w:rsid w:val="00EF3F60"/>
    <w:rsid w:val="00EF41E2"/>
    <w:rsid w:val="00EF5437"/>
    <w:rsid w:val="00EF5D85"/>
    <w:rsid w:val="00EF65F1"/>
    <w:rsid w:val="00EF671F"/>
    <w:rsid w:val="00F04138"/>
    <w:rsid w:val="00F05A1F"/>
    <w:rsid w:val="00F06DC4"/>
    <w:rsid w:val="00F11699"/>
    <w:rsid w:val="00F13F88"/>
    <w:rsid w:val="00F167C3"/>
    <w:rsid w:val="00F20200"/>
    <w:rsid w:val="00F234DD"/>
    <w:rsid w:val="00F2564D"/>
    <w:rsid w:val="00F27D42"/>
    <w:rsid w:val="00F317A8"/>
    <w:rsid w:val="00F479BF"/>
    <w:rsid w:val="00F52A58"/>
    <w:rsid w:val="00F5390C"/>
    <w:rsid w:val="00F54003"/>
    <w:rsid w:val="00F576C1"/>
    <w:rsid w:val="00F602EA"/>
    <w:rsid w:val="00F60EDF"/>
    <w:rsid w:val="00F61C35"/>
    <w:rsid w:val="00F63AC3"/>
    <w:rsid w:val="00F67976"/>
    <w:rsid w:val="00F75730"/>
    <w:rsid w:val="00F757C2"/>
    <w:rsid w:val="00F86F13"/>
    <w:rsid w:val="00F95522"/>
    <w:rsid w:val="00FA4A8F"/>
    <w:rsid w:val="00FB4E2B"/>
    <w:rsid w:val="00FB5634"/>
    <w:rsid w:val="00FC2839"/>
    <w:rsid w:val="00FC3C4C"/>
    <w:rsid w:val="00FC570D"/>
    <w:rsid w:val="00FC686A"/>
    <w:rsid w:val="00FC6F01"/>
    <w:rsid w:val="00FD1D5D"/>
    <w:rsid w:val="00FD36CD"/>
    <w:rsid w:val="00FE22CB"/>
    <w:rsid w:val="00FE321C"/>
    <w:rsid w:val="00FE5108"/>
    <w:rsid w:val="00FE548F"/>
    <w:rsid w:val="00FF3A98"/>
    <w:rsid w:val="02156426"/>
    <w:rsid w:val="03D44E53"/>
    <w:rsid w:val="04877BA0"/>
    <w:rsid w:val="05AF67B5"/>
    <w:rsid w:val="05B61BD6"/>
    <w:rsid w:val="071E2A58"/>
    <w:rsid w:val="086013F2"/>
    <w:rsid w:val="08701E97"/>
    <w:rsid w:val="08FE352A"/>
    <w:rsid w:val="09FB72CE"/>
    <w:rsid w:val="0A60631F"/>
    <w:rsid w:val="0D813B30"/>
    <w:rsid w:val="0E244C81"/>
    <w:rsid w:val="0F1F1A84"/>
    <w:rsid w:val="0FF8590C"/>
    <w:rsid w:val="10440240"/>
    <w:rsid w:val="10C962C8"/>
    <w:rsid w:val="13FD59B5"/>
    <w:rsid w:val="14B45F71"/>
    <w:rsid w:val="15B1432B"/>
    <w:rsid w:val="15CF501D"/>
    <w:rsid w:val="19283CB7"/>
    <w:rsid w:val="1A5955EE"/>
    <w:rsid w:val="1A5A6343"/>
    <w:rsid w:val="21444464"/>
    <w:rsid w:val="242126B7"/>
    <w:rsid w:val="251401EE"/>
    <w:rsid w:val="25CC2CAC"/>
    <w:rsid w:val="26FB7405"/>
    <w:rsid w:val="286626C7"/>
    <w:rsid w:val="28DB56FC"/>
    <w:rsid w:val="29A607DB"/>
    <w:rsid w:val="29E26D65"/>
    <w:rsid w:val="2B6E1AEC"/>
    <w:rsid w:val="2D2D0368"/>
    <w:rsid w:val="2DA810A3"/>
    <w:rsid w:val="2DD40E68"/>
    <w:rsid w:val="2F6D61AD"/>
    <w:rsid w:val="30AA550B"/>
    <w:rsid w:val="30ED706A"/>
    <w:rsid w:val="32191FA8"/>
    <w:rsid w:val="32EA3F4D"/>
    <w:rsid w:val="33081631"/>
    <w:rsid w:val="33112595"/>
    <w:rsid w:val="332D28F1"/>
    <w:rsid w:val="33E301F4"/>
    <w:rsid w:val="36DC6A30"/>
    <w:rsid w:val="36EE78C7"/>
    <w:rsid w:val="36FC081A"/>
    <w:rsid w:val="373B62E3"/>
    <w:rsid w:val="37BC3436"/>
    <w:rsid w:val="381636C1"/>
    <w:rsid w:val="382C1A4F"/>
    <w:rsid w:val="3B5348AD"/>
    <w:rsid w:val="3BA51593"/>
    <w:rsid w:val="3BC67B1E"/>
    <w:rsid w:val="3BD317DF"/>
    <w:rsid w:val="3D856D26"/>
    <w:rsid w:val="3DC52B78"/>
    <w:rsid w:val="3FA83C8D"/>
    <w:rsid w:val="413D0234"/>
    <w:rsid w:val="43A45BF0"/>
    <w:rsid w:val="46756227"/>
    <w:rsid w:val="46F55271"/>
    <w:rsid w:val="47D90F02"/>
    <w:rsid w:val="48F91F49"/>
    <w:rsid w:val="49954968"/>
    <w:rsid w:val="49A21498"/>
    <w:rsid w:val="4BA041C2"/>
    <w:rsid w:val="4D583077"/>
    <w:rsid w:val="4E092B0E"/>
    <w:rsid w:val="4E984F69"/>
    <w:rsid w:val="4F5422B0"/>
    <w:rsid w:val="4F9531DE"/>
    <w:rsid w:val="501C37FA"/>
    <w:rsid w:val="504167B2"/>
    <w:rsid w:val="50D24C23"/>
    <w:rsid w:val="516248D9"/>
    <w:rsid w:val="51E939A7"/>
    <w:rsid w:val="52B86E3D"/>
    <w:rsid w:val="53995414"/>
    <w:rsid w:val="54D703CB"/>
    <w:rsid w:val="563C60C1"/>
    <w:rsid w:val="58B92BFB"/>
    <w:rsid w:val="58E54C4A"/>
    <w:rsid w:val="594C57DD"/>
    <w:rsid w:val="598329D6"/>
    <w:rsid w:val="5A6B178B"/>
    <w:rsid w:val="5B234A77"/>
    <w:rsid w:val="5BB75176"/>
    <w:rsid w:val="5C0168A2"/>
    <w:rsid w:val="5D0C49F9"/>
    <w:rsid w:val="60941540"/>
    <w:rsid w:val="61A14C51"/>
    <w:rsid w:val="62AF5A44"/>
    <w:rsid w:val="637A1236"/>
    <w:rsid w:val="65CE3747"/>
    <w:rsid w:val="65D56FFC"/>
    <w:rsid w:val="682D7D92"/>
    <w:rsid w:val="6893589C"/>
    <w:rsid w:val="690B3FE6"/>
    <w:rsid w:val="6AD2014F"/>
    <w:rsid w:val="6BB10A00"/>
    <w:rsid w:val="6D1772DF"/>
    <w:rsid w:val="700C1D5F"/>
    <w:rsid w:val="70327891"/>
    <w:rsid w:val="74D856FD"/>
    <w:rsid w:val="75304D42"/>
    <w:rsid w:val="767B32BC"/>
    <w:rsid w:val="76883476"/>
    <w:rsid w:val="77194D1F"/>
    <w:rsid w:val="7BB67673"/>
    <w:rsid w:val="7CC1167A"/>
    <w:rsid w:val="7DCE0C05"/>
    <w:rsid w:val="7EAB10E4"/>
    <w:rsid w:val="7F1D6E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autoRedefine/>
    <w:qFormat/>
    <w:uiPriority w:val="0"/>
    <w:pPr>
      <w:keepNext/>
      <w:outlineLvl w:val="0"/>
    </w:pPr>
    <w:rPr>
      <w:rFonts w:eastAsia="仿宋_GB2312"/>
      <w:b/>
      <w:sz w:val="24"/>
    </w:rPr>
  </w:style>
  <w:style w:type="paragraph" w:styleId="4">
    <w:name w:val="heading 2"/>
    <w:basedOn w:val="1"/>
    <w:next w:val="1"/>
    <w:autoRedefine/>
    <w:qFormat/>
    <w:uiPriority w:val="0"/>
    <w:pPr>
      <w:keepNext/>
      <w:keepLines/>
      <w:spacing w:before="120" w:after="120" w:line="415" w:lineRule="auto"/>
      <w:outlineLvl w:val="1"/>
    </w:pPr>
    <w:rPr>
      <w:rFonts w:eastAsia="黑体"/>
      <w:b/>
      <w:bCs/>
      <w:sz w:val="30"/>
      <w:szCs w:val="32"/>
    </w:rPr>
  </w:style>
  <w:style w:type="character" w:default="1" w:styleId="20">
    <w:name w:val="Default Paragraph Font"/>
    <w:autoRedefine/>
    <w:semiHidden/>
    <w:unhideWhenUsed/>
    <w:qFormat/>
    <w:uiPriority w:val="1"/>
  </w:style>
  <w:style w:type="table" w:default="1" w:styleId="19">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autoRedefine/>
    <w:qFormat/>
    <w:uiPriority w:val="0"/>
    <w:pPr>
      <w:widowControl/>
      <w:jc w:val="left"/>
    </w:pPr>
    <w:rPr>
      <w:kern w:val="0"/>
      <w:sz w:val="32"/>
    </w:rPr>
  </w:style>
  <w:style w:type="paragraph" w:styleId="5">
    <w:name w:val="Normal Indent"/>
    <w:basedOn w:val="1"/>
    <w:next w:val="1"/>
    <w:autoRedefine/>
    <w:qFormat/>
    <w:uiPriority w:val="0"/>
    <w:pPr>
      <w:ind w:firstLine="420"/>
    </w:pPr>
  </w:style>
  <w:style w:type="paragraph" w:styleId="6">
    <w:name w:val="Body Text Indent"/>
    <w:basedOn w:val="1"/>
    <w:autoRedefine/>
    <w:qFormat/>
    <w:uiPriority w:val="0"/>
    <w:pPr>
      <w:spacing w:line="360" w:lineRule="auto"/>
      <w:ind w:left="252" w:firstLine="469"/>
    </w:pPr>
    <w:rPr>
      <w:rFonts w:ascii="仿宋_GB2312" w:eastAsia="仿宋_GB2312"/>
      <w:b/>
      <w:sz w:val="24"/>
    </w:rPr>
  </w:style>
  <w:style w:type="paragraph" w:styleId="7">
    <w:name w:val="Block Text"/>
    <w:basedOn w:val="1"/>
    <w:qFormat/>
    <w:uiPriority w:val="0"/>
    <w:pPr>
      <w:spacing w:line="360" w:lineRule="auto"/>
      <w:ind w:left="210" w:right="323" w:firstLine="646"/>
    </w:pPr>
    <w:rPr>
      <w:rFonts w:ascii="宋体" w:hAnsi="宋体"/>
      <w:sz w:val="28"/>
      <w:szCs w:val="24"/>
    </w:rPr>
  </w:style>
  <w:style w:type="paragraph" w:styleId="8">
    <w:name w:val="Plain Text"/>
    <w:basedOn w:val="1"/>
    <w:link w:val="36"/>
    <w:autoRedefine/>
    <w:qFormat/>
    <w:uiPriority w:val="0"/>
    <w:rPr>
      <w:rFonts w:ascii="宋体" w:hAnsi="Courier New"/>
    </w:rPr>
  </w:style>
  <w:style w:type="paragraph" w:styleId="9">
    <w:name w:val="Date"/>
    <w:basedOn w:val="1"/>
    <w:next w:val="1"/>
    <w:qFormat/>
    <w:uiPriority w:val="0"/>
    <w:pPr>
      <w:ind w:left="100" w:leftChars="2500"/>
    </w:pPr>
  </w:style>
  <w:style w:type="paragraph" w:styleId="10">
    <w:name w:val="Body Text Indent 2"/>
    <w:basedOn w:val="1"/>
    <w:autoRedefine/>
    <w:qFormat/>
    <w:uiPriority w:val="0"/>
    <w:pPr>
      <w:snapToGrid w:val="0"/>
      <w:spacing w:line="460" w:lineRule="exact"/>
      <w:ind w:firstLine="629"/>
    </w:pPr>
    <w:rPr>
      <w:rFonts w:ascii="仿宋_GB2312" w:eastAsia="仿宋_GB2312"/>
      <w:b/>
      <w:bCs/>
      <w:sz w:val="28"/>
    </w:rPr>
  </w:style>
  <w:style w:type="paragraph" w:styleId="11">
    <w:name w:val="Balloon Text"/>
    <w:basedOn w:val="1"/>
    <w:qFormat/>
    <w:uiPriority w:val="0"/>
    <w:rPr>
      <w:sz w:val="18"/>
      <w:szCs w:val="18"/>
    </w:rPr>
  </w:style>
  <w:style w:type="paragraph" w:styleId="12">
    <w:name w:val="footer"/>
    <w:basedOn w:val="1"/>
    <w:autoRedefine/>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index heading"/>
    <w:basedOn w:val="1"/>
    <w:next w:val="15"/>
    <w:autoRedefine/>
    <w:semiHidden/>
    <w:qFormat/>
    <w:uiPriority w:val="0"/>
  </w:style>
  <w:style w:type="paragraph" w:styleId="15">
    <w:name w:val="index 1"/>
    <w:basedOn w:val="1"/>
    <w:next w:val="1"/>
    <w:semiHidden/>
    <w:qFormat/>
    <w:uiPriority w:val="0"/>
    <w:rPr>
      <w:rFonts w:ascii="宋体" w:hAnsi="宋体"/>
      <w:color w:val="FF0000"/>
      <w:kern w:val="2"/>
      <w:sz w:val="21"/>
      <w:szCs w:val="21"/>
    </w:rPr>
  </w:style>
  <w:style w:type="paragraph" w:styleId="16">
    <w:name w:val="Body Text Indent 3"/>
    <w:basedOn w:val="1"/>
    <w:qFormat/>
    <w:uiPriority w:val="0"/>
    <w:pPr>
      <w:spacing w:line="560" w:lineRule="atLeast"/>
      <w:ind w:right="323" w:firstLine="640" w:firstLineChars="200"/>
    </w:pPr>
    <w:rPr>
      <w:rFonts w:ascii="仿宋_GB2312" w:hAnsi="宋体" w:eastAsia="仿宋_GB2312"/>
      <w:bCs/>
      <w:sz w:val="32"/>
    </w:rPr>
  </w:style>
  <w:style w:type="paragraph" w:styleId="17">
    <w:name w:val="Normal (Web)"/>
    <w:basedOn w:val="1"/>
    <w:autoRedefine/>
    <w:qFormat/>
    <w:uiPriority w:val="99"/>
    <w:pPr>
      <w:widowControl/>
      <w:spacing w:before="100" w:beforeAutospacing="1" w:after="100" w:afterAutospacing="1"/>
      <w:jc w:val="left"/>
    </w:pPr>
    <w:rPr>
      <w:rFonts w:ascii="宋体" w:hAnsi="宋体"/>
      <w:kern w:val="0"/>
      <w:sz w:val="24"/>
      <w:szCs w:val="24"/>
    </w:rPr>
  </w:style>
  <w:style w:type="paragraph" w:styleId="18">
    <w:name w:val="Body Text First Indent"/>
    <w:basedOn w:val="2"/>
    <w:qFormat/>
    <w:uiPriority w:val="0"/>
    <w:pPr>
      <w:spacing w:after="120"/>
      <w:ind w:firstLine="420" w:firstLineChars="100"/>
    </w:pPr>
    <w:rPr>
      <w:rFonts w:eastAsia="宋体"/>
      <w:sz w:val="21"/>
    </w:rPr>
  </w:style>
  <w:style w:type="character" w:styleId="21">
    <w:name w:val="Strong"/>
    <w:autoRedefine/>
    <w:qFormat/>
    <w:uiPriority w:val="22"/>
    <w:rPr>
      <w:b/>
      <w:bCs/>
    </w:rPr>
  </w:style>
  <w:style w:type="character" w:styleId="22">
    <w:name w:val="page number"/>
    <w:basedOn w:val="20"/>
    <w:autoRedefine/>
    <w:qFormat/>
    <w:uiPriority w:val="0"/>
  </w:style>
  <w:style w:type="paragraph" w:customStyle="1" w:styleId="23">
    <w:name w:val="xl27"/>
    <w:basedOn w:val="1"/>
    <w:next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kern w:val="0"/>
      <w:sz w:val="24"/>
    </w:rPr>
  </w:style>
  <w:style w:type="paragraph" w:customStyle="1" w:styleId="2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5">
    <w:name w:val="样式 正文缩进正文缩进2正文缩进 Char Char正文缩进 Char Char Char Char正文缩进 Char ..."/>
    <w:basedOn w:val="5"/>
    <w:autoRedefine/>
    <w:qFormat/>
    <w:uiPriority w:val="0"/>
    <w:pPr>
      <w:spacing w:line="360" w:lineRule="auto"/>
      <w:ind w:firstLine="200"/>
    </w:pPr>
    <w:rPr>
      <w:rFonts w:cs="宋体"/>
      <w:sz w:val="24"/>
    </w:rPr>
  </w:style>
  <w:style w:type="character" w:customStyle="1" w:styleId="26">
    <w:name w:val="表格h Char"/>
    <w:link w:val="27"/>
    <w:autoRedefine/>
    <w:qFormat/>
    <w:uiPriority w:val="0"/>
    <w:rPr>
      <w:rFonts w:ascii="楷体_GB2312" w:eastAsia="楷体_GB2312" w:cs="宋体"/>
      <w:kern w:val="2"/>
      <w:sz w:val="21"/>
      <w:szCs w:val="21"/>
      <w:lang w:val="en-US" w:eastAsia="zh-CN" w:bidi="ar-SA"/>
    </w:rPr>
  </w:style>
  <w:style w:type="paragraph" w:customStyle="1" w:styleId="27">
    <w:name w:val="表格h"/>
    <w:basedOn w:val="1"/>
    <w:link w:val="26"/>
    <w:qFormat/>
    <w:uiPriority w:val="0"/>
    <w:pPr>
      <w:spacing w:line="0" w:lineRule="atLeast"/>
      <w:jc w:val="center"/>
    </w:pPr>
    <w:rPr>
      <w:rFonts w:ascii="楷体_GB2312" w:eastAsia="楷体_GB2312" w:cs="宋体"/>
      <w:szCs w:val="21"/>
    </w:rPr>
  </w:style>
  <w:style w:type="character" w:customStyle="1" w:styleId="28">
    <w:name w:val="公正文 Char"/>
    <w:autoRedefine/>
    <w:qFormat/>
    <w:uiPriority w:val="0"/>
    <w:rPr>
      <w:rFonts w:ascii="宋体" w:hAnsi="宋体" w:eastAsia="仿宋_GB2312"/>
      <w:kern w:val="2"/>
      <w:sz w:val="28"/>
      <w:szCs w:val="24"/>
      <w:lang w:val="en-US" w:eastAsia="zh-CN" w:bidi="ar-SA"/>
    </w:rPr>
  </w:style>
  <w:style w:type="paragraph" w:customStyle="1" w:styleId="29">
    <w:name w:val="2"/>
    <w:basedOn w:val="1"/>
    <w:autoRedefine/>
    <w:qFormat/>
    <w:uiPriority w:val="0"/>
    <w:pPr>
      <w:ind w:left="510"/>
    </w:pPr>
  </w:style>
  <w:style w:type="paragraph" w:customStyle="1" w:styleId="30">
    <w:name w:val="Char"/>
    <w:basedOn w:val="1"/>
    <w:qFormat/>
    <w:uiPriority w:val="0"/>
    <w:pPr>
      <w:spacing w:line="360" w:lineRule="auto"/>
    </w:pPr>
    <w:rPr>
      <w:rFonts w:ascii="仿宋_GB2312" w:hAnsi="Tahoma" w:eastAsia="仿宋_GB2312"/>
      <w:szCs w:val="21"/>
    </w:rPr>
  </w:style>
  <w:style w:type="paragraph" w:customStyle="1" w:styleId="31">
    <w:name w:val="样式 样式 Times New Roman 首行缩进:  2 字符 + 首行缩进:  2 字符"/>
    <w:basedOn w:val="1"/>
    <w:autoRedefine/>
    <w:qFormat/>
    <w:uiPriority w:val="0"/>
    <w:pPr>
      <w:spacing w:line="560" w:lineRule="exact"/>
      <w:ind w:firstLine="200" w:firstLineChars="200"/>
    </w:pPr>
    <w:rPr>
      <w:rFonts w:ascii="仿宋_GB2312" w:eastAsia="仿宋_GB2312" w:cs="宋体"/>
      <w:sz w:val="28"/>
    </w:rPr>
  </w:style>
  <w:style w:type="paragraph" w:customStyle="1" w:styleId="32">
    <w:name w:val="Char1"/>
    <w:basedOn w:val="1"/>
    <w:autoRedefine/>
    <w:qFormat/>
    <w:uiPriority w:val="0"/>
    <w:pPr>
      <w:snapToGrid w:val="0"/>
      <w:spacing w:line="360" w:lineRule="auto"/>
      <w:ind w:firstLine="529" w:firstLineChars="200"/>
    </w:pPr>
    <w:rPr>
      <w:rFonts w:ascii="宋体" w:hAnsi="宋体"/>
      <w:b/>
      <w:szCs w:val="24"/>
    </w:rPr>
  </w:style>
  <w:style w:type="character" w:customStyle="1" w:styleId="33">
    <w:name w:val="title"/>
    <w:basedOn w:val="20"/>
    <w:qFormat/>
    <w:uiPriority w:val="0"/>
  </w:style>
  <w:style w:type="character" w:customStyle="1" w:styleId="34">
    <w:name w:val="样式 样式 样式 报告书正文 + 首行缩进:  2 字符 + 首行缩进:  2 字符 + 自动设置 Char"/>
    <w:autoRedefine/>
    <w:qFormat/>
    <w:uiPriority w:val="0"/>
    <w:rPr>
      <w:rFonts w:eastAsia="宋体" w:cs="宋体"/>
      <w:b/>
      <w:bCs/>
      <w:color w:val="000000"/>
      <w:kern w:val="2"/>
      <w:sz w:val="24"/>
      <w:lang w:val="en-US" w:eastAsia="zh-CN" w:bidi="ar-SA"/>
    </w:rPr>
  </w:style>
  <w:style w:type="character" w:customStyle="1" w:styleId="35">
    <w:name w:val="纯文本 Char"/>
    <w:basedOn w:val="20"/>
    <w:link w:val="8"/>
    <w:qFormat/>
    <w:uiPriority w:val="0"/>
    <w:rPr>
      <w:rFonts w:ascii="宋体" w:hAnsi="Courier New"/>
      <w:kern w:val="2"/>
      <w:sz w:val="21"/>
    </w:rPr>
  </w:style>
  <w:style w:type="character" w:customStyle="1" w:styleId="36">
    <w:name w:val="纯文本 Char1"/>
    <w:basedOn w:val="20"/>
    <w:link w:val="8"/>
    <w:autoRedefine/>
    <w:qFormat/>
    <w:uiPriority w:val="0"/>
    <w:rPr>
      <w:rFonts w:ascii="宋体" w:hAnsi="Courier New" w:cs="Courier New"/>
      <w:kern w:val="2"/>
      <w:sz w:val="21"/>
      <w:szCs w:val="21"/>
    </w:rPr>
  </w:style>
  <w:style w:type="paragraph" w:customStyle="1" w:styleId="37">
    <w:name w:val="默认段落字体 Para Char Char Char Char Char Char Char Char Char Char"/>
    <w:basedOn w:val="1"/>
    <w:autoRedefine/>
    <w:qFormat/>
    <w:uiPriority w:val="0"/>
    <w:rPr>
      <w:szCs w:val="24"/>
    </w:rPr>
  </w:style>
  <w:style w:type="paragraph" w:customStyle="1" w:styleId="38">
    <w:name w:val="zxz5"/>
    <w:next w:val="1"/>
    <w:qFormat/>
    <w:uiPriority w:val="0"/>
    <w:pPr>
      <w:tabs>
        <w:tab w:val="left" w:pos="0"/>
      </w:tabs>
      <w:jc w:val="center"/>
    </w:pPr>
    <w:rPr>
      <w:rFonts w:ascii="Times New Roman" w:hAnsi="Times New Roman" w:eastAsia="宋体" w:cs="Times New Roman"/>
      <w:lang w:val="en-US" w:eastAsia="zh-CN" w:bidi="ar-SA"/>
    </w:rPr>
  </w:style>
  <w:style w:type="paragraph" w:customStyle="1" w:styleId="39">
    <w:name w:val="样式 小四 行距: 固定值 16 磅"/>
    <w:basedOn w:val="1"/>
    <w:autoRedefine/>
    <w:qFormat/>
    <w:uiPriority w:val="0"/>
    <w:pPr>
      <w:snapToGrid w:val="0"/>
      <w:spacing w:line="400" w:lineRule="exact"/>
      <w:ind w:firstLine="480" w:firstLineChars="200"/>
    </w:pPr>
    <w:rPr>
      <w:rFonts w:ascii="Times New Roman" w:hAnsi="Times New Roman"/>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F40E13-EF24-4103-AF86-9FDA8BBB0917}">
  <ds:schemaRefs/>
</ds:datastoreItem>
</file>

<file path=docProps/app.xml><?xml version="1.0" encoding="utf-8"?>
<Properties xmlns="http://schemas.openxmlformats.org/officeDocument/2006/extended-properties" xmlns:vt="http://schemas.openxmlformats.org/officeDocument/2006/docPropsVTypes">
  <Template>Normal</Template>
  <Company>lzj</Company>
  <Pages>4</Pages>
  <Words>313</Words>
  <Characters>1789</Characters>
  <Lines>14</Lines>
  <Paragraphs>4</Paragraphs>
  <TotalTime>22</TotalTime>
  <ScaleCrop>false</ScaleCrop>
  <LinksUpToDate>false</LinksUpToDate>
  <CharactersWithSpaces>2098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2017-08-17T07:57:00Z</dcterms:created>
  <dc:creator>lzj</dc:creator>
  <cp:lastModifiedBy>青山绿水</cp:lastModifiedBy>
  <cp:lastPrinted>2023-09-21T01:37:00Z</cp:lastPrinted>
  <dcterms:modified xsi:type="dcterms:W3CDTF">2024-01-03T08:24:28Z</dcterms:modified>
  <dc:title>重庆市建设项目环境保护申报表</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0FD46024CC3D46FCB16FD66A7523FF5C_12</vt:lpwstr>
  </property>
</Properties>
</file>