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N/>
        <w:bidi w:val="0"/>
        <w:adjustRightInd/>
        <w:spacing w:before="0" w:beforeAutospacing="0" w:after="0" w:afterAutospacing="0" w:line="600" w:lineRule="exact"/>
        <w:ind w:firstLine="880" w:firstLineChars="200"/>
        <w:jc w:val="center"/>
        <w:textAlignment w:val="auto"/>
        <w:rPr>
          <w:rFonts w:hint="default" w:ascii="Times New Roman" w:hAnsi="Times New Roman" w:eastAsia="方正小标宋_GBK" w:cs="Times New Roman"/>
          <w:b w:val="0"/>
          <w:bCs w:val="0"/>
          <w:color w:val="auto"/>
          <w:sz w:val="44"/>
          <w:szCs w:val="44"/>
        </w:rPr>
      </w:pPr>
    </w:p>
    <w:p>
      <w:pPr>
        <w:pStyle w:val="8"/>
        <w:keepNext w:val="0"/>
        <w:keepLines w:val="0"/>
        <w:pageBreakBefore w:val="0"/>
        <w:widowControl w:val="0"/>
        <w:kinsoku/>
        <w:wordWrap/>
        <w:overflowPunct/>
        <w:topLinePunct w:val="0"/>
        <w:autoSpaceDN/>
        <w:bidi w:val="0"/>
        <w:adjustRightInd/>
        <w:spacing w:before="0" w:beforeAutospacing="0" w:after="0" w:afterAutospacing="0" w:line="600" w:lineRule="exact"/>
        <w:jc w:val="center"/>
        <w:textAlignment w:val="auto"/>
        <w:rPr>
          <w:rFonts w:hint="default" w:ascii="Times New Roman" w:hAnsi="Times New Roman" w:eastAsia="方正小标宋_GBK" w:cs="Times New Roman"/>
          <w:b w:val="0"/>
          <w:bCs w:val="0"/>
          <w:color w:val="auto"/>
          <w:sz w:val="44"/>
          <w:szCs w:val="44"/>
        </w:rPr>
      </w:pPr>
      <w:r>
        <w:rPr>
          <w:rFonts w:hint="default" w:ascii="Times New Roman" w:hAnsi="Times New Roman" w:eastAsia="方正小标宋_GBK" w:cs="Times New Roman"/>
          <w:b w:val="0"/>
          <w:bCs w:val="0"/>
          <w:color w:val="auto"/>
          <w:sz w:val="44"/>
          <w:szCs w:val="44"/>
        </w:rPr>
        <w:t>重庆市万州区发展和改革委员会</w:t>
      </w:r>
    </w:p>
    <w:p>
      <w:pPr>
        <w:pStyle w:val="8"/>
        <w:keepNext w:val="0"/>
        <w:keepLines w:val="0"/>
        <w:pageBreakBefore w:val="0"/>
        <w:widowControl w:val="0"/>
        <w:kinsoku/>
        <w:wordWrap/>
        <w:overflowPunct/>
        <w:topLinePunct w:val="0"/>
        <w:autoSpaceDN/>
        <w:bidi w:val="0"/>
        <w:adjustRightInd/>
        <w:spacing w:before="0" w:beforeAutospacing="0" w:after="0" w:afterAutospacing="0" w:line="600" w:lineRule="exact"/>
        <w:jc w:val="center"/>
        <w:textAlignment w:val="auto"/>
        <w:rPr>
          <w:rFonts w:hint="default" w:ascii="Times New Roman" w:hAnsi="Times New Roman" w:eastAsia="方正小标宋_GBK" w:cs="Times New Roman"/>
          <w:b w:val="0"/>
          <w:bCs w:val="0"/>
          <w:color w:val="auto"/>
          <w:sz w:val="44"/>
          <w:szCs w:val="44"/>
          <w:shd w:val="clear" w:color="auto" w:fill="FFFFFF"/>
        </w:rPr>
      </w:pPr>
      <w:r>
        <w:rPr>
          <w:rFonts w:hint="default" w:ascii="Times New Roman" w:hAnsi="Times New Roman" w:eastAsia="方正小标宋_GBK" w:cs="Times New Roman"/>
          <w:b w:val="0"/>
          <w:bCs w:val="0"/>
          <w:color w:val="auto"/>
          <w:sz w:val="44"/>
          <w:szCs w:val="44"/>
          <w:shd w:val="clear" w:color="auto" w:fill="FFFFFF"/>
        </w:rPr>
        <w:t>2023年度决算公开说明</w:t>
      </w:r>
    </w:p>
    <w:p>
      <w:pPr>
        <w:pStyle w:val="8"/>
        <w:keepNext w:val="0"/>
        <w:keepLines w:val="0"/>
        <w:pageBreakBefore w:val="0"/>
        <w:widowControl w:val="0"/>
        <w:kinsoku/>
        <w:wordWrap/>
        <w:overflowPunct/>
        <w:topLinePunct w:val="0"/>
        <w:autoSpaceDN/>
        <w:bidi w:val="0"/>
        <w:adjustRightInd/>
        <w:spacing w:before="0" w:beforeAutospacing="0" w:after="0" w:afterAutospacing="0" w:line="600" w:lineRule="exact"/>
        <w:ind w:firstLine="880" w:firstLineChars="200"/>
        <w:jc w:val="both"/>
        <w:textAlignment w:val="auto"/>
        <w:rPr>
          <w:rFonts w:hint="default" w:ascii="Times New Roman" w:hAnsi="Times New Roman" w:eastAsia="方正小标宋_GBK" w:cs="Times New Roman"/>
          <w:b w:val="0"/>
          <w:bCs w:val="0"/>
          <w:color w:val="auto"/>
          <w:sz w:val="44"/>
          <w:szCs w:val="44"/>
          <w:shd w:val="clear" w:color="auto" w:fill="FFFFFF"/>
        </w:rPr>
      </w:pPr>
    </w:p>
    <w:p>
      <w:pPr>
        <w:pStyle w:val="8"/>
        <w:keepNext w:val="0"/>
        <w:keepLines w:val="0"/>
        <w:pageBreakBefore w:val="0"/>
        <w:widowControl w:val="0"/>
        <w:shd w:val="clear" w:color="auto" w:fill="FFFFFF"/>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黑体_GBK" w:cs="Times New Roman"/>
          <w:b w:val="0"/>
          <w:bCs w:val="0"/>
          <w:color w:val="auto"/>
          <w:sz w:val="32"/>
          <w:szCs w:val="32"/>
        </w:rPr>
      </w:pPr>
      <w:r>
        <w:rPr>
          <w:rStyle w:val="12"/>
          <w:rFonts w:hint="default" w:ascii="Times New Roman" w:hAnsi="Times New Roman" w:eastAsia="方正黑体_GBK" w:cs="Times New Roman"/>
          <w:b w:val="0"/>
          <w:bCs w:val="0"/>
          <w:color w:val="auto"/>
          <w:sz w:val="32"/>
          <w:szCs w:val="32"/>
          <w:shd w:val="clear" w:color="auto" w:fill="FFFFFF"/>
        </w:rPr>
        <w:t>一、部门基本情况</w:t>
      </w:r>
      <w:bookmarkStart w:id="0" w:name="_GoBack"/>
      <w:bookmarkEnd w:id="0"/>
    </w:p>
    <w:p>
      <w:pPr>
        <w:pStyle w:val="8"/>
        <w:keepNext w:val="0"/>
        <w:keepLines w:val="0"/>
        <w:pageBreakBefore w:val="0"/>
        <w:widowControl w:val="0"/>
        <w:shd w:val="clear" w:color="auto" w:fill="FFFFFF"/>
        <w:kinsoku/>
        <w:wordWrap/>
        <w:overflowPunct/>
        <w:topLinePunct w:val="0"/>
        <w:autoSpaceDN/>
        <w:bidi w:val="0"/>
        <w:adjustRightInd/>
        <w:snapToGrid/>
        <w:spacing w:before="0" w:beforeAutospacing="0" w:after="0" w:afterAutospacing="0" w:line="600" w:lineRule="exact"/>
        <w:ind w:firstLine="640" w:firstLineChars="200"/>
        <w:jc w:val="both"/>
        <w:textAlignment w:val="auto"/>
        <w:rPr>
          <w:rStyle w:val="12"/>
          <w:rFonts w:hint="default" w:ascii="Times New Roman" w:hAnsi="Times New Roman" w:eastAsia="方正楷体_GBK" w:cs="Times New Roman"/>
          <w:b w:val="0"/>
          <w:bCs w:val="0"/>
          <w:color w:val="auto"/>
          <w:sz w:val="32"/>
          <w:szCs w:val="32"/>
          <w:shd w:val="clear" w:color="auto" w:fill="FFFFFF"/>
        </w:rPr>
      </w:pPr>
      <w:r>
        <w:rPr>
          <w:rStyle w:val="12"/>
          <w:rFonts w:hint="default" w:ascii="Times New Roman" w:hAnsi="Times New Roman" w:eastAsia="方正楷体_GBK" w:cs="Times New Roman"/>
          <w:b w:val="0"/>
          <w:bCs w:val="0"/>
          <w:color w:val="auto"/>
          <w:sz w:val="32"/>
          <w:szCs w:val="32"/>
          <w:shd w:val="clear" w:color="auto" w:fill="FFFFFF"/>
        </w:rPr>
        <w:t>（一）职能职责</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方正仿宋_GBK" w:cs="Times New Roman"/>
          <w:b w:val="0"/>
          <w:color w:val="auto"/>
          <w:kern w:val="0"/>
          <w:sz w:val="32"/>
          <w:szCs w:val="32"/>
          <w:highlight w:val="none"/>
        </w:rPr>
      </w:pPr>
      <w:r>
        <w:rPr>
          <w:rFonts w:hint="default" w:ascii="Times New Roman" w:hAnsi="Times New Roman" w:eastAsia="方正仿宋_GBK" w:cs="Times New Roman"/>
          <w:b w:val="0"/>
          <w:color w:val="auto"/>
          <w:kern w:val="0"/>
          <w:sz w:val="32"/>
          <w:szCs w:val="32"/>
          <w:highlight w:val="none"/>
        </w:rPr>
        <w:t>拟订并组织实施全区国民经济和社会发展战略、中长期规划和年度计划。牵头组织全区统一规划体系建设。受区政府委托负责区级专项规划、区域规划、空间规划与全区发展规划的审查统筹衔接。统筹协调经济社会发展，研究提出发展总量平衡、结构调整、发展速度等目标和政策建议，统筹全区重大生产力布局和产业、区域、土地、人口、环境等政策。受区政府委托向区人大提交国民经济和社会发展计划的报告。</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方正仿宋_GBK" w:cs="Times New Roman"/>
          <w:b w:val="0"/>
          <w:color w:val="auto"/>
          <w:kern w:val="0"/>
          <w:sz w:val="32"/>
          <w:szCs w:val="32"/>
          <w:highlight w:val="none"/>
        </w:rPr>
      </w:pPr>
      <w:r>
        <w:rPr>
          <w:rFonts w:hint="default" w:ascii="Times New Roman" w:hAnsi="Times New Roman" w:eastAsia="方正仿宋_GBK" w:cs="Times New Roman"/>
          <w:b w:val="0"/>
          <w:color w:val="auto"/>
          <w:kern w:val="0"/>
          <w:sz w:val="32"/>
          <w:szCs w:val="32"/>
          <w:highlight w:val="none"/>
        </w:rPr>
        <w:t>提出加快建设现代化经济体系、推动高质量发展的总体目标、重大任务以及相关政策。组织开展重大战略规划、重大政策、重大工程等评估督导，提出相关调整建议。</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方正仿宋_GBK" w:cs="Times New Roman"/>
          <w:b w:val="0"/>
          <w:color w:val="auto"/>
          <w:kern w:val="0"/>
          <w:sz w:val="32"/>
          <w:szCs w:val="32"/>
          <w:highlight w:val="none"/>
        </w:rPr>
      </w:pPr>
      <w:r>
        <w:rPr>
          <w:rFonts w:hint="default" w:ascii="Times New Roman" w:hAnsi="Times New Roman" w:eastAsia="方正仿宋_GBK" w:cs="Times New Roman"/>
          <w:b w:val="0"/>
          <w:color w:val="auto"/>
          <w:kern w:val="0"/>
          <w:sz w:val="32"/>
          <w:szCs w:val="32"/>
          <w:highlight w:val="none"/>
        </w:rPr>
        <w:t>统筹提出国民经济和社会发展主要目标，监测预测预警宏观经济和社会发展态势趋势，提出宏观调控政策建议。综合协调宏观经济政策，牵头研究宏观经济应对措施。研究经济运行中的重大问题并及时提出相关政策建议，协调解决经济运行中的重大问题。拟订并组织实施有关价格政策，提出价格改革方案，制定少数由政府管理的重要商品、服务价格和重要收费标准并组织实施。参与拟订财政政策和金融政策。</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方正仿宋_GBK" w:cs="Times New Roman"/>
          <w:b w:val="0"/>
          <w:color w:val="auto"/>
          <w:kern w:val="0"/>
          <w:sz w:val="32"/>
          <w:szCs w:val="32"/>
          <w:highlight w:val="none"/>
        </w:rPr>
      </w:pPr>
      <w:r>
        <w:rPr>
          <w:rFonts w:hint="default" w:ascii="Times New Roman" w:hAnsi="Times New Roman" w:eastAsia="方正仿宋_GBK" w:cs="Times New Roman"/>
          <w:b w:val="0"/>
          <w:color w:val="auto"/>
          <w:kern w:val="0"/>
          <w:sz w:val="32"/>
          <w:szCs w:val="32"/>
          <w:highlight w:val="none"/>
        </w:rPr>
        <w:t>指导推进和综合协调经济体制改革有关工作，提出相关改革建议。牵头推进供给侧结构性改革。协调推进产权制度和要素市场化配置改革。推动完善现代市场体系建设，会同相关部门组织实施市场准入负面清单制度。牵头推进优化营商环境工作。研究经济体制改革的重大问题并提出政策建议。组织拟订并协调实施综合性经济体制改革方案及有关专项改革方案，会同有关部门做好重要专项改革之间的衔接。</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方正仿宋_GBK" w:cs="Times New Roman"/>
          <w:b w:val="0"/>
          <w:color w:val="auto"/>
          <w:kern w:val="0"/>
          <w:sz w:val="32"/>
          <w:szCs w:val="32"/>
          <w:highlight w:val="none"/>
        </w:rPr>
      </w:pPr>
      <w:r>
        <w:rPr>
          <w:rFonts w:hint="default" w:ascii="Times New Roman" w:hAnsi="Times New Roman" w:eastAsia="方正仿宋_GBK" w:cs="Times New Roman"/>
          <w:b w:val="0"/>
          <w:color w:val="auto"/>
          <w:kern w:val="0"/>
          <w:sz w:val="32"/>
          <w:szCs w:val="32"/>
          <w:highlight w:val="none"/>
        </w:rPr>
        <w:t>研究提出利用外资和境外投资的战略、规划、总量平衡和结构优化的目标和政策。牵头推进落实“一带一路”建设。指导和监督国外贷款建设资金的使用。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方正仿宋_GBK" w:cs="Times New Roman"/>
          <w:b w:val="0"/>
          <w:color w:val="auto"/>
          <w:kern w:val="0"/>
          <w:sz w:val="32"/>
          <w:szCs w:val="32"/>
          <w:highlight w:val="none"/>
        </w:rPr>
      </w:pPr>
      <w:r>
        <w:rPr>
          <w:rFonts w:hint="default" w:ascii="Times New Roman" w:hAnsi="Times New Roman" w:eastAsia="方正仿宋_GBK" w:cs="Times New Roman"/>
          <w:b w:val="0"/>
          <w:color w:val="auto"/>
          <w:kern w:val="0"/>
          <w:sz w:val="32"/>
          <w:szCs w:val="32"/>
          <w:highlight w:val="none"/>
        </w:rPr>
        <w:t>负责投资综合管理，拟订全社会固定资产投资总规模、结构调控目标和政策。会同财政安排财政性建设资金，按规定权限审批、核准、审核重大项目。规划重大建设项目和生产力布局。推动落实鼓励民间投资政策措施。衔接平衡需要安排政府投资和涉及重大项目的专项规划。负责汇总编制政府投资规划及资金平衡计划。负责统筹、调度和督促重大项目，研究提出年度重点项目名单及资金平衡计划。指导工程咨询业发展。</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方正仿宋_GBK" w:cs="Times New Roman"/>
          <w:b w:val="0"/>
          <w:color w:val="auto"/>
          <w:kern w:val="0"/>
          <w:sz w:val="32"/>
          <w:szCs w:val="32"/>
          <w:highlight w:val="none"/>
        </w:rPr>
      </w:pPr>
      <w:r>
        <w:rPr>
          <w:rFonts w:hint="default" w:ascii="Times New Roman" w:hAnsi="Times New Roman" w:eastAsia="方正仿宋_GBK" w:cs="Times New Roman"/>
          <w:b w:val="0"/>
          <w:color w:val="auto"/>
          <w:kern w:val="0"/>
          <w:sz w:val="32"/>
          <w:szCs w:val="32"/>
          <w:highlight w:val="none"/>
        </w:rPr>
        <w:t>统筹推进全区优化营商环境工作，拟定和组织实施全区优化营商环境工作制度、政策措施和工作计划。负责全区营商环境考核指标体系建设，负责全区社会信用体系建设，拟订和组织实施全区社会信用体系建设相关制度、政策和工作计划。</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方正仿宋_GBK" w:cs="Times New Roman"/>
          <w:b w:val="0"/>
          <w:color w:val="auto"/>
          <w:kern w:val="0"/>
          <w:sz w:val="32"/>
          <w:szCs w:val="32"/>
          <w:highlight w:val="none"/>
        </w:rPr>
      </w:pPr>
      <w:r>
        <w:rPr>
          <w:rFonts w:hint="default" w:ascii="Times New Roman" w:hAnsi="Times New Roman" w:eastAsia="方正仿宋_GBK" w:cs="Times New Roman"/>
          <w:b w:val="0"/>
          <w:color w:val="auto"/>
          <w:kern w:val="0"/>
          <w:sz w:val="32"/>
          <w:szCs w:val="32"/>
          <w:highlight w:val="none"/>
        </w:rPr>
        <w:t>推进落实区域协调发展战略，组织拟订区域规划和政策。综合研究区域合作的重大问题，承担政府间的区域合作有关工作，推动区域一体化发展等方面工作。承担区推动成渝地区双城经济圈建设领导小组办公室日常工作。承担创建万达开川渝统筹发展示范联合办公室日常工作。</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方正仿宋_GBK" w:cs="Times New Roman"/>
          <w:b w:val="0"/>
          <w:color w:val="auto"/>
          <w:kern w:val="0"/>
          <w:sz w:val="32"/>
          <w:szCs w:val="32"/>
          <w:highlight w:val="none"/>
        </w:rPr>
      </w:pPr>
      <w:r>
        <w:rPr>
          <w:rFonts w:hint="default" w:ascii="Times New Roman" w:hAnsi="Times New Roman" w:eastAsia="方正仿宋_GBK" w:cs="Times New Roman"/>
          <w:b w:val="0"/>
          <w:color w:val="auto"/>
          <w:kern w:val="0"/>
          <w:sz w:val="32"/>
          <w:szCs w:val="32"/>
          <w:highlight w:val="none"/>
        </w:rPr>
        <w:t>协调国土整治、开发利用和保护政策，参与全区地质灾害防治规划编制。编制易地扶贫搬迁、以工代赈规划并协调实施。协调推进东西协作、市内帮扶等工作。</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方正仿宋_GBK" w:cs="Times New Roman"/>
          <w:b w:val="0"/>
          <w:color w:val="auto"/>
          <w:kern w:val="0"/>
          <w:sz w:val="32"/>
          <w:szCs w:val="32"/>
          <w:highlight w:val="none"/>
        </w:rPr>
      </w:pPr>
      <w:r>
        <w:rPr>
          <w:rFonts w:hint="default" w:ascii="Times New Roman" w:hAnsi="Times New Roman" w:eastAsia="方正仿宋_GBK" w:cs="Times New Roman"/>
          <w:b w:val="0"/>
          <w:color w:val="auto"/>
          <w:kern w:val="0"/>
          <w:sz w:val="32"/>
          <w:szCs w:val="32"/>
          <w:highlight w:val="none"/>
        </w:rPr>
        <w:t>组织拟订综合性产业政策。协调一二三产业发展重大问题并统筹衔接相关发展规划和重大政策，指导相关部门拟订产业政策。协调推进重大基础设施建设发展，组织拟订并推动实施服务业战略规划和重大政策。综合研判消费变动趋势，拟订实施促进消费的综合性政策措施。协调农业和农村经济社会发展的重大问题。</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方正仿宋_GBK" w:cs="Times New Roman"/>
          <w:b w:val="0"/>
          <w:color w:val="auto"/>
          <w:kern w:val="0"/>
          <w:sz w:val="32"/>
          <w:szCs w:val="32"/>
          <w:highlight w:val="none"/>
        </w:rPr>
      </w:pPr>
      <w:r>
        <w:rPr>
          <w:rFonts w:hint="default" w:ascii="Times New Roman" w:hAnsi="Times New Roman" w:eastAsia="方正仿宋_GBK" w:cs="Times New Roman"/>
          <w:b w:val="0"/>
          <w:color w:val="auto"/>
          <w:kern w:val="0"/>
          <w:sz w:val="32"/>
          <w:szCs w:val="32"/>
          <w:highlight w:val="none"/>
        </w:rPr>
        <w:t>推动落实创新驱动发展战略。统筹推进全区战略性新兴产业、高技术产业和数字经济发展，会同相关部门推进创新创业的规划和政策，提出创新发展和培育经济发展新动能的政策，推进创新能力建设。会同相关部门规划布局重大科技基础设施。协调推动实施高技术产业、战略性新兴产业发展规划政策，协调产业升级、重大技术装备推广应用等方面的重大问题。</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方正仿宋_GBK" w:cs="Times New Roman"/>
          <w:b w:val="0"/>
          <w:color w:val="auto"/>
          <w:kern w:val="0"/>
          <w:sz w:val="32"/>
          <w:szCs w:val="32"/>
          <w:highlight w:val="none"/>
        </w:rPr>
      </w:pPr>
      <w:r>
        <w:rPr>
          <w:rFonts w:hint="default" w:ascii="Times New Roman" w:hAnsi="Times New Roman" w:eastAsia="方正仿宋_GBK" w:cs="Times New Roman"/>
          <w:b w:val="0"/>
          <w:color w:val="auto"/>
          <w:kern w:val="0"/>
          <w:sz w:val="32"/>
          <w:szCs w:val="32"/>
          <w:highlight w:val="none"/>
        </w:rPr>
        <w:t>负责拟订地方能源发展战略、发展规划并组织实施，协调能源发展改革中的重大问题。指导和协调能源生产建设和总量平衡，参与能源总量目标控制，负责能源资源综合利用，促进区域能源战略合作。指导协调农村能源发展。规划统筹能源重大项目布局，推动能源重大项目建设，按照规定权限审批、核准、备案、转报能源固定资产项目。指导能源科技进步，组织协调能源重大示范工程。负责新能源、可再生能源的行业管理。负责能源预测预警，发布能源信息。负责油气长输管道保护工作。</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方正仿宋_GBK" w:cs="Times New Roman"/>
          <w:b w:val="0"/>
          <w:color w:val="auto"/>
          <w:kern w:val="0"/>
          <w:sz w:val="32"/>
          <w:szCs w:val="32"/>
          <w:highlight w:val="none"/>
        </w:rPr>
      </w:pPr>
      <w:r>
        <w:rPr>
          <w:rFonts w:hint="default" w:ascii="Times New Roman" w:hAnsi="Times New Roman" w:eastAsia="方正仿宋_GBK" w:cs="Times New Roman"/>
          <w:b w:val="0"/>
          <w:color w:val="auto"/>
          <w:kern w:val="0"/>
          <w:sz w:val="32"/>
          <w:szCs w:val="32"/>
          <w:highlight w:val="none"/>
        </w:rPr>
        <w:t>跟踪研判涉及经济安全、生态安全、资源安全、科技安全、社会安全等各类风险隐患，提出相关工作建议。研判国内外市场及外贸形势并提出政策建议。负责重要商品总量平衡和宏观调控。研究制定储备规划并推动实施，研究提出区级储备物资品种目录建议。承担粮食总量平衡和宏观调控工作，提出粮食流通发展的政策建议。负责粮食流通的行业管理和区级储备粮油管理。承担粮食监测、应急调控、军粮供应管理和监督检查等工作。对接市粮食安全考核有关工作，承担全区粮食安全考核具体工作。</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方正仿宋_GBK" w:cs="Times New Roman"/>
          <w:b w:val="0"/>
          <w:color w:val="auto"/>
          <w:kern w:val="0"/>
          <w:sz w:val="32"/>
          <w:szCs w:val="32"/>
          <w:highlight w:val="none"/>
        </w:rPr>
      </w:pPr>
      <w:r>
        <w:rPr>
          <w:rFonts w:hint="default" w:ascii="Times New Roman" w:hAnsi="Times New Roman" w:eastAsia="方正仿宋_GBK" w:cs="Times New Roman"/>
          <w:b w:val="0"/>
          <w:color w:val="auto"/>
          <w:kern w:val="0"/>
          <w:sz w:val="32"/>
          <w:szCs w:val="32"/>
          <w:highlight w:val="none"/>
        </w:rPr>
        <w:t>负责社会发展与国民经济发展的政策衔接，协调有关重大问题。组织拟订社会发展战略、总体规划，统筹推进基本公共服务体系建设和收入分配制度改革，提出促进就业、完善社会保障与经济协调发展的政策建议。</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方正仿宋_GBK" w:cs="Times New Roman"/>
          <w:b w:val="0"/>
          <w:color w:val="auto"/>
          <w:kern w:val="0"/>
          <w:sz w:val="32"/>
          <w:szCs w:val="32"/>
          <w:highlight w:val="none"/>
        </w:rPr>
      </w:pPr>
      <w:r>
        <w:rPr>
          <w:rFonts w:hint="default" w:ascii="Times New Roman" w:hAnsi="Times New Roman" w:eastAsia="方正仿宋_GBK" w:cs="Times New Roman"/>
          <w:b w:val="0"/>
          <w:color w:val="auto"/>
          <w:kern w:val="0"/>
          <w:sz w:val="32"/>
          <w:szCs w:val="32"/>
          <w:highlight w:val="none"/>
        </w:rPr>
        <w:t>推进实施可持续发展战略，协调生态环境保护与修复、能源资源节约和综合利用等工作。综合协调环保产业和清洁生产促进有关工作。提出能源消费控制目标、任务并组织实施。综合研究经济社会与资源、生态环境协调发展的重大战略问题。协调实施能源资源节约和综合利用的战略、规划、计划。参与编制生态环境保护有关规划。</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方正仿宋_GBK" w:cs="Times New Roman"/>
          <w:b w:val="0"/>
          <w:color w:val="auto"/>
          <w:kern w:val="0"/>
          <w:sz w:val="32"/>
          <w:szCs w:val="32"/>
          <w:highlight w:val="none"/>
        </w:rPr>
      </w:pPr>
      <w:r>
        <w:rPr>
          <w:rFonts w:hint="default" w:ascii="Times New Roman" w:hAnsi="Times New Roman" w:eastAsia="方正仿宋_GBK" w:cs="Times New Roman"/>
          <w:b w:val="0"/>
          <w:color w:val="auto"/>
          <w:kern w:val="0"/>
          <w:sz w:val="32"/>
          <w:szCs w:val="32"/>
          <w:highlight w:val="none"/>
        </w:rPr>
        <w:t>会同有关部门拟订推进经济建设与国防建设协调发展的战略和规划，协调有关重大问题。组织编制国民经济动员规划，协调和组织实施国民经济动员有关工作。</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方正仿宋_GBK" w:cs="Times New Roman"/>
          <w:b w:val="0"/>
          <w:color w:val="auto"/>
          <w:kern w:val="0"/>
          <w:sz w:val="32"/>
          <w:szCs w:val="32"/>
          <w:highlight w:val="none"/>
          <w:lang w:eastAsia="zh-CN"/>
        </w:rPr>
      </w:pPr>
      <w:r>
        <w:rPr>
          <w:rFonts w:hint="default" w:ascii="Times New Roman" w:hAnsi="Times New Roman" w:eastAsia="方正仿宋_GBK" w:cs="Times New Roman"/>
          <w:b w:val="0"/>
          <w:color w:val="auto"/>
          <w:kern w:val="0"/>
          <w:sz w:val="32"/>
          <w:szCs w:val="32"/>
          <w:highlight w:val="none"/>
        </w:rPr>
        <w:t>依法拟订全区建设工程招投标管理办法和实施细则，并组织落实；依法办理区级审批、核准的依法必须招标项目的招标方案审批、核准事项。</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方正仿宋_GBK" w:cs="Times New Roman"/>
          <w:b w:val="0"/>
          <w:color w:val="auto"/>
          <w:kern w:val="0"/>
          <w:sz w:val="32"/>
          <w:szCs w:val="32"/>
          <w:highlight w:val="none"/>
        </w:rPr>
      </w:pPr>
      <w:r>
        <w:rPr>
          <w:rFonts w:hint="default" w:ascii="Times New Roman" w:hAnsi="Times New Roman" w:eastAsia="方正仿宋_GBK" w:cs="Times New Roman"/>
          <w:b w:val="0"/>
          <w:color w:val="auto"/>
          <w:kern w:val="0"/>
          <w:sz w:val="32"/>
          <w:szCs w:val="32"/>
          <w:highlight w:val="none"/>
        </w:rPr>
        <w:t>承担经济运行监测事务性工作；重大发展政策研究、项目咨询等事务性、服务性工作，为主管部门重大决策提供咨询服务；承担投资项目尤其是政府公共服务项目全过程研究和评估工作；实行市场调节价的有形产品、无形资产和各类有偿价格确认工作，价格认定服务工作；负责军供资产管理、统筹协调军粮供应，承担部队的物资应急保供工作。</w:t>
      </w:r>
    </w:p>
    <w:p>
      <w:pPr>
        <w:widowControl w:val="0"/>
        <w:snapToGrid w:val="0"/>
        <w:spacing w:line="600" w:lineRule="exact"/>
        <w:ind w:firstLine="640" w:firstLineChars="200"/>
        <w:jc w:val="both"/>
        <w:rPr>
          <w:rStyle w:val="12"/>
          <w:rFonts w:hint="default" w:ascii="Times New Roman" w:hAnsi="Times New Roman" w:eastAsia="方正楷体_GBK" w:cs="Times New Roman"/>
          <w:color w:val="auto"/>
          <w:shd w:val="clear" w:color="auto" w:fill="FFFFFF"/>
        </w:rPr>
      </w:pPr>
      <w:r>
        <w:rPr>
          <w:rFonts w:hint="default" w:ascii="Times New Roman" w:hAnsi="Times New Roman" w:eastAsia="方正仿宋_GBK" w:cs="Times New Roman"/>
          <w:b w:val="0"/>
          <w:color w:val="auto"/>
          <w:kern w:val="0"/>
          <w:sz w:val="32"/>
          <w:szCs w:val="32"/>
          <w:highlight w:val="none"/>
        </w:rPr>
        <w:t>受委托，承担国家级、市级和区县级储备粮油质量例行监测、质量监督抽查、普查及其他检验；开展粮油质量调查与品质测报，收集、分析区域内粮油质量安全及生产灾害等信息；指导监督粮油经营者执行国家粮油标准，履行粮油质量安全责任；开展粮油质量安全检验技术研究及相关技术培训与咨询服务。</w:t>
      </w:r>
    </w:p>
    <w:p>
      <w:pPr>
        <w:pStyle w:val="8"/>
        <w:keepNext w:val="0"/>
        <w:keepLines w:val="0"/>
        <w:pageBreakBefore w:val="0"/>
        <w:widowControl w:val="0"/>
        <w:numPr>
          <w:ilvl w:val="0"/>
          <w:numId w:val="1"/>
        </w:numPr>
        <w:shd w:val="clear" w:color="auto" w:fill="FFFFFF"/>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Style w:val="12"/>
          <w:rFonts w:hint="default" w:ascii="Times New Roman" w:hAnsi="Times New Roman" w:eastAsia="方正楷体_GBK" w:cs="Times New Roman"/>
          <w:b w:val="0"/>
          <w:bCs w:val="0"/>
          <w:color w:val="auto"/>
          <w:sz w:val="32"/>
          <w:szCs w:val="32"/>
          <w:shd w:val="clear" w:color="auto" w:fill="FFFFFF"/>
        </w:rPr>
      </w:pPr>
      <w:r>
        <w:rPr>
          <w:rStyle w:val="12"/>
          <w:rFonts w:hint="default" w:ascii="Times New Roman" w:hAnsi="Times New Roman" w:eastAsia="方正楷体_GBK" w:cs="Times New Roman"/>
          <w:b w:val="0"/>
          <w:bCs w:val="0"/>
          <w:color w:val="auto"/>
          <w:sz w:val="32"/>
          <w:szCs w:val="32"/>
          <w:shd w:val="clear" w:color="auto" w:fill="FFFFFF"/>
        </w:rPr>
        <w:t>机构设置</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lang w:val="en-US" w:eastAsia="zh-CN"/>
        </w:rPr>
      </w:pPr>
      <w:r>
        <w:rPr>
          <w:rFonts w:hint="default" w:ascii="Times New Roman" w:hAnsi="Times New Roman" w:eastAsia="方正仿宋_GBK" w:cs="Times New Roman"/>
          <w:color w:val="auto"/>
          <w:sz w:val="32"/>
        </w:rPr>
        <w:t>重庆市万州区发展和改革委员会</w:t>
      </w:r>
      <w:r>
        <w:rPr>
          <w:rFonts w:hint="eastAsia" w:ascii="Times New Roman" w:hAnsi="Times New Roman" w:eastAsia="方正仿宋_GBK" w:cs="Times New Roman"/>
          <w:color w:val="auto"/>
          <w:sz w:val="32"/>
          <w:lang w:val="en-US" w:eastAsia="zh-CN"/>
        </w:rPr>
        <w:t>本级</w:t>
      </w:r>
      <w:r>
        <w:rPr>
          <w:rFonts w:hint="default" w:ascii="Times New Roman" w:hAnsi="Times New Roman" w:eastAsia="方正仿宋_GBK" w:cs="Times New Roman"/>
          <w:color w:val="auto"/>
          <w:sz w:val="32"/>
        </w:rPr>
        <w:t>内设科室20个，分别是：办公室、人事科、国民经济综合科、体制改革科、固定资产投资科、法规督导科、营商环境科、地区经济科、区域合作科、农村经济发展科、工业交通科、资源环境科、社会发展科、财政金融市场科、粮食管理科、价格收费科、国防动员科、国防建设科、招投标管理科、招投标监督科。</w:t>
      </w:r>
      <w:r>
        <w:rPr>
          <w:rFonts w:hint="default" w:ascii="Times New Roman" w:hAnsi="Times New Roman" w:eastAsia="方正仿宋_GBK" w:cs="Times New Roman"/>
          <w:color w:val="auto"/>
          <w:sz w:val="32"/>
          <w:lang w:val="en-US" w:eastAsia="zh-CN"/>
        </w:rPr>
        <w:t>本部门下属单位包括：重庆市万州粮油质量监督检验站、重庆市万州区发展改革服务中心、重庆市万州区人防指挥信息保障中心。</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12"/>
          <w:rFonts w:hint="default" w:ascii="Times New Roman" w:hAnsi="Times New Roman" w:eastAsia="方正楷体_GBK" w:cs="Times New Roman"/>
          <w:color w:val="auto"/>
          <w:shd w:val="clear" w:color="auto" w:fill="FFFFFF"/>
        </w:rPr>
      </w:pPr>
      <w:r>
        <w:rPr>
          <w:rFonts w:hint="default" w:ascii="Times New Roman" w:hAnsi="Times New Roman" w:eastAsia="方正仿宋_GBK" w:cs="Times New Roman"/>
          <w:color w:val="auto"/>
          <w:sz w:val="32"/>
          <w:lang w:val="en-US" w:eastAsia="zh-CN"/>
        </w:rPr>
        <w:t>从预算单位构成看，纳入本部门2023年度决算编制的二级预算单位主要包括</w:t>
      </w:r>
      <w:r>
        <w:rPr>
          <w:rFonts w:hint="eastAsia" w:ascii="Times New Roman" w:hAnsi="Times New Roman" w:eastAsia="方正仿宋_GBK" w:cs="Times New Roman"/>
          <w:color w:val="auto"/>
          <w:sz w:val="32"/>
          <w:lang w:val="en-US" w:eastAsia="zh-CN"/>
        </w:rPr>
        <w:t>：</w:t>
      </w:r>
      <w:r>
        <w:rPr>
          <w:rFonts w:hint="default" w:ascii="Times New Roman" w:hAnsi="Times New Roman" w:eastAsia="方正仿宋_GBK" w:cs="Times New Roman"/>
          <w:color w:val="auto"/>
          <w:sz w:val="32"/>
        </w:rPr>
        <w:t>重庆市万州区发展和改革委员会</w:t>
      </w:r>
      <w:r>
        <w:rPr>
          <w:rFonts w:hint="default" w:ascii="Times New Roman" w:hAnsi="Times New Roman" w:eastAsia="方正仿宋_GBK" w:cs="Times New Roman"/>
          <w:color w:val="auto"/>
          <w:sz w:val="32"/>
          <w:lang w:eastAsia="zh-CN"/>
        </w:rPr>
        <w:t>（</w:t>
      </w:r>
      <w:r>
        <w:rPr>
          <w:rFonts w:hint="default" w:ascii="Times New Roman" w:hAnsi="Times New Roman" w:eastAsia="方正仿宋_GBK" w:cs="Times New Roman"/>
          <w:color w:val="auto"/>
          <w:sz w:val="32"/>
          <w:lang w:val="en-US" w:eastAsia="zh-CN"/>
        </w:rPr>
        <w:t>本级）、重庆市万州粮油质量监督检验站、重庆市万州区发展改革服务中心。</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Style w:val="12"/>
          <w:rFonts w:hint="default" w:ascii="Times New Roman" w:hAnsi="Times New Roman" w:eastAsia="方正黑体_GBK" w:cs="Times New Roman"/>
          <w:b w:val="0"/>
          <w:bCs w:val="0"/>
          <w:color w:val="auto"/>
          <w:sz w:val="32"/>
          <w:szCs w:val="32"/>
          <w:shd w:val="clear" w:color="auto" w:fill="FFFFFF"/>
        </w:rPr>
      </w:pPr>
      <w:r>
        <w:rPr>
          <w:rStyle w:val="12"/>
          <w:rFonts w:hint="default" w:ascii="Times New Roman" w:hAnsi="Times New Roman" w:eastAsia="方正黑体_GBK" w:cs="Times New Roman"/>
          <w:b w:val="0"/>
          <w:bCs w:val="0"/>
          <w:color w:val="auto"/>
          <w:sz w:val="32"/>
          <w:szCs w:val="32"/>
          <w:shd w:val="clear" w:color="auto" w:fill="FFFFFF"/>
        </w:rPr>
        <w:t>二、部门决算情况说明</w:t>
      </w:r>
    </w:p>
    <w:p>
      <w:pPr>
        <w:pStyle w:val="8"/>
        <w:widowControl w:val="0"/>
        <w:shd w:val="clear" w:color="auto" w:fill="FFFFFF"/>
        <w:spacing w:before="0" w:beforeAutospacing="0" w:after="0" w:afterAutospacing="0" w:line="600" w:lineRule="exact"/>
        <w:ind w:firstLine="640" w:firstLineChars="200"/>
        <w:jc w:val="both"/>
        <w:rPr>
          <w:rFonts w:hint="default" w:ascii="Times New Roman" w:hAnsi="Times New Roman" w:eastAsia="楷体" w:cs="Times New Roman"/>
          <w:b w:val="0"/>
          <w:bCs w:val="0"/>
          <w:color w:val="auto"/>
          <w:sz w:val="32"/>
          <w:szCs w:val="32"/>
          <w:shd w:val="clear" w:color="auto" w:fill="FFFFFF"/>
        </w:rPr>
      </w:pPr>
      <w:r>
        <w:rPr>
          <w:rFonts w:hint="default" w:ascii="Times New Roman" w:hAnsi="Times New Roman" w:eastAsia="方正楷体_GBK" w:cs="Times New Roman"/>
          <w:b w:val="0"/>
          <w:bCs w:val="0"/>
          <w:color w:val="auto"/>
          <w:sz w:val="32"/>
          <w:szCs w:val="32"/>
          <w:shd w:val="clear" w:color="auto" w:fill="FFFFFF"/>
        </w:rPr>
        <w:t>（一）收入支出决算总体情况说明</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12"/>
          <w:rFonts w:hint="default" w:ascii="Times New Roman" w:hAnsi="Times New Roman" w:eastAsia="方正仿宋_GBK" w:cs="Times New Roman"/>
          <w:b w:val="0"/>
          <w:bCs w:val="0"/>
          <w:color w:val="auto"/>
          <w:sz w:val="32"/>
          <w:szCs w:val="32"/>
          <w:shd w:val="clear" w:color="auto" w:fill="FFFFFF"/>
        </w:rPr>
        <w:t>1.总体情况。</w:t>
      </w:r>
      <w:r>
        <w:rPr>
          <w:rFonts w:hint="default" w:ascii="Times New Roman" w:hAnsi="Times New Roman" w:eastAsia="方正仿宋_GBK" w:cs="Times New Roman"/>
          <w:b w:val="0"/>
          <w:bCs w:val="0"/>
          <w:color w:val="auto"/>
          <w:sz w:val="32"/>
          <w:szCs w:val="32"/>
          <w:shd w:val="clear" w:color="auto" w:fill="FFFFFF"/>
        </w:rPr>
        <w:t>2023年度收入总计</w:t>
      </w:r>
      <w:r>
        <w:rPr>
          <w:rFonts w:hint="default" w:ascii="Times New Roman" w:hAnsi="Times New Roman" w:eastAsia="方正仿宋_GBK" w:cs="Times New Roman"/>
          <w:b w:val="0"/>
          <w:bCs w:val="0"/>
          <w:color w:val="auto"/>
          <w:sz w:val="32"/>
          <w:szCs w:val="32"/>
          <w:shd w:val="clear" w:color="auto" w:fill="FFFFFF"/>
          <w:lang w:val="en-US" w:eastAsia="zh-CN"/>
        </w:rPr>
        <w:t>7456.51</w:t>
      </w:r>
      <w:r>
        <w:rPr>
          <w:rFonts w:hint="default" w:ascii="Times New Roman" w:hAnsi="Times New Roman" w:eastAsia="方正仿宋_GBK" w:cs="Times New Roman"/>
          <w:b w:val="0"/>
          <w:bCs w:val="0"/>
          <w:color w:val="auto"/>
          <w:sz w:val="32"/>
          <w:szCs w:val="32"/>
          <w:shd w:val="clear" w:color="auto" w:fill="FFFFFF"/>
        </w:rPr>
        <w:t>万元，支出总计</w:t>
      </w:r>
      <w:r>
        <w:rPr>
          <w:rFonts w:hint="default" w:ascii="Times New Roman" w:hAnsi="Times New Roman" w:eastAsia="方正仿宋_GBK" w:cs="Times New Roman"/>
          <w:b w:val="0"/>
          <w:bCs w:val="0"/>
          <w:color w:val="auto"/>
          <w:sz w:val="32"/>
          <w:szCs w:val="32"/>
          <w:lang w:val="en-US" w:eastAsia="zh-CN"/>
        </w:rPr>
        <w:t>7456.51</w:t>
      </w:r>
      <w:r>
        <w:rPr>
          <w:rFonts w:hint="default" w:ascii="Times New Roman" w:hAnsi="Times New Roman" w:eastAsia="方正仿宋_GBK" w:cs="Times New Roman"/>
          <w:b w:val="0"/>
          <w:bCs w:val="0"/>
          <w:color w:val="auto"/>
          <w:sz w:val="32"/>
          <w:szCs w:val="32"/>
          <w:shd w:val="clear" w:color="auto" w:fill="FFFFFF"/>
        </w:rPr>
        <w:t>万元。收支较上年决算数增加1</w:t>
      </w:r>
      <w:r>
        <w:rPr>
          <w:rFonts w:hint="default" w:ascii="Times New Roman" w:hAnsi="Times New Roman" w:eastAsia="方正仿宋_GBK" w:cs="Times New Roman"/>
          <w:b w:val="0"/>
          <w:bCs w:val="0"/>
          <w:color w:val="auto"/>
          <w:sz w:val="32"/>
          <w:szCs w:val="32"/>
          <w:shd w:val="clear" w:color="auto" w:fill="FFFFFF"/>
          <w:lang w:val="en-US" w:eastAsia="zh-CN"/>
        </w:rPr>
        <w:t>661.14</w:t>
      </w:r>
      <w:r>
        <w:rPr>
          <w:rFonts w:hint="default" w:ascii="Times New Roman" w:hAnsi="Times New Roman" w:eastAsia="方正仿宋_GBK" w:cs="Times New Roman"/>
          <w:b w:val="0"/>
          <w:bCs w:val="0"/>
          <w:color w:val="auto"/>
          <w:sz w:val="32"/>
          <w:szCs w:val="32"/>
          <w:shd w:val="clear" w:color="auto" w:fill="FFFFFF"/>
        </w:rPr>
        <w:t>万元，增长</w:t>
      </w:r>
      <w:r>
        <w:rPr>
          <w:rFonts w:hint="default" w:ascii="Times New Roman" w:hAnsi="Times New Roman" w:eastAsia="方正仿宋_GBK" w:cs="Times New Roman"/>
          <w:b w:val="0"/>
          <w:bCs w:val="0"/>
          <w:color w:val="auto"/>
          <w:sz w:val="32"/>
          <w:szCs w:val="32"/>
          <w:shd w:val="clear" w:color="auto" w:fill="FFFFFF"/>
          <w:lang w:val="en-US" w:eastAsia="zh-CN"/>
        </w:rPr>
        <w:t>28.7</w:t>
      </w:r>
      <w:r>
        <w:rPr>
          <w:rFonts w:hint="default" w:ascii="Times New Roman" w:hAnsi="Times New Roman" w:eastAsia="方正仿宋_GBK" w:cs="Times New Roman"/>
          <w:b w:val="0"/>
          <w:bCs w:val="0"/>
          <w:color w:val="auto"/>
          <w:sz w:val="32"/>
          <w:szCs w:val="32"/>
          <w:shd w:val="clear" w:color="auto" w:fill="FFFFFF"/>
        </w:rPr>
        <w:t>%，主要原因</w:t>
      </w:r>
      <w:r>
        <w:rPr>
          <w:rFonts w:hint="eastAsia" w:ascii="Times New Roman" w:hAnsi="Times New Roman" w:eastAsia="方正仿宋_GBK" w:cs="Times New Roman"/>
          <w:b w:val="0"/>
          <w:bCs w:val="0"/>
          <w:color w:val="auto"/>
          <w:sz w:val="32"/>
          <w:szCs w:val="32"/>
          <w:shd w:val="clear" w:color="auto" w:fill="FFFFFF"/>
          <w:lang w:val="en-US" w:eastAsia="zh-CN"/>
        </w:rPr>
        <w:t>一</w:t>
      </w:r>
      <w:r>
        <w:rPr>
          <w:rFonts w:hint="default" w:ascii="Times New Roman" w:hAnsi="Times New Roman" w:eastAsia="方正仿宋_GBK" w:cs="Times New Roman"/>
          <w:b w:val="0"/>
          <w:bCs w:val="0"/>
          <w:color w:val="auto"/>
          <w:sz w:val="32"/>
          <w:szCs w:val="32"/>
          <w:shd w:val="clear" w:color="auto" w:fill="FFFFFF"/>
        </w:rPr>
        <w:t>是</w:t>
      </w:r>
      <w:r>
        <w:rPr>
          <w:rFonts w:hint="eastAsia" w:ascii="Times New Roman" w:hAnsi="Times New Roman" w:eastAsia="方正仿宋_GBK" w:cs="Times New Roman"/>
          <w:b w:val="0"/>
          <w:bCs w:val="0"/>
          <w:color w:val="auto"/>
          <w:sz w:val="32"/>
          <w:szCs w:val="32"/>
          <w:shd w:val="clear" w:color="auto" w:fill="FFFFFF"/>
          <w:lang w:val="en-US" w:eastAsia="zh-CN"/>
        </w:rPr>
        <w:t>机构改革人员转隶</w:t>
      </w:r>
      <w:r>
        <w:rPr>
          <w:rFonts w:hint="default" w:ascii="Times New Roman" w:hAnsi="Times New Roman" w:eastAsia="方正仿宋_GBK" w:cs="Times New Roman"/>
          <w:b w:val="0"/>
          <w:bCs w:val="0"/>
          <w:color w:val="auto"/>
          <w:sz w:val="32"/>
          <w:szCs w:val="32"/>
          <w:shd w:val="clear" w:color="auto" w:fill="FFFFFF"/>
          <w:lang w:val="en-US" w:eastAsia="zh-CN"/>
        </w:rPr>
        <w:t>基本支出</w:t>
      </w:r>
      <w:r>
        <w:rPr>
          <w:rFonts w:hint="eastAsia" w:ascii="Times New Roman" w:hAnsi="Times New Roman" w:eastAsia="方正仿宋_GBK" w:cs="Times New Roman"/>
          <w:b w:val="0"/>
          <w:bCs w:val="0"/>
          <w:color w:val="auto"/>
          <w:sz w:val="32"/>
          <w:szCs w:val="32"/>
          <w:shd w:val="clear" w:color="auto" w:fill="FFFFFF"/>
          <w:lang w:val="en-US" w:eastAsia="zh-CN"/>
        </w:rPr>
        <w:t>增加，二是执行中追加部分一次性项目</w:t>
      </w:r>
      <w:r>
        <w:rPr>
          <w:rFonts w:hint="default" w:ascii="Times New Roman" w:hAnsi="Times New Roman" w:eastAsia="方正仿宋_GBK" w:cs="Times New Roman"/>
          <w:b w:val="0"/>
          <w:bCs w:val="0"/>
          <w:color w:val="auto"/>
          <w:sz w:val="32"/>
          <w:szCs w:val="32"/>
          <w:shd w:val="clear" w:color="auto" w:fill="FFFFFF"/>
          <w:lang w:val="en-US" w:eastAsia="zh-CN"/>
        </w:rPr>
        <w:t>，财政拨款收支总体较上年增加</w:t>
      </w:r>
      <w:r>
        <w:rPr>
          <w:rFonts w:hint="default" w:ascii="Times New Roman" w:hAnsi="Times New Roman" w:eastAsia="方正仿宋_GBK" w:cs="Times New Roman"/>
          <w:b w:val="0"/>
          <w:bCs w:val="0"/>
          <w:color w:val="auto"/>
          <w:sz w:val="32"/>
          <w:szCs w:val="32"/>
          <w:shd w:val="clear" w:color="auto" w:fill="FFFFFF"/>
        </w:rPr>
        <w:t>。</w:t>
      </w:r>
    </w:p>
    <w:p>
      <w:pPr>
        <w:pStyle w:val="8"/>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z w:val="32"/>
          <w:szCs w:val="32"/>
          <w:shd w:val="clear" w:color="auto" w:fill="FFFFFF"/>
        </w:rPr>
      </w:pPr>
      <w:r>
        <w:rPr>
          <w:rStyle w:val="12"/>
          <w:rFonts w:hint="default" w:ascii="Times New Roman" w:hAnsi="Times New Roman" w:eastAsia="方正仿宋_GBK" w:cs="Times New Roman"/>
          <w:b w:val="0"/>
          <w:bCs w:val="0"/>
          <w:color w:val="auto"/>
          <w:sz w:val="32"/>
          <w:szCs w:val="32"/>
          <w:shd w:val="clear" w:color="auto" w:fill="FFFFFF"/>
        </w:rPr>
        <w:t>2.收入情况。</w:t>
      </w:r>
      <w:r>
        <w:rPr>
          <w:rFonts w:hint="default" w:ascii="Times New Roman" w:hAnsi="Times New Roman" w:eastAsia="方正仿宋_GBK" w:cs="Times New Roman"/>
          <w:b w:val="0"/>
          <w:bCs w:val="0"/>
          <w:color w:val="auto"/>
          <w:sz w:val="32"/>
          <w:szCs w:val="32"/>
          <w:shd w:val="clear" w:color="auto" w:fill="FFFFFF"/>
        </w:rPr>
        <w:t>2023年度收入合计</w:t>
      </w:r>
      <w:r>
        <w:rPr>
          <w:rFonts w:hint="default" w:ascii="Times New Roman" w:hAnsi="Times New Roman" w:eastAsia="方正仿宋_GBK" w:cs="Times New Roman"/>
          <w:b w:val="0"/>
          <w:bCs w:val="0"/>
          <w:color w:val="auto"/>
          <w:sz w:val="32"/>
          <w:szCs w:val="32"/>
          <w:shd w:val="clear" w:color="auto" w:fill="FFFFFF"/>
          <w:lang w:eastAsia="zh-CN"/>
        </w:rPr>
        <w:t>7</w:t>
      </w:r>
      <w:r>
        <w:rPr>
          <w:rFonts w:hint="default" w:ascii="Times New Roman" w:hAnsi="Times New Roman" w:eastAsia="方正仿宋_GBK" w:cs="Times New Roman"/>
          <w:b w:val="0"/>
          <w:bCs w:val="0"/>
          <w:color w:val="auto"/>
          <w:sz w:val="32"/>
          <w:szCs w:val="32"/>
          <w:shd w:val="clear" w:color="auto" w:fill="FFFFFF"/>
          <w:lang w:val="en-US" w:eastAsia="zh-CN"/>
        </w:rPr>
        <w:t>229.56</w:t>
      </w:r>
      <w:r>
        <w:rPr>
          <w:rFonts w:hint="default" w:ascii="Times New Roman" w:hAnsi="Times New Roman" w:eastAsia="方正仿宋_GBK" w:cs="Times New Roman"/>
          <w:b w:val="0"/>
          <w:bCs w:val="0"/>
          <w:color w:val="auto"/>
          <w:sz w:val="32"/>
          <w:szCs w:val="32"/>
          <w:shd w:val="clear" w:color="auto" w:fill="FFFFFF"/>
        </w:rPr>
        <w:t>万元，较上年决算数增加</w:t>
      </w:r>
      <w:r>
        <w:rPr>
          <w:rFonts w:hint="default" w:ascii="Times New Roman" w:hAnsi="Times New Roman" w:eastAsia="方正仿宋_GBK" w:cs="Times New Roman"/>
          <w:b w:val="0"/>
          <w:bCs w:val="0"/>
          <w:color w:val="auto"/>
          <w:sz w:val="32"/>
          <w:szCs w:val="32"/>
          <w:shd w:val="clear" w:color="auto" w:fill="FFFFFF"/>
          <w:lang w:eastAsia="zh-CN"/>
        </w:rPr>
        <w:t>1</w:t>
      </w:r>
      <w:r>
        <w:rPr>
          <w:rFonts w:hint="default" w:ascii="Times New Roman" w:hAnsi="Times New Roman" w:eastAsia="方正仿宋_GBK" w:cs="Times New Roman"/>
          <w:b w:val="0"/>
          <w:bCs w:val="0"/>
          <w:color w:val="auto"/>
          <w:sz w:val="32"/>
          <w:szCs w:val="32"/>
          <w:shd w:val="clear" w:color="auto" w:fill="FFFFFF"/>
          <w:lang w:val="en-US" w:eastAsia="zh-CN"/>
        </w:rPr>
        <w:t>434.19</w:t>
      </w:r>
      <w:r>
        <w:rPr>
          <w:rFonts w:hint="default" w:ascii="Times New Roman" w:hAnsi="Times New Roman" w:eastAsia="方正仿宋_GBK" w:cs="Times New Roman"/>
          <w:b w:val="0"/>
          <w:bCs w:val="0"/>
          <w:color w:val="auto"/>
          <w:sz w:val="32"/>
          <w:szCs w:val="32"/>
          <w:shd w:val="clear" w:color="auto" w:fill="FFFFFF"/>
        </w:rPr>
        <w:t>万元，增长2</w:t>
      </w:r>
      <w:r>
        <w:rPr>
          <w:rFonts w:hint="default" w:ascii="Times New Roman" w:hAnsi="Times New Roman" w:eastAsia="方正仿宋_GBK" w:cs="Times New Roman"/>
          <w:b w:val="0"/>
          <w:bCs w:val="0"/>
          <w:color w:val="auto"/>
          <w:sz w:val="32"/>
          <w:szCs w:val="32"/>
          <w:shd w:val="clear" w:color="auto" w:fill="FFFFFF"/>
          <w:lang w:eastAsia="zh-CN"/>
        </w:rPr>
        <w:t>4</w:t>
      </w:r>
      <w:r>
        <w:rPr>
          <w:rFonts w:hint="default" w:ascii="Times New Roman" w:hAnsi="Times New Roman" w:eastAsia="方正仿宋_GBK" w:cs="Times New Roman"/>
          <w:b w:val="0"/>
          <w:bCs w:val="0"/>
          <w:color w:val="auto"/>
          <w:sz w:val="32"/>
          <w:szCs w:val="32"/>
          <w:shd w:val="clear" w:color="auto" w:fill="FFFFFF"/>
          <w:lang w:val="en-US" w:eastAsia="zh-CN"/>
        </w:rPr>
        <w:t>.7</w:t>
      </w:r>
      <w:r>
        <w:rPr>
          <w:rFonts w:hint="default" w:ascii="Times New Roman" w:hAnsi="Times New Roman" w:eastAsia="方正仿宋_GBK" w:cs="Times New Roman"/>
          <w:b w:val="0"/>
          <w:bCs w:val="0"/>
          <w:color w:val="auto"/>
          <w:sz w:val="32"/>
          <w:szCs w:val="32"/>
          <w:shd w:val="clear" w:color="auto" w:fill="FFFFFF"/>
        </w:rPr>
        <w:t>%，主要原因</w:t>
      </w:r>
      <w:r>
        <w:rPr>
          <w:rFonts w:hint="default" w:ascii="Times New Roman" w:hAnsi="Times New Roman" w:eastAsia="方正仿宋_GBK" w:cs="Times New Roman"/>
          <w:b w:val="0"/>
          <w:bCs w:val="0"/>
          <w:color w:val="auto"/>
          <w:sz w:val="32"/>
          <w:szCs w:val="32"/>
          <w:shd w:val="clear" w:color="auto" w:fill="FFFFFF"/>
          <w:lang w:eastAsia="zh-CN"/>
        </w:rPr>
        <w:t>一</w:t>
      </w:r>
      <w:r>
        <w:rPr>
          <w:rFonts w:hint="default" w:ascii="Times New Roman" w:hAnsi="Times New Roman" w:eastAsia="方正仿宋_GBK" w:cs="Times New Roman"/>
          <w:b w:val="0"/>
          <w:bCs w:val="0"/>
          <w:color w:val="auto"/>
          <w:sz w:val="32"/>
          <w:szCs w:val="32"/>
          <w:shd w:val="clear" w:color="auto" w:fill="FFFFFF"/>
          <w:lang w:val="en-US" w:eastAsia="zh-CN"/>
        </w:rPr>
        <w:t>是机构改革人员及职能职责划入人员经费增加，二是新增部分项目支出</w:t>
      </w:r>
      <w:r>
        <w:rPr>
          <w:rFonts w:hint="default" w:ascii="Times New Roman" w:hAnsi="Times New Roman" w:eastAsia="方正仿宋_GBK" w:cs="Times New Roman"/>
          <w:b w:val="0"/>
          <w:bCs w:val="0"/>
          <w:color w:val="auto"/>
          <w:sz w:val="32"/>
          <w:szCs w:val="32"/>
          <w:shd w:val="clear" w:color="auto" w:fill="FFFFFF"/>
        </w:rPr>
        <w:t>。其中：财政拨款收入</w:t>
      </w:r>
      <w:r>
        <w:rPr>
          <w:rFonts w:hint="default" w:ascii="Times New Roman" w:hAnsi="Times New Roman" w:eastAsia="方正仿宋_GBK" w:cs="Times New Roman"/>
          <w:b w:val="0"/>
          <w:bCs w:val="0"/>
          <w:color w:val="auto"/>
          <w:sz w:val="32"/>
          <w:szCs w:val="32"/>
          <w:lang w:eastAsia="zh-CN"/>
        </w:rPr>
        <w:t>7</w:t>
      </w:r>
      <w:r>
        <w:rPr>
          <w:rFonts w:hint="default" w:ascii="Times New Roman" w:hAnsi="Times New Roman" w:eastAsia="方正仿宋_GBK" w:cs="Times New Roman"/>
          <w:b w:val="0"/>
          <w:bCs w:val="0"/>
          <w:color w:val="auto"/>
          <w:sz w:val="32"/>
          <w:szCs w:val="32"/>
          <w:lang w:val="en-US" w:eastAsia="zh-CN"/>
        </w:rPr>
        <w:t>229.56</w:t>
      </w:r>
      <w:r>
        <w:rPr>
          <w:rFonts w:hint="default" w:ascii="Times New Roman" w:hAnsi="Times New Roman" w:eastAsia="方正仿宋_GBK" w:cs="Times New Roman"/>
          <w:b w:val="0"/>
          <w:bCs w:val="0"/>
          <w:color w:val="auto"/>
          <w:sz w:val="32"/>
          <w:szCs w:val="32"/>
          <w:shd w:val="clear" w:color="auto" w:fill="FFFFFF"/>
        </w:rPr>
        <w:t>万元，占</w:t>
      </w:r>
      <w:r>
        <w:rPr>
          <w:rFonts w:hint="default" w:ascii="Times New Roman" w:hAnsi="Times New Roman" w:eastAsia="方正仿宋_GBK" w:cs="Times New Roman"/>
          <w:b w:val="0"/>
          <w:bCs w:val="0"/>
          <w:color w:val="auto"/>
          <w:sz w:val="32"/>
          <w:szCs w:val="32"/>
        </w:rPr>
        <w:t>100.0</w:t>
      </w:r>
      <w:r>
        <w:rPr>
          <w:rFonts w:hint="default" w:ascii="Times New Roman" w:hAnsi="Times New Roman" w:eastAsia="方正仿宋_GBK" w:cs="Times New Roman"/>
          <w:b w:val="0"/>
          <w:bCs w:val="0"/>
          <w:color w:val="auto"/>
          <w:sz w:val="32"/>
          <w:szCs w:val="32"/>
          <w:shd w:val="clear" w:color="auto" w:fill="FFFFFF"/>
        </w:rPr>
        <w:t>%；此外，使用年初结转和结余</w:t>
      </w:r>
      <w:r>
        <w:rPr>
          <w:rFonts w:hint="default" w:ascii="Times New Roman" w:hAnsi="Times New Roman" w:eastAsia="方正仿宋_GBK" w:cs="Times New Roman"/>
          <w:b w:val="0"/>
          <w:bCs w:val="0"/>
          <w:color w:val="auto"/>
          <w:sz w:val="32"/>
          <w:szCs w:val="32"/>
        </w:rPr>
        <w:t>226.95</w:t>
      </w:r>
      <w:r>
        <w:rPr>
          <w:rFonts w:hint="default" w:ascii="Times New Roman" w:hAnsi="Times New Roman" w:eastAsia="方正仿宋_GBK" w:cs="Times New Roman"/>
          <w:b w:val="0"/>
          <w:bCs w:val="0"/>
          <w:color w:val="auto"/>
          <w:sz w:val="32"/>
          <w:szCs w:val="32"/>
          <w:shd w:val="clear" w:color="auto" w:fill="FFFFFF"/>
        </w:rPr>
        <w:t>万元。</w:t>
      </w:r>
    </w:p>
    <w:p>
      <w:pPr>
        <w:pStyle w:val="8"/>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z w:val="32"/>
          <w:szCs w:val="32"/>
          <w:shd w:val="clear" w:color="auto" w:fill="FFFFFF"/>
        </w:rPr>
      </w:pPr>
      <w:r>
        <w:rPr>
          <w:rStyle w:val="12"/>
          <w:rFonts w:hint="default" w:ascii="Times New Roman" w:hAnsi="Times New Roman" w:eastAsia="方正仿宋_GBK" w:cs="Times New Roman"/>
          <w:b w:val="0"/>
          <w:bCs w:val="0"/>
          <w:color w:val="auto"/>
          <w:sz w:val="32"/>
          <w:szCs w:val="32"/>
          <w:shd w:val="clear" w:color="auto" w:fill="FFFFFF"/>
        </w:rPr>
        <w:t>3.支出情况。</w:t>
      </w:r>
      <w:r>
        <w:rPr>
          <w:rFonts w:hint="default" w:ascii="Times New Roman" w:hAnsi="Times New Roman" w:eastAsia="方正仿宋_GBK" w:cs="Times New Roman"/>
          <w:b w:val="0"/>
          <w:bCs w:val="0"/>
          <w:color w:val="auto"/>
          <w:sz w:val="32"/>
          <w:szCs w:val="32"/>
          <w:shd w:val="clear" w:color="auto" w:fill="FFFFFF"/>
        </w:rPr>
        <w:t>2023年度支出合计</w:t>
      </w:r>
      <w:r>
        <w:rPr>
          <w:rFonts w:hint="default" w:ascii="Times New Roman" w:hAnsi="Times New Roman" w:eastAsia="方正仿宋_GBK" w:cs="Times New Roman"/>
          <w:b w:val="0"/>
          <w:bCs w:val="0"/>
          <w:color w:val="auto"/>
          <w:sz w:val="32"/>
          <w:szCs w:val="32"/>
          <w:lang w:eastAsia="zh-CN"/>
        </w:rPr>
        <w:t>7</w:t>
      </w:r>
      <w:r>
        <w:rPr>
          <w:rFonts w:hint="default" w:ascii="Times New Roman" w:hAnsi="Times New Roman" w:eastAsia="方正仿宋_GBK" w:cs="Times New Roman"/>
          <w:b w:val="0"/>
          <w:bCs w:val="0"/>
          <w:color w:val="auto"/>
          <w:sz w:val="32"/>
          <w:szCs w:val="32"/>
          <w:lang w:val="en-US" w:eastAsia="zh-CN"/>
        </w:rPr>
        <w:t>456.51</w:t>
      </w:r>
      <w:r>
        <w:rPr>
          <w:rFonts w:hint="default" w:ascii="Times New Roman" w:hAnsi="Times New Roman" w:eastAsia="方正仿宋_GBK" w:cs="Times New Roman"/>
          <w:b w:val="0"/>
          <w:bCs w:val="0"/>
          <w:color w:val="auto"/>
          <w:sz w:val="32"/>
          <w:szCs w:val="32"/>
          <w:shd w:val="clear" w:color="auto" w:fill="FFFFFF"/>
        </w:rPr>
        <w:t>万元，较上年决算数增加</w:t>
      </w:r>
      <w:r>
        <w:rPr>
          <w:rFonts w:hint="default" w:ascii="Times New Roman" w:hAnsi="Times New Roman" w:eastAsia="方正仿宋_GBK" w:cs="Times New Roman"/>
          <w:b w:val="0"/>
          <w:bCs w:val="0"/>
          <w:color w:val="auto"/>
          <w:sz w:val="32"/>
          <w:szCs w:val="32"/>
          <w:shd w:val="clear" w:color="auto" w:fill="FFFFFF"/>
          <w:lang w:eastAsia="zh-CN"/>
        </w:rPr>
        <w:t>1</w:t>
      </w:r>
      <w:r>
        <w:rPr>
          <w:rFonts w:hint="default" w:ascii="Times New Roman" w:hAnsi="Times New Roman" w:eastAsia="方正仿宋_GBK" w:cs="Times New Roman"/>
          <w:b w:val="0"/>
          <w:bCs w:val="0"/>
          <w:color w:val="auto"/>
          <w:sz w:val="32"/>
          <w:szCs w:val="32"/>
          <w:shd w:val="clear" w:color="auto" w:fill="FFFFFF"/>
          <w:lang w:val="en-US" w:eastAsia="zh-CN"/>
        </w:rPr>
        <w:t>661.14</w:t>
      </w:r>
      <w:r>
        <w:rPr>
          <w:rFonts w:hint="default" w:ascii="Times New Roman" w:hAnsi="Times New Roman" w:eastAsia="方正仿宋_GBK" w:cs="Times New Roman"/>
          <w:b w:val="0"/>
          <w:bCs w:val="0"/>
          <w:color w:val="auto"/>
          <w:sz w:val="32"/>
          <w:szCs w:val="32"/>
          <w:shd w:val="clear" w:color="auto" w:fill="FFFFFF"/>
        </w:rPr>
        <w:t>万元，增长</w:t>
      </w:r>
      <w:r>
        <w:rPr>
          <w:rFonts w:hint="default" w:ascii="Times New Roman" w:hAnsi="Times New Roman" w:eastAsia="方正仿宋_GBK" w:cs="Times New Roman"/>
          <w:b w:val="0"/>
          <w:bCs w:val="0"/>
          <w:color w:val="auto"/>
          <w:sz w:val="32"/>
          <w:szCs w:val="32"/>
          <w:shd w:val="clear" w:color="auto" w:fill="FFFFFF"/>
          <w:lang w:eastAsia="zh-CN"/>
        </w:rPr>
        <w:t>2</w:t>
      </w:r>
      <w:r>
        <w:rPr>
          <w:rFonts w:hint="default" w:ascii="Times New Roman" w:hAnsi="Times New Roman" w:eastAsia="方正仿宋_GBK" w:cs="Times New Roman"/>
          <w:b w:val="0"/>
          <w:bCs w:val="0"/>
          <w:color w:val="auto"/>
          <w:sz w:val="32"/>
          <w:szCs w:val="32"/>
          <w:shd w:val="clear" w:color="auto" w:fill="FFFFFF"/>
          <w:lang w:val="en-US" w:eastAsia="zh-CN"/>
        </w:rPr>
        <w:t>8.</w:t>
      </w:r>
      <w:r>
        <w:rPr>
          <w:rFonts w:hint="default" w:ascii="Times New Roman" w:hAnsi="Times New Roman" w:eastAsia="方正仿宋_GBK" w:cs="Times New Roman"/>
          <w:b w:val="0"/>
          <w:bCs w:val="0"/>
          <w:color w:val="auto"/>
          <w:sz w:val="32"/>
          <w:szCs w:val="32"/>
          <w:shd w:val="clear" w:color="auto" w:fill="FFFFFF"/>
        </w:rPr>
        <w:t>7%，主要原因是</w:t>
      </w:r>
      <w:r>
        <w:rPr>
          <w:rFonts w:hint="default" w:ascii="Times New Roman" w:hAnsi="Times New Roman" w:eastAsia="方正仿宋_GBK" w:cs="Times New Roman"/>
          <w:b w:val="0"/>
          <w:bCs w:val="0"/>
          <w:color w:val="auto"/>
          <w:sz w:val="32"/>
          <w:szCs w:val="32"/>
          <w:shd w:val="clear" w:color="auto" w:fill="FFFFFF"/>
          <w:lang w:val="en-US" w:eastAsia="zh-CN"/>
        </w:rPr>
        <w:t>基本支出增加336.82万元，项目支出增加1324.32万元</w:t>
      </w:r>
      <w:r>
        <w:rPr>
          <w:rFonts w:hint="default" w:ascii="Times New Roman" w:hAnsi="Times New Roman" w:eastAsia="方正仿宋_GBK" w:cs="Times New Roman"/>
          <w:b w:val="0"/>
          <w:bCs w:val="0"/>
          <w:color w:val="auto"/>
          <w:sz w:val="32"/>
          <w:szCs w:val="32"/>
          <w:shd w:val="clear" w:color="auto" w:fill="FFFFFF"/>
        </w:rPr>
        <w:t>。其中：基本支出</w:t>
      </w:r>
      <w:r>
        <w:rPr>
          <w:rFonts w:hint="default" w:ascii="Times New Roman" w:hAnsi="Times New Roman" w:eastAsia="方正仿宋_GBK" w:cs="Times New Roman"/>
          <w:b w:val="0"/>
          <w:bCs w:val="0"/>
          <w:color w:val="auto"/>
          <w:sz w:val="32"/>
          <w:szCs w:val="32"/>
        </w:rPr>
        <w:t>3</w:t>
      </w:r>
      <w:r>
        <w:rPr>
          <w:rFonts w:hint="default" w:ascii="Times New Roman" w:hAnsi="Times New Roman" w:eastAsia="方正仿宋_GBK" w:cs="Times New Roman"/>
          <w:b w:val="0"/>
          <w:bCs w:val="0"/>
          <w:color w:val="auto"/>
          <w:sz w:val="32"/>
          <w:szCs w:val="32"/>
          <w:lang w:eastAsia="zh-CN"/>
        </w:rPr>
        <w:t>2</w:t>
      </w:r>
      <w:r>
        <w:rPr>
          <w:rFonts w:hint="default" w:ascii="Times New Roman" w:hAnsi="Times New Roman" w:eastAsia="方正仿宋_GBK" w:cs="Times New Roman"/>
          <w:b w:val="0"/>
          <w:bCs w:val="0"/>
          <w:color w:val="auto"/>
          <w:sz w:val="32"/>
          <w:szCs w:val="32"/>
          <w:lang w:val="en-US" w:eastAsia="zh-CN"/>
        </w:rPr>
        <w:t>99.1</w:t>
      </w:r>
      <w:r>
        <w:rPr>
          <w:rFonts w:hint="default" w:ascii="Times New Roman" w:hAnsi="Times New Roman" w:eastAsia="方正仿宋_GBK" w:cs="Times New Roman"/>
          <w:b w:val="0"/>
          <w:bCs w:val="0"/>
          <w:color w:val="auto"/>
          <w:sz w:val="32"/>
          <w:szCs w:val="32"/>
          <w:shd w:val="clear" w:color="auto" w:fill="FFFFFF"/>
        </w:rPr>
        <w:t>万元，占4</w:t>
      </w:r>
      <w:r>
        <w:rPr>
          <w:rFonts w:hint="default" w:ascii="Times New Roman" w:hAnsi="Times New Roman" w:eastAsia="方正仿宋_GBK" w:cs="Times New Roman"/>
          <w:b w:val="0"/>
          <w:bCs w:val="0"/>
          <w:color w:val="auto"/>
          <w:sz w:val="32"/>
          <w:szCs w:val="32"/>
          <w:shd w:val="clear" w:color="auto" w:fill="FFFFFF"/>
          <w:lang w:eastAsia="zh-CN"/>
        </w:rPr>
        <w:t>4</w:t>
      </w:r>
      <w:r>
        <w:rPr>
          <w:rFonts w:hint="default" w:ascii="Times New Roman" w:hAnsi="Times New Roman" w:eastAsia="方正仿宋_GBK" w:cs="Times New Roman"/>
          <w:b w:val="0"/>
          <w:bCs w:val="0"/>
          <w:color w:val="auto"/>
          <w:sz w:val="32"/>
          <w:szCs w:val="32"/>
          <w:shd w:val="clear" w:color="auto" w:fill="FFFFFF"/>
          <w:lang w:val="en-US" w:eastAsia="zh-CN"/>
        </w:rPr>
        <w:t>.24</w:t>
      </w:r>
      <w:r>
        <w:rPr>
          <w:rFonts w:hint="default" w:ascii="Times New Roman" w:hAnsi="Times New Roman" w:eastAsia="方正仿宋_GBK" w:cs="Times New Roman"/>
          <w:b w:val="0"/>
          <w:bCs w:val="0"/>
          <w:color w:val="auto"/>
          <w:sz w:val="32"/>
          <w:szCs w:val="32"/>
          <w:shd w:val="clear" w:color="auto" w:fill="FFFFFF"/>
        </w:rPr>
        <w:t>%；项目支出</w:t>
      </w:r>
      <w:r>
        <w:rPr>
          <w:rFonts w:hint="default" w:ascii="Times New Roman" w:hAnsi="Times New Roman" w:eastAsia="方正仿宋_GBK" w:cs="Times New Roman"/>
          <w:b w:val="0"/>
          <w:bCs w:val="0"/>
          <w:color w:val="auto"/>
          <w:sz w:val="32"/>
          <w:szCs w:val="32"/>
        </w:rPr>
        <w:t>4157.41</w:t>
      </w:r>
      <w:r>
        <w:rPr>
          <w:rFonts w:hint="default" w:ascii="Times New Roman" w:hAnsi="Times New Roman" w:eastAsia="方正仿宋_GBK" w:cs="Times New Roman"/>
          <w:b w:val="0"/>
          <w:bCs w:val="0"/>
          <w:color w:val="auto"/>
          <w:sz w:val="32"/>
          <w:szCs w:val="32"/>
          <w:shd w:val="clear" w:color="auto" w:fill="FFFFFF"/>
        </w:rPr>
        <w:t>万元，占5</w:t>
      </w:r>
      <w:r>
        <w:rPr>
          <w:rFonts w:hint="default" w:ascii="Times New Roman" w:hAnsi="Times New Roman" w:eastAsia="方正仿宋_GBK" w:cs="Times New Roman"/>
          <w:b w:val="0"/>
          <w:bCs w:val="0"/>
          <w:color w:val="auto"/>
          <w:sz w:val="32"/>
          <w:szCs w:val="32"/>
          <w:shd w:val="clear" w:color="auto" w:fill="FFFFFF"/>
          <w:lang w:eastAsia="zh-CN"/>
        </w:rPr>
        <w:t>5</w:t>
      </w:r>
      <w:r>
        <w:rPr>
          <w:rFonts w:hint="default" w:ascii="Times New Roman" w:hAnsi="Times New Roman" w:eastAsia="方正仿宋_GBK" w:cs="Times New Roman"/>
          <w:b w:val="0"/>
          <w:bCs w:val="0"/>
          <w:color w:val="auto"/>
          <w:sz w:val="32"/>
          <w:szCs w:val="32"/>
          <w:shd w:val="clear" w:color="auto" w:fill="FFFFFF"/>
          <w:lang w:val="en-US" w:eastAsia="zh-CN"/>
        </w:rPr>
        <w:t>.76</w:t>
      </w:r>
      <w:r>
        <w:rPr>
          <w:rFonts w:hint="default" w:ascii="Times New Roman" w:hAnsi="Times New Roman" w:eastAsia="方正仿宋_GBK" w:cs="Times New Roman"/>
          <w:b w:val="0"/>
          <w:bCs w:val="0"/>
          <w:color w:val="auto"/>
          <w:sz w:val="32"/>
          <w:szCs w:val="32"/>
          <w:shd w:val="clear" w:color="auto" w:fill="FFFFFF"/>
        </w:rPr>
        <w:t>%。</w:t>
      </w:r>
    </w:p>
    <w:p>
      <w:pPr>
        <w:pStyle w:val="8"/>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12"/>
          <w:rFonts w:hint="default" w:ascii="Times New Roman" w:hAnsi="Times New Roman" w:eastAsia="方正仿宋_GBK" w:cs="Times New Roman"/>
          <w:b w:val="0"/>
          <w:bCs w:val="0"/>
          <w:color w:val="auto"/>
          <w:sz w:val="32"/>
          <w:szCs w:val="32"/>
          <w:shd w:val="clear" w:color="auto" w:fill="FFFFFF"/>
        </w:rPr>
        <w:t>4.结转结余情况。</w:t>
      </w:r>
      <w:r>
        <w:rPr>
          <w:rFonts w:hint="default" w:ascii="Times New Roman" w:hAnsi="Times New Roman" w:eastAsia="方正仿宋_GBK" w:cs="Times New Roman"/>
          <w:b w:val="0"/>
          <w:bCs w:val="0"/>
          <w:color w:val="auto"/>
          <w:sz w:val="32"/>
          <w:szCs w:val="32"/>
          <w:shd w:val="clear" w:color="auto" w:fill="FFFFFF"/>
        </w:rPr>
        <w:t>2023年度</w:t>
      </w:r>
      <w:r>
        <w:rPr>
          <w:rFonts w:hint="default" w:ascii="Times New Roman" w:hAnsi="Times New Roman" w:eastAsia="方正仿宋_GBK" w:cs="Times New Roman"/>
          <w:b w:val="0"/>
          <w:bCs w:val="0"/>
          <w:color w:val="auto"/>
          <w:sz w:val="32"/>
          <w:szCs w:val="32"/>
          <w:shd w:val="clear" w:color="auto" w:fill="FFFFFF"/>
          <w:lang w:val="en-US" w:eastAsia="zh-CN"/>
        </w:rPr>
        <w:t>无</w:t>
      </w:r>
      <w:r>
        <w:rPr>
          <w:rFonts w:hint="default" w:ascii="Times New Roman" w:hAnsi="Times New Roman" w:eastAsia="方正仿宋_GBK" w:cs="Times New Roman"/>
          <w:b w:val="0"/>
          <w:bCs w:val="0"/>
          <w:color w:val="auto"/>
          <w:sz w:val="32"/>
          <w:szCs w:val="32"/>
          <w:shd w:val="clear" w:color="auto" w:fill="FFFFFF"/>
        </w:rPr>
        <w:t>年末结转和结余。</w:t>
      </w:r>
    </w:p>
    <w:p>
      <w:pPr>
        <w:pStyle w:val="13"/>
        <w:keepNext w:val="0"/>
        <w:keepLines w:val="0"/>
        <w:pageBreakBefore w:val="0"/>
        <w:widowControl w:val="0"/>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default" w:ascii="Times New Roman" w:hAnsi="Times New Roman" w:eastAsia="方正楷体_GBK" w:cs="Times New Roman"/>
          <w:b w:val="0"/>
          <w:bCs w:val="0"/>
          <w:color w:val="auto"/>
          <w:sz w:val="32"/>
          <w:szCs w:val="32"/>
          <w:shd w:val="clear" w:color="auto" w:fill="FFFFFF"/>
        </w:rPr>
      </w:pPr>
      <w:r>
        <w:rPr>
          <w:rFonts w:hint="default" w:ascii="Times New Roman" w:hAnsi="Times New Roman" w:eastAsia="方正楷体_GBK" w:cs="Times New Roman"/>
          <w:b w:val="0"/>
          <w:bCs w:val="0"/>
          <w:color w:val="auto"/>
          <w:sz w:val="32"/>
          <w:szCs w:val="32"/>
          <w:shd w:val="clear" w:color="auto" w:fill="FFFFFF"/>
        </w:rPr>
        <w:t>（二）财政拨款收入支出决算总体情况说明</w:t>
      </w:r>
    </w:p>
    <w:p>
      <w:pPr>
        <w:pStyle w:val="8"/>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shd w:val="clear" w:color="auto" w:fill="FFFFFF"/>
        </w:rPr>
        <w:t>2023年度财政拨款收、支总计</w:t>
      </w:r>
      <w:r>
        <w:rPr>
          <w:rFonts w:hint="default" w:ascii="Times New Roman" w:hAnsi="Times New Roman" w:eastAsia="方正仿宋_GBK" w:cs="Times New Roman"/>
          <w:b w:val="0"/>
          <w:bCs w:val="0"/>
          <w:color w:val="auto"/>
          <w:sz w:val="32"/>
          <w:szCs w:val="32"/>
          <w:shd w:val="clear" w:color="auto" w:fill="FFFFFF"/>
          <w:lang w:eastAsia="zh-CN"/>
        </w:rPr>
        <w:t>7</w:t>
      </w:r>
      <w:r>
        <w:rPr>
          <w:rFonts w:hint="default" w:ascii="Times New Roman" w:hAnsi="Times New Roman" w:eastAsia="方正仿宋_GBK" w:cs="Times New Roman"/>
          <w:b w:val="0"/>
          <w:bCs w:val="0"/>
          <w:color w:val="auto"/>
          <w:sz w:val="32"/>
          <w:szCs w:val="32"/>
          <w:shd w:val="clear" w:color="auto" w:fill="FFFFFF"/>
          <w:lang w:val="en-US" w:eastAsia="zh-CN"/>
        </w:rPr>
        <w:t>456.51</w:t>
      </w:r>
      <w:r>
        <w:rPr>
          <w:rFonts w:hint="default" w:ascii="Times New Roman" w:hAnsi="Times New Roman" w:eastAsia="方正仿宋_GBK" w:cs="Times New Roman"/>
          <w:b w:val="0"/>
          <w:bCs w:val="0"/>
          <w:color w:val="auto"/>
          <w:sz w:val="32"/>
          <w:szCs w:val="32"/>
          <w:shd w:val="clear" w:color="auto" w:fill="FFFFFF"/>
        </w:rPr>
        <w:t>万元。与2022年相比，财政拨款收、支总计各增加</w:t>
      </w:r>
      <w:r>
        <w:rPr>
          <w:rFonts w:hint="default" w:ascii="Times New Roman" w:hAnsi="Times New Roman" w:eastAsia="方正仿宋_GBK" w:cs="Times New Roman"/>
          <w:b w:val="0"/>
          <w:bCs w:val="0"/>
          <w:color w:val="auto"/>
          <w:sz w:val="32"/>
          <w:szCs w:val="32"/>
          <w:shd w:val="clear" w:color="auto" w:fill="FFFFFF"/>
          <w:lang w:eastAsia="zh-CN"/>
        </w:rPr>
        <w:t>1</w:t>
      </w:r>
      <w:r>
        <w:rPr>
          <w:rFonts w:hint="default" w:ascii="Times New Roman" w:hAnsi="Times New Roman" w:eastAsia="方正仿宋_GBK" w:cs="Times New Roman"/>
          <w:b w:val="0"/>
          <w:bCs w:val="0"/>
          <w:color w:val="auto"/>
          <w:sz w:val="32"/>
          <w:szCs w:val="32"/>
          <w:shd w:val="clear" w:color="auto" w:fill="FFFFFF"/>
          <w:lang w:val="en-US" w:eastAsia="zh-CN"/>
        </w:rPr>
        <w:t>664.22</w:t>
      </w:r>
      <w:r>
        <w:rPr>
          <w:rFonts w:hint="default" w:ascii="Times New Roman" w:hAnsi="Times New Roman" w:eastAsia="方正仿宋_GBK" w:cs="Times New Roman"/>
          <w:b w:val="0"/>
          <w:bCs w:val="0"/>
          <w:color w:val="auto"/>
          <w:sz w:val="32"/>
          <w:szCs w:val="32"/>
          <w:shd w:val="clear" w:color="auto" w:fill="FFFFFF"/>
        </w:rPr>
        <w:t>万元，增长</w:t>
      </w:r>
      <w:r>
        <w:rPr>
          <w:rFonts w:hint="default" w:ascii="Times New Roman" w:hAnsi="Times New Roman" w:eastAsia="方正仿宋_GBK" w:cs="Times New Roman"/>
          <w:b w:val="0"/>
          <w:bCs w:val="0"/>
          <w:color w:val="auto"/>
          <w:sz w:val="32"/>
          <w:szCs w:val="32"/>
          <w:shd w:val="clear" w:color="auto" w:fill="FFFFFF"/>
          <w:lang w:eastAsia="zh-CN"/>
        </w:rPr>
        <w:t>2</w:t>
      </w:r>
      <w:r>
        <w:rPr>
          <w:rFonts w:hint="default" w:ascii="Times New Roman" w:hAnsi="Times New Roman" w:eastAsia="方正仿宋_GBK" w:cs="Times New Roman"/>
          <w:b w:val="0"/>
          <w:bCs w:val="0"/>
          <w:color w:val="auto"/>
          <w:sz w:val="32"/>
          <w:szCs w:val="32"/>
          <w:shd w:val="clear" w:color="auto" w:fill="FFFFFF"/>
          <w:lang w:val="en-US" w:eastAsia="zh-CN"/>
        </w:rPr>
        <w:t>8.7</w:t>
      </w:r>
      <w:r>
        <w:rPr>
          <w:rFonts w:hint="default" w:ascii="Times New Roman" w:hAnsi="Times New Roman" w:eastAsia="方正仿宋_GBK" w:cs="Times New Roman"/>
          <w:b w:val="0"/>
          <w:bCs w:val="0"/>
          <w:color w:val="auto"/>
          <w:sz w:val="32"/>
          <w:szCs w:val="32"/>
          <w:shd w:val="clear" w:color="auto" w:fill="FFFFFF"/>
        </w:rPr>
        <w:t>%。主要原因是</w:t>
      </w:r>
      <w:r>
        <w:rPr>
          <w:rFonts w:hint="default" w:ascii="Times New Roman" w:hAnsi="Times New Roman" w:eastAsia="方正仿宋_GBK" w:cs="Times New Roman"/>
          <w:b w:val="0"/>
          <w:bCs w:val="0"/>
          <w:color w:val="auto"/>
          <w:sz w:val="32"/>
          <w:szCs w:val="32"/>
          <w:shd w:val="clear" w:color="auto" w:fill="FFFFFF"/>
          <w:lang w:val="en-US" w:eastAsia="zh-CN"/>
        </w:rPr>
        <w:t>人员经费及项目支出总体增加</w:t>
      </w:r>
      <w:r>
        <w:rPr>
          <w:rFonts w:hint="default" w:ascii="Times New Roman" w:hAnsi="Times New Roman" w:eastAsia="方正仿宋_GBK" w:cs="Times New Roman"/>
          <w:b w:val="0"/>
          <w:bCs w:val="0"/>
          <w:color w:val="auto"/>
          <w:sz w:val="32"/>
          <w:szCs w:val="32"/>
          <w:shd w:val="clear" w:color="auto" w:fill="FFFFFF"/>
        </w:rPr>
        <w:t>。</w:t>
      </w:r>
    </w:p>
    <w:p>
      <w:pPr>
        <w:pStyle w:val="13"/>
        <w:keepNext w:val="0"/>
        <w:keepLines w:val="0"/>
        <w:pageBreakBefore w:val="0"/>
        <w:widowControl w:val="0"/>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default" w:ascii="Times New Roman" w:hAnsi="Times New Roman" w:eastAsia="方正楷体_GBK" w:cs="Times New Roman"/>
          <w:b w:val="0"/>
          <w:bCs w:val="0"/>
          <w:color w:val="auto"/>
          <w:sz w:val="32"/>
          <w:szCs w:val="32"/>
          <w:shd w:val="clear" w:color="auto" w:fill="FFFFFF"/>
        </w:rPr>
      </w:pPr>
      <w:r>
        <w:rPr>
          <w:rFonts w:hint="default" w:ascii="Times New Roman" w:hAnsi="Times New Roman" w:eastAsia="方正楷体_GBK" w:cs="Times New Roman"/>
          <w:b w:val="0"/>
          <w:bCs w:val="0"/>
          <w:color w:val="auto"/>
          <w:sz w:val="32"/>
          <w:szCs w:val="32"/>
          <w:shd w:val="clear" w:color="auto" w:fill="FFFFFF"/>
        </w:rPr>
        <w:t>（三）一般公共预算财政拨款收入支出决算情况说明</w:t>
      </w:r>
    </w:p>
    <w:p>
      <w:pPr>
        <w:pStyle w:val="8"/>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12"/>
          <w:rFonts w:hint="default" w:ascii="Times New Roman" w:hAnsi="Times New Roman" w:eastAsia="方正仿宋_GBK" w:cs="Times New Roman"/>
          <w:b w:val="0"/>
          <w:bCs w:val="0"/>
          <w:color w:val="auto"/>
          <w:sz w:val="32"/>
          <w:szCs w:val="32"/>
          <w:shd w:val="clear" w:color="auto" w:fill="FFFFFF"/>
        </w:rPr>
        <w:t>1.收入情况。</w:t>
      </w:r>
      <w:r>
        <w:rPr>
          <w:rFonts w:hint="default" w:ascii="Times New Roman" w:hAnsi="Times New Roman" w:eastAsia="方正仿宋_GBK" w:cs="Times New Roman"/>
          <w:b w:val="0"/>
          <w:bCs w:val="0"/>
          <w:color w:val="auto"/>
          <w:sz w:val="32"/>
          <w:szCs w:val="32"/>
          <w:shd w:val="clear" w:color="auto" w:fill="FFFFFF"/>
        </w:rPr>
        <w:t>2023年度一般公共预算财政拨款收入</w:t>
      </w:r>
      <w:r>
        <w:rPr>
          <w:rFonts w:hint="default" w:ascii="Times New Roman" w:hAnsi="Times New Roman" w:eastAsia="方正仿宋_GBK" w:cs="Times New Roman"/>
          <w:b w:val="0"/>
          <w:bCs w:val="0"/>
          <w:color w:val="auto"/>
          <w:sz w:val="32"/>
          <w:szCs w:val="32"/>
        </w:rPr>
        <w:t>7</w:t>
      </w:r>
      <w:r>
        <w:rPr>
          <w:rFonts w:hint="default" w:ascii="Times New Roman" w:hAnsi="Times New Roman" w:eastAsia="方正仿宋_GBK" w:cs="Times New Roman"/>
          <w:b w:val="0"/>
          <w:bCs w:val="0"/>
          <w:color w:val="auto"/>
          <w:sz w:val="32"/>
          <w:szCs w:val="32"/>
          <w:lang w:eastAsia="zh-CN"/>
        </w:rPr>
        <w:t>2</w:t>
      </w:r>
      <w:r>
        <w:rPr>
          <w:rFonts w:hint="default" w:ascii="Times New Roman" w:hAnsi="Times New Roman" w:eastAsia="方正仿宋_GBK" w:cs="Times New Roman"/>
          <w:b w:val="0"/>
          <w:bCs w:val="0"/>
          <w:color w:val="auto"/>
          <w:sz w:val="32"/>
          <w:szCs w:val="32"/>
          <w:lang w:val="en-US" w:eastAsia="zh-CN"/>
        </w:rPr>
        <w:t>29.56</w:t>
      </w:r>
      <w:r>
        <w:rPr>
          <w:rFonts w:hint="default" w:ascii="Times New Roman" w:hAnsi="Times New Roman" w:eastAsia="方正仿宋_GBK" w:cs="Times New Roman"/>
          <w:b w:val="0"/>
          <w:bCs w:val="0"/>
          <w:color w:val="auto"/>
          <w:sz w:val="32"/>
          <w:szCs w:val="32"/>
          <w:shd w:val="clear" w:color="auto" w:fill="FFFFFF"/>
        </w:rPr>
        <w:t>万元，较上年决算数增加</w:t>
      </w:r>
      <w:r>
        <w:rPr>
          <w:rFonts w:hint="default" w:ascii="Times New Roman" w:hAnsi="Times New Roman" w:eastAsia="方正仿宋_GBK" w:cs="Times New Roman"/>
          <w:b w:val="0"/>
          <w:bCs w:val="0"/>
          <w:color w:val="auto"/>
          <w:sz w:val="32"/>
          <w:szCs w:val="32"/>
          <w:shd w:val="clear" w:color="auto" w:fill="FFFFFF"/>
          <w:lang w:eastAsia="zh-CN"/>
        </w:rPr>
        <w:t>1</w:t>
      </w:r>
      <w:r>
        <w:rPr>
          <w:rFonts w:hint="default" w:ascii="Times New Roman" w:hAnsi="Times New Roman" w:eastAsia="方正仿宋_GBK" w:cs="Times New Roman"/>
          <w:b w:val="0"/>
          <w:bCs w:val="0"/>
          <w:color w:val="auto"/>
          <w:sz w:val="32"/>
          <w:szCs w:val="32"/>
          <w:shd w:val="clear" w:color="auto" w:fill="FFFFFF"/>
          <w:lang w:val="en-US" w:eastAsia="zh-CN"/>
        </w:rPr>
        <w:t>669.27</w:t>
      </w:r>
      <w:r>
        <w:rPr>
          <w:rFonts w:hint="default" w:ascii="Times New Roman" w:hAnsi="Times New Roman" w:eastAsia="方正仿宋_GBK" w:cs="Times New Roman"/>
          <w:b w:val="0"/>
          <w:bCs w:val="0"/>
          <w:color w:val="auto"/>
          <w:sz w:val="32"/>
          <w:szCs w:val="32"/>
          <w:shd w:val="clear" w:color="auto" w:fill="FFFFFF"/>
        </w:rPr>
        <w:t>万元，增长3</w:t>
      </w:r>
      <w:r>
        <w:rPr>
          <w:rFonts w:hint="default" w:ascii="Times New Roman" w:hAnsi="Times New Roman" w:eastAsia="方正仿宋_GBK" w:cs="Times New Roman"/>
          <w:b w:val="0"/>
          <w:bCs w:val="0"/>
          <w:color w:val="auto"/>
          <w:sz w:val="32"/>
          <w:szCs w:val="32"/>
          <w:shd w:val="clear" w:color="auto" w:fill="FFFFFF"/>
          <w:lang w:eastAsia="zh-CN"/>
        </w:rPr>
        <w:t>0</w:t>
      </w:r>
      <w:r>
        <w:rPr>
          <w:rFonts w:hint="default" w:ascii="Times New Roman" w:hAnsi="Times New Roman" w:eastAsia="方正仿宋_GBK" w:cs="Times New Roman"/>
          <w:b w:val="0"/>
          <w:bCs w:val="0"/>
          <w:color w:val="auto"/>
          <w:sz w:val="32"/>
          <w:szCs w:val="32"/>
          <w:shd w:val="clear" w:color="auto" w:fill="FFFFFF"/>
          <w:lang w:val="en-US" w:eastAsia="zh-CN"/>
        </w:rPr>
        <w:t>.0</w:t>
      </w:r>
      <w:r>
        <w:rPr>
          <w:rFonts w:hint="default" w:ascii="Times New Roman" w:hAnsi="Times New Roman" w:eastAsia="方正仿宋_GBK" w:cs="Times New Roman"/>
          <w:b w:val="0"/>
          <w:bCs w:val="0"/>
          <w:color w:val="auto"/>
          <w:sz w:val="32"/>
          <w:szCs w:val="32"/>
          <w:shd w:val="clear" w:color="auto" w:fill="FFFFFF"/>
        </w:rPr>
        <w:t>%。主要原因是</w:t>
      </w:r>
      <w:r>
        <w:rPr>
          <w:rFonts w:hint="eastAsia" w:ascii="Times New Roman" w:hAnsi="Times New Roman" w:eastAsia="方正仿宋_GBK" w:cs="Times New Roman"/>
          <w:b w:val="0"/>
          <w:bCs w:val="0"/>
          <w:color w:val="auto"/>
          <w:sz w:val="32"/>
          <w:szCs w:val="32"/>
          <w:shd w:val="clear" w:color="auto" w:fill="FFFFFF"/>
          <w:lang w:val="en-US" w:eastAsia="zh-CN"/>
        </w:rPr>
        <w:t>执行中追加</w:t>
      </w:r>
      <w:r>
        <w:rPr>
          <w:rFonts w:hint="default" w:ascii="Times New Roman" w:hAnsi="Times New Roman" w:eastAsia="方正仿宋_GBK" w:cs="Times New Roman"/>
          <w:b w:val="0"/>
          <w:bCs w:val="0"/>
          <w:color w:val="auto"/>
          <w:sz w:val="32"/>
          <w:szCs w:val="32"/>
          <w:shd w:val="clear" w:color="auto" w:fill="FFFFFF"/>
          <w:lang w:eastAsia="zh-CN"/>
        </w:rPr>
        <w:t>人</w:t>
      </w:r>
      <w:r>
        <w:rPr>
          <w:rFonts w:hint="default" w:ascii="Times New Roman" w:hAnsi="Times New Roman" w:eastAsia="方正仿宋_GBK" w:cs="Times New Roman"/>
          <w:b w:val="0"/>
          <w:bCs w:val="0"/>
          <w:color w:val="auto"/>
          <w:sz w:val="32"/>
          <w:szCs w:val="32"/>
          <w:shd w:val="clear" w:color="auto" w:fill="FFFFFF"/>
          <w:lang w:val="en-US" w:eastAsia="zh-CN"/>
        </w:rPr>
        <w:t>员经费和项目经费</w:t>
      </w:r>
      <w:r>
        <w:rPr>
          <w:rFonts w:hint="default" w:ascii="Times New Roman" w:hAnsi="Times New Roman" w:eastAsia="方正仿宋_GBK" w:cs="Times New Roman"/>
          <w:b w:val="0"/>
          <w:bCs w:val="0"/>
          <w:color w:val="auto"/>
          <w:sz w:val="32"/>
          <w:szCs w:val="32"/>
          <w:shd w:val="clear" w:color="auto" w:fill="FFFFFF"/>
        </w:rPr>
        <w:t>。较年初预算数增加</w:t>
      </w:r>
      <w:r>
        <w:rPr>
          <w:rFonts w:hint="default" w:ascii="Times New Roman" w:hAnsi="Times New Roman" w:eastAsia="方正仿宋_GBK" w:cs="Times New Roman"/>
          <w:b w:val="0"/>
          <w:bCs w:val="0"/>
          <w:color w:val="auto"/>
          <w:sz w:val="32"/>
          <w:szCs w:val="32"/>
          <w:shd w:val="clear" w:color="auto" w:fill="FFFFFF"/>
          <w:lang w:eastAsia="zh-CN"/>
        </w:rPr>
        <w:t>1</w:t>
      </w:r>
      <w:r>
        <w:rPr>
          <w:rFonts w:hint="default" w:ascii="Times New Roman" w:hAnsi="Times New Roman" w:eastAsia="方正仿宋_GBK" w:cs="Times New Roman"/>
          <w:b w:val="0"/>
          <w:bCs w:val="0"/>
          <w:color w:val="auto"/>
          <w:sz w:val="32"/>
          <w:szCs w:val="32"/>
          <w:shd w:val="clear" w:color="auto" w:fill="FFFFFF"/>
          <w:lang w:val="en-US" w:eastAsia="zh-CN"/>
        </w:rPr>
        <w:t>40.12</w:t>
      </w:r>
      <w:r>
        <w:rPr>
          <w:rFonts w:hint="default" w:ascii="Times New Roman" w:hAnsi="Times New Roman" w:eastAsia="方正仿宋_GBK" w:cs="Times New Roman"/>
          <w:b w:val="0"/>
          <w:bCs w:val="0"/>
          <w:color w:val="auto"/>
          <w:sz w:val="32"/>
          <w:szCs w:val="32"/>
          <w:shd w:val="clear" w:color="auto" w:fill="FFFFFF"/>
        </w:rPr>
        <w:t>万元，增长</w:t>
      </w:r>
      <w:r>
        <w:rPr>
          <w:rFonts w:hint="default" w:ascii="Times New Roman" w:hAnsi="Times New Roman" w:eastAsia="方正仿宋_GBK" w:cs="Times New Roman"/>
          <w:b w:val="0"/>
          <w:bCs w:val="0"/>
          <w:color w:val="auto"/>
          <w:sz w:val="32"/>
          <w:szCs w:val="32"/>
          <w:shd w:val="clear" w:color="auto" w:fill="FFFFFF"/>
          <w:lang w:eastAsia="zh-CN"/>
        </w:rPr>
        <w:t>2</w:t>
      </w:r>
      <w:r>
        <w:rPr>
          <w:rFonts w:hint="default" w:ascii="Times New Roman" w:hAnsi="Times New Roman" w:eastAsia="方正仿宋_GBK" w:cs="Times New Roman"/>
          <w:b w:val="0"/>
          <w:bCs w:val="0"/>
          <w:color w:val="auto"/>
          <w:sz w:val="32"/>
          <w:szCs w:val="32"/>
          <w:shd w:val="clear" w:color="auto" w:fill="FFFFFF"/>
          <w:lang w:val="en-US" w:eastAsia="zh-CN"/>
        </w:rPr>
        <w:t>.0</w:t>
      </w:r>
      <w:r>
        <w:rPr>
          <w:rFonts w:hint="default" w:ascii="Times New Roman" w:hAnsi="Times New Roman" w:eastAsia="方正仿宋_GBK" w:cs="Times New Roman"/>
          <w:b w:val="0"/>
          <w:bCs w:val="0"/>
          <w:color w:val="auto"/>
          <w:sz w:val="32"/>
          <w:szCs w:val="32"/>
          <w:shd w:val="clear" w:color="auto" w:fill="FFFFFF"/>
        </w:rPr>
        <w:t>%。主要原因</w:t>
      </w:r>
      <w:r>
        <w:rPr>
          <w:rFonts w:hint="default" w:ascii="Times New Roman" w:hAnsi="Times New Roman" w:eastAsia="方正仿宋_GBK" w:cs="Times New Roman"/>
          <w:b w:val="0"/>
          <w:bCs w:val="0"/>
          <w:color w:val="auto"/>
          <w:sz w:val="32"/>
          <w:szCs w:val="32"/>
          <w:shd w:val="clear" w:color="auto" w:fill="FFFFFF"/>
          <w:lang w:val="en-US" w:eastAsia="zh-CN"/>
        </w:rPr>
        <w:t>一</w:t>
      </w:r>
      <w:r>
        <w:rPr>
          <w:rFonts w:hint="default" w:ascii="Times New Roman" w:hAnsi="Times New Roman" w:eastAsia="方正仿宋_GBK" w:cs="Times New Roman"/>
          <w:b w:val="0"/>
          <w:bCs w:val="0"/>
          <w:color w:val="auto"/>
          <w:sz w:val="32"/>
          <w:szCs w:val="32"/>
          <w:shd w:val="clear" w:color="auto" w:fill="FFFFFF"/>
        </w:rPr>
        <w:t>是</w:t>
      </w:r>
      <w:r>
        <w:rPr>
          <w:rFonts w:hint="default" w:ascii="Times New Roman" w:hAnsi="Times New Roman" w:eastAsia="方正仿宋_GBK" w:cs="Times New Roman"/>
          <w:b w:val="0"/>
          <w:bCs w:val="0"/>
          <w:color w:val="auto"/>
          <w:sz w:val="32"/>
          <w:szCs w:val="32"/>
          <w:shd w:val="clear" w:color="auto" w:fill="FFFFFF"/>
          <w:lang w:eastAsia="zh-CN"/>
        </w:rPr>
        <w:t>机</w:t>
      </w:r>
      <w:r>
        <w:rPr>
          <w:rFonts w:hint="default" w:ascii="Times New Roman" w:hAnsi="Times New Roman" w:eastAsia="方正仿宋_GBK" w:cs="Times New Roman"/>
          <w:b w:val="0"/>
          <w:bCs w:val="0"/>
          <w:color w:val="auto"/>
          <w:sz w:val="32"/>
          <w:szCs w:val="32"/>
          <w:shd w:val="clear" w:color="auto" w:fill="FFFFFF"/>
          <w:lang w:val="en-US" w:eastAsia="zh-CN"/>
        </w:rPr>
        <w:t>构划转年中追加部分人员经费，二是追加社会信用体系建设等项目经费</w:t>
      </w:r>
      <w:r>
        <w:rPr>
          <w:rFonts w:hint="default" w:ascii="Times New Roman" w:hAnsi="Times New Roman" w:eastAsia="方正仿宋_GBK" w:cs="Times New Roman"/>
          <w:b w:val="0"/>
          <w:bCs w:val="0"/>
          <w:color w:val="auto"/>
          <w:sz w:val="32"/>
          <w:szCs w:val="32"/>
          <w:shd w:val="clear" w:color="auto" w:fill="FFFFFF"/>
        </w:rPr>
        <w:t>。此外，</w:t>
      </w:r>
      <w:r>
        <w:rPr>
          <w:rFonts w:hint="eastAsia" w:ascii="Times New Roman" w:hAnsi="Times New Roman" w:eastAsia="方正仿宋_GBK" w:cs="Times New Roman"/>
          <w:b w:val="0"/>
          <w:bCs w:val="0"/>
          <w:color w:val="auto"/>
          <w:sz w:val="32"/>
          <w:szCs w:val="32"/>
          <w:shd w:val="clear" w:color="auto" w:fill="FFFFFF"/>
          <w:lang w:val="en-US" w:eastAsia="zh-CN"/>
        </w:rPr>
        <w:t>使用</w:t>
      </w:r>
      <w:r>
        <w:rPr>
          <w:rFonts w:hint="default" w:ascii="Times New Roman" w:hAnsi="Times New Roman" w:eastAsia="方正仿宋_GBK" w:cs="Times New Roman"/>
          <w:b w:val="0"/>
          <w:bCs w:val="0"/>
          <w:color w:val="auto"/>
          <w:sz w:val="32"/>
          <w:szCs w:val="32"/>
          <w:shd w:val="clear" w:color="auto" w:fill="FFFFFF"/>
        </w:rPr>
        <w:t>年初财政拨款结转和结余</w:t>
      </w:r>
      <w:r>
        <w:rPr>
          <w:rFonts w:hint="default" w:ascii="Times New Roman" w:hAnsi="Times New Roman" w:eastAsia="方正仿宋_GBK" w:cs="Times New Roman"/>
          <w:b w:val="0"/>
          <w:bCs w:val="0"/>
          <w:color w:val="auto"/>
          <w:sz w:val="32"/>
          <w:szCs w:val="32"/>
        </w:rPr>
        <w:t>226.95</w:t>
      </w:r>
      <w:r>
        <w:rPr>
          <w:rFonts w:hint="default" w:ascii="Times New Roman" w:hAnsi="Times New Roman" w:eastAsia="方正仿宋_GBK" w:cs="Times New Roman"/>
          <w:b w:val="0"/>
          <w:bCs w:val="0"/>
          <w:color w:val="auto"/>
          <w:sz w:val="32"/>
          <w:szCs w:val="32"/>
          <w:shd w:val="clear" w:color="auto" w:fill="FFFFFF"/>
        </w:rPr>
        <w:t>万元。</w:t>
      </w:r>
    </w:p>
    <w:p>
      <w:pPr>
        <w:pStyle w:val="8"/>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color w:val="auto"/>
          <w:sz w:val="32"/>
          <w:szCs w:val="32"/>
          <w:shd w:val="clear" w:color="auto" w:fill="FFFFFF"/>
          <w:lang w:val="en-US" w:eastAsia="zh-CN"/>
        </w:rPr>
      </w:pPr>
      <w:r>
        <w:rPr>
          <w:rStyle w:val="12"/>
          <w:rFonts w:hint="default" w:ascii="Times New Roman" w:hAnsi="Times New Roman" w:eastAsia="方正仿宋_GBK" w:cs="Times New Roman"/>
          <w:b w:val="0"/>
          <w:bCs w:val="0"/>
          <w:color w:val="auto"/>
          <w:sz w:val="32"/>
          <w:szCs w:val="32"/>
          <w:shd w:val="clear" w:color="auto" w:fill="FFFFFF"/>
        </w:rPr>
        <w:t>2.支出情况。</w:t>
      </w:r>
      <w:r>
        <w:rPr>
          <w:rFonts w:hint="default" w:ascii="Times New Roman" w:hAnsi="Times New Roman" w:eastAsia="方正仿宋_GBK" w:cs="Times New Roman"/>
          <w:b w:val="0"/>
          <w:bCs w:val="0"/>
          <w:color w:val="auto"/>
          <w:sz w:val="32"/>
          <w:szCs w:val="32"/>
          <w:shd w:val="clear" w:color="auto" w:fill="FFFFFF"/>
        </w:rPr>
        <w:t>2023年度一般公共预算财政拨款支出</w:t>
      </w:r>
      <w:r>
        <w:rPr>
          <w:rFonts w:hint="default" w:ascii="Times New Roman" w:hAnsi="Times New Roman" w:eastAsia="方正仿宋_GBK" w:cs="Times New Roman"/>
          <w:b w:val="0"/>
          <w:bCs w:val="0"/>
          <w:color w:val="auto"/>
          <w:sz w:val="32"/>
          <w:szCs w:val="32"/>
          <w:lang w:eastAsia="zh-CN"/>
        </w:rPr>
        <w:t>7</w:t>
      </w:r>
      <w:r>
        <w:rPr>
          <w:rFonts w:hint="default" w:ascii="Times New Roman" w:hAnsi="Times New Roman" w:eastAsia="方正仿宋_GBK" w:cs="Times New Roman"/>
          <w:b w:val="0"/>
          <w:bCs w:val="0"/>
          <w:color w:val="auto"/>
          <w:sz w:val="32"/>
          <w:szCs w:val="32"/>
          <w:lang w:val="en-US" w:eastAsia="zh-CN"/>
        </w:rPr>
        <w:t>456.51</w:t>
      </w:r>
      <w:r>
        <w:rPr>
          <w:rFonts w:hint="default" w:ascii="Times New Roman" w:hAnsi="Times New Roman" w:eastAsia="方正仿宋_GBK" w:cs="Times New Roman"/>
          <w:b w:val="0"/>
          <w:bCs w:val="0"/>
          <w:color w:val="auto"/>
          <w:sz w:val="32"/>
          <w:szCs w:val="32"/>
          <w:shd w:val="clear" w:color="auto" w:fill="FFFFFF"/>
        </w:rPr>
        <w:t>万元，较上年决算数增加</w:t>
      </w:r>
      <w:r>
        <w:rPr>
          <w:rFonts w:hint="default" w:ascii="Times New Roman" w:hAnsi="Times New Roman" w:eastAsia="方正仿宋_GBK" w:cs="Times New Roman"/>
          <w:b w:val="0"/>
          <w:bCs w:val="0"/>
          <w:color w:val="auto"/>
          <w:sz w:val="32"/>
          <w:szCs w:val="32"/>
          <w:shd w:val="clear" w:color="auto" w:fill="FFFFFF"/>
          <w:lang w:eastAsia="zh-CN"/>
        </w:rPr>
        <w:t>1</w:t>
      </w:r>
      <w:r>
        <w:rPr>
          <w:rFonts w:hint="default" w:ascii="Times New Roman" w:hAnsi="Times New Roman" w:eastAsia="方正仿宋_GBK" w:cs="Times New Roman"/>
          <w:b w:val="0"/>
          <w:bCs w:val="0"/>
          <w:color w:val="auto"/>
          <w:sz w:val="32"/>
          <w:szCs w:val="32"/>
          <w:shd w:val="clear" w:color="auto" w:fill="FFFFFF"/>
          <w:lang w:val="en-US" w:eastAsia="zh-CN"/>
        </w:rPr>
        <w:t>896.22</w:t>
      </w:r>
      <w:r>
        <w:rPr>
          <w:rFonts w:hint="default" w:ascii="Times New Roman" w:hAnsi="Times New Roman" w:eastAsia="方正仿宋_GBK" w:cs="Times New Roman"/>
          <w:b w:val="0"/>
          <w:bCs w:val="0"/>
          <w:color w:val="auto"/>
          <w:sz w:val="32"/>
          <w:szCs w:val="32"/>
          <w:shd w:val="clear" w:color="auto" w:fill="FFFFFF"/>
        </w:rPr>
        <w:t>万元，增长</w:t>
      </w:r>
      <w:r>
        <w:rPr>
          <w:rFonts w:hint="default" w:ascii="Times New Roman" w:hAnsi="Times New Roman" w:eastAsia="方正仿宋_GBK" w:cs="Times New Roman"/>
          <w:b w:val="0"/>
          <w:bCs w:val="0"/>
          <w:color w:val="auto"/>
          <w:sz w:val="32"/>
          <w:szCs w:val="32"/>
          <w:shd w:val="clear" w:color="auto" w:fill="FFFFFF"/>
          <w:lang w:eastAsia="zh-CN"/>
        </w:rPr>
        <w:t>3</w:t>
      </w:r>
      <w:r>
        <w:rPr>
          <w:rFonts w:hint="default" w:ascii="Times New Roman" w:hAnsi="Times New Roman" w:eastAsia="方正仿宋_GBK" w:cs="Times New Roman"/>
          <w:b w:val="0"/>
          <w:bCs w:val="0"/>
          <w:color w:val="auto"/>
          <w:sz w:val="32"/>
          <w:szCs w:val="32"/>
          <w:shd w:val="clear" w:color="auto" w:fill="FFFFFF"/>
          <w:lang w:val="en-US" w:eastAsia="zh-CN"/>
        </w:rPr>
        <w:t>4.1</w:t>
      </w:r>
      <w:r>
        <w:rPr>
          <w:rFonts w:hint="default" w:ascii="Times New Roman" w:hAnsi="Times New Roman" w:eastAsia="方正仿宋_GBK" w:cs="Times New Roman"/>
          <w:b w:val="0"/>
          <w:bCs w:val="0"/>
          <w:color w:val="auto"/>
          <w:sz w:val="32"/>
          <w:szCs w:val="32"/>
          <w:shd w:val="clear" w:color="auto" w:fill="FFFFFF"/>
        </w:rPr>
        <w:t>%。主要原因是</w:t>
      </w:r>
      <w:r>
        <w:rPr>
          <w:rFonts w:hint="default" w:ascii="Times New Roman" w:hAnsi="Times New Roman" w:eastAsia="方正仿宋_GBK" w:cs="Times New Roman"/>
          <w:b w:val="0"/>
          <w:bCs w:val="0"/>
          <w:color w:val="auto"/>
          <w:sz w:val="32"/>
          <w:szCs w:val="32"/>
          <w:shd w:val="clear" w:color="auto" w:fill="FFFFFF"/>
          <w:lang w:val="en-US" w:eastAsia="zh-CN"/>
        </w:rPr>
        <w:t>机构改革人员及职责划入，基本支出和项目支出同步增加。</w:t>
      </w:r>
      <w:r>
        <w:rPr>
          <w:rFonts w:hint="default" w:ascii="Times New Roman" w:hAnsi="Times New Roman" w:eastAsia="方正仿宋_GBK" w:cs="Times New Roman"/>
          <w:b w:val="0"/>
          <w:bCs w:val="0"/>
          <w:color w:val="auto"/>
          <w:sz w:val="32"/>
          <w:szCs w:val="32"/>
          <w:shd w:val="clear" w:color="auto" w:fill="FFFFFF"/>
          <w:lang w:eastAsia="zh-CN"/>
        </w:rPr>
        <w:t xml:space="preserve"> </w:t>
      </w:r>
      <w:r>
        <w:rPr>
          <w:rFonts w:hint="default" w:ascii="Times New Roman" w:hAnsi="Times New Roman" w:eastAsia="方正仿宋_GBK" w:cs="Times New Roman"/>
          <w:b w:val="0"/>
          <w:bCs w:val="0"/>
          <w:color w:val="auto"/>
          <w:sz w:val="32"/>
          <w:szCs w:val="32"/>
          <w:shd w:val="clear" w:color="auto" w:fill="FFFFFF"/>
        </w:rPr>
        <w:t>较年初预算数增加</w:t>
      </w:r>
      <w:r>
        <w:rPr>
          <w:rFonts w:hint="default" w:ascii="Times New Roman" w:hAnsi="Times New Roman" w:eastAsia="方正仿宋_GBK" w:cs="Times New Roman"/>
          <w:b w:val="0"/>
          <w:bCs w:val="0"/>
          <w:color w:val="auto"/>
          <w:sz w:val="32"/>
          <w:szCs w:val="32"/>
          <w:shd w:val="clear" w:color="auto" w:fill="FFFFFF"/>
          <w:lang w:eastAsia="zh-CN"/>
        </w:rPr>
        <w:t>3</w:t>
      </w:r>
      <w:r>
        <w:rPr>
          <w:rFonts w:hint="default" w:ascii="Times New Roman" w:hAnsi="Times New Roman" w:eastAsia="方正仿宋_GBK" w:cs="Times New Roman"/>
          <w:b w:val="0"/>
          <w:bCs w:val="0"/>
          <w:color w:val="auto"/>
          <w:sz w:val="32"/>
          <w:szCs w:val="32"/>
          <w:shd w:val="clear" w:color="auto" w:fill="FFFFFF"/>
          <w:lang w:val="en-US" w:eastAsia="zh-CN"/>
        </w:rPr>
        <w:t>67.07</w:t>
      </w:r>
      <w:r>
        <w:rPr>
          <w:rFonts w:hint="default" w:ascii="Times New Roman" w:hAnsi="Times New Roman" w:eastAsia="方正仿宋_GBK" w:cs="Times New Roman"/>
          <w:b w:val="0"/>
          <w:bCs w:val="0"/>
          <w:color w:val="auto"/>
          <w:sz w:val="32"/>
          <w:szCs w:val="32"/>
          <w:shd w:val="clear" w:color="auto" w:fill="FFFFFF"/>
        </w:rPr>
        <w:t>万元，增长</w:t>
      </w:r>
      <w:r>
        <w:rPr>
          <w:rFonts w:hint="default" w:ascii="Times New Roman" w:hAnsi="Times New Roman" w:eastAsia="方正仿宋_GBK" w:cs="Times New Roman"/>
          <w:b w:val="0"/>
          <w:bCs w:val="0"/>
          <w:color w:val="auto"/>
          <w:sz w:val="32"/>
          <w:szCs w:val="32"/>
          <w:shd w:val="clear" w:color="auto" w:fill="FFFFFF"/>
          <w:lang w:eastAsia="zh-CN"/>
        </w:rPr>
        <w:t>5</w:t>
      </w:r>
      <w:r>
        <w:rPr>
          <w:rFonts w:hint="default" w:ascii="Times New Roman" w:hAnsi="Times New Roman" w:eastAsia="方正仿宋_GBK" w:cs="Times New Roman"/>
          <w:b w:val="0"/>
          <w:bCs w:val="0"/>
          <w:color w:val="auto"/>
          <w:sz w:val="32"/>
          <w:szCs w:val="32"/>
          <w:shd w:val="clear" w:color="auto" w:fill="FFFFFF"/>
          <w:lang w:val="en-US" w:eastAsia="zh-CN"/>
        </w:rPr>
        <w:t>.2</w:t>
      </w:r>
      <w:r>
        <w:rPr>
          <w:rFonts w:hint="default" w:ascii="Times New Roman" w:hAnsi="Times New Roman" w:eastAsia="方正仿宋_GBK" w:cs="Times New Roman"/>
          <w:b w:val="0"/>
          <w:bCs w:val="0"/>
          <w:color w:val="auto"/>
          <w:sz w:val="32"/>
          <w:szCs w:val="32"/>
          <w:shd w:val="clear" w:color="auto" w:fill="FFFFFF"/>
        </w:rPr>
        <w:t>%。主要原因</w:t>
      </w:r>
      <w:r>
        <w:rPr>
          <w:rFonts w:hint="default" w:ascii="Times New Roman" w:hAnsi="Times New Roman" w:eastAsia="方正仿宋_GBK" w:cs="Times New Roman"/>
          <w:b w:val="0"/>
          <w:bCs w:val="0"/>
          <w:color w:val="auto"/>
          <w:sz w:val="32"/>
          <w:szCs w:val="32"/>
          <w:shd w:val="clear" w:color="auto" w:fill="FFFFFF"/>
          <w:lang w:val="en-US" w:eastAsia="zh-CN"/>
        </w:rPr>
        <w:t>是</w:t>
      </w:r>
      <w:r>
        <w:rPr>
          <w:rFonts w:hint="eastAsia" w:ascii="Times New Roman" w:hAnsi="Times New Roman" w:eastAsia="方正仿宋_GBK" w:cs="Times New Roman"/>
          <w:b w:val="0"/>
          <w:bCs w:val="0"/>
          <w:color w:val="auto"/>
          <w:sz w:val="32"/>
          <w:szCs w:val="32"/>
          <w:shd w:val="clear" w:color="auto" w:fill="FFFFFF"/>
          <w:lang w:val="en-US" w:eastAsia="zh-CN"/>
        </w:rPr>
        <w:t>执行中追加部分</w:t>
      </w:r>
      <w:r>
        <w:rPr>
          <w:rFonts w:hint="default" w:ascii="Times New Roman" w:hAnsi="Times New Roman" w:eastAsia="方正仿宋_GBK" w:cs="Times New Roman"/>
          <w:b w:val="0"/>
          <w:bCs w:val="0"/>
          <w:color w:val="auto"/>
          <w:sz w:val="32"/>
          <w:szCs w:val="32"/>
          <w:shd w:val="clear" w:color="auto" w:fill="FFFFFF"/>
          <w:lang w:eastAsia="zh-CN"/>
        </w:rPr>
        <w:t>人</w:t>
      </w:r>
      <w:r>
        <w:rPr>
          <w:rFonts w:hint="default" w:ascii="Times New Roman" w:hAnsi="Times New Roman" w:eastAsia="方正仿宋_GBK" w:cs="Times New Roman"/>
          <w:b w:val="0"/>
          <w:bCs w:val="0"/>
          <w:color w:val="auto"/>
          <w:sz w:val="32"/>
          <w:szCs w:val="32"/>
          <w:shd w:val="clear" w:color="auto" w:fill="FFFFFF"/>
          <w:lang w:val="en-US" w:eastAsia="zh-CN"/>
        </w:rPr>
        <w:t>员经费和项目经费</w:t>
      </w:r>
      <w:r>
        <w:rPr>
          <w:rFonts w:hint="eastAsia" w:ascii="Times New Roman" w:hAnsi="Times New Roman" w:eastAsia="方正仿宋_GBK" w:cs="Times New Roman"/>
          <w:b w:val="0"/>
          <w:bCs w:val="0"/>
          <w:color w:val="auto"/>
          <w:sz w:val="32"/>
          <w:szCs w:val="32"/>
          <w:shd w:val="clear" w:color="auto" w:fill="FFFFFF"/>
          <w:lang w:val="en-US" w:eastAsia="zh-CN"/>
        </w:rPr>
        <w:t>。</w:t>
      </w:r>
    </w:p>
    <w:p>
      <w:pPr>
        <w:pStyle w:val="8"/>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12"/>
          <w:rFonts w:hint="default" w:ascii="Times New Roman" w:hAnsi="Times New Roman" w:eastAsia="方正仿宋_GBK" w:cs="Times New Roman"/>
          <w:b w:val="0"/>
          <w:bCs w:val="0"/>
          <w:color w:val="auto"/>
          <w:sz w:val="32"/>
          <w:szCs w:val="32"/>
          <w:shd w:val="clear" w:color="auto" w:fill="FFFFFF"/>
        </w:rPr>
        <w:t>3.结转结余情况。</w:t>
      </w:r>
      <w:r>
        <w:rPr>
          <w:rFonts w:hint="default" w:ascii="Times New Roman" w:hAnsi="Times New Roman" w:eastAsia="方正仿宋_GBK" w:cs="Times New Roman"/>
          <w:b w:val="0"/>
          <w:bCs w:val="0"/>
          <w:color w:val="auto"/>
          <w:sz w:val="32"/>
          <w:szCs w:val="32"/>
          <w:shd w:val="clear" w:color="auto" w:fill="FFFFFF"/>
        </w:rPr>
        <w:t>2023年度年末</w:t>
      </w:r>
      <w:r>
        <w:rPr>
          <w:rFonts w:hint="default" w:ascii="Times New Roman" w:hAnsi="Times New Roman" w:eastAsia="方正仿宋_GBK" w:cs="Times New Roman"/>
          <w:b w:val="0"/>
          <w:bCs w:val="0"/>
          <w:color w:val="auto"/>
          <w:sz w:val="32"/>
          <w:szCs w:val="32"/>
          <w:shd w:val="clear" w:color="auto" w:fill="FFFFFF"/>
          <w:lang w:val="en-US" w:eastAsia="zh-CN"/>
        </w:rPr>
        <w:t>无</w:t>
      </w:r>
      <w:r>
        <w:rPr>
          <w:rFonts w:hint="default" w:ascii="Times New Roman" w:hAnsi="Times New Roman" w:eastAsia="方正仿宋_GBK" w:cs="Times New Roman"/>
          <w:b w:val="0"/>
          <w:bCs w:val="0"/>
          <w:color w:val="auto"/>
          <w:sz w:val="32"/>
          <w:szCs w:val="32"/>
          <w:shd w:val="clear" w:color="auto" w:fill="FFFFFF"/>
        </w:rPr>
        <w:t>一般公共预算财政拨款结转和结余。</w:t>
      </w:r>
    </w:p>
    <w:p>
      <w:pPr>
        <w:pStyle w:val="8"/>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cyan"/>
          <w:shd w:val="clear" w:color="auto" w:fill="FFFFFF"/>
        </w:rPr>
      </w:pPr>
      <w:r>
        <w:rPr>
          <w:rStyle w:val="12"/>
          <w:rFonts w:hint="default" w:ascii="Times New Roman" w:hAnsi="Times New Roman" w:eastAsia="方正仿宋_GBK" w:cs="Times New Roman"/>
          <w:b w:val="0"/>
          <w:bCs w:val="0"/>
          <w:color w:val="auto"/>
          <w:sz w:val="32"/>
          <w:szCs w:val="32"/>
          <w:shd w:val="clear" w:color="auto" w:fill="FFFFFF"/>
        </w:rPr>
        <w:t xml:space="preserve"> 4.比较情况。</w:t>
      </w:r>
      <w:r>
        <w:rPr>
          <w:rFonts w:hint="default" w:ascii="Times New Roman" w:hAnsi="Times New Roman" w:eastAsia="方正仿宋_GBK" w:cs="Times New Roman"/>
          <w:b w:val="0"/>
          <w:bCs w:val="0"/>
          <w:color w:val="auto"/>
          <w:sz w:val="32"/>
          <w:szCs w:val="32"/>
          <w:shd w:val="clear" w:color="auto" w:fill="FFFFFF"/>
        </w:rPr>
        <w:t>本部门2023年度一般公共预算财政拨款支出主要用于以下几个方面：</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z w:val="32"/>
          <w:szCs w:val="32"/>
          <w:shd w:val="clear" w:color="auto" w:fill="FFFFFF"/>
        </w:rPr>
      </w:pPr>
      <w:r>
        <w:rPr>
          <w:rFonts w:hint="default" w:ascii="Times New Roman" w:hAnsi="Times New Roman" w:eastAsia="方正仿宋_GBK" w:cs="Times New Roman"/>
          <w:b w:val="0"/>
          <w:bCs w:val="0"/>
          <w:color w:val="auto"/>
          <w:sz w:val="32"/>
          <w:szCs w:val="32"/>
          <w:shd w:val="clear" w:color="auto" w:fill="FFFFFF"/>
        </w:rPr>
        <w:t>（1）一般公共服务支出</w:t>
      </w:r>
      <w:r>
        <w:rPr>
          <w:rFonts w:hint="default" w:ascii="Times New Roman" w:hAnsi="Times New Roman" w:eastAsia="方正仿宋_GBK" w:cs="Times New Roman"/>
          <w:b w:val="0"/>
          <w:bCs w:val="0"/>
          <w:color w:val="auto"/>
          <w:sz w:val="32"/>
          <w:szCs w:val="32"/>
          <w:lang w:eastAsia="zh-CN"/>
        </w:rPr>
        <w:t>3</w:t>
      </w:r>
      <w:r>
        <w:rPr>
          <w:rFonts w:hint="default" w:ascii="Times New Roman" w:hAnsi="Times New Roman" w:eastAsia="方正仿宋_GBK" w:cs="Times New Roman"/>
          <w:b w:val="0"/>
          <w:bCs w:val="0"/>
          <w:color w:val="auto"/>
          <w:sz w:val="32"/>
          <w:szCs w:val="32"/>
          <w:lang w:val="en-US" w:eastAsia="zh-CN"/>
        </w:rPr>
        <w:t>728.61</w:t>
      </w:r>
      <w:r>
        <w:rPr>
          <w:rFonts w:hint="default" w:ascii="Times New Roman" w:hAnsi="Times New Roman" w:eastAsia="方正仿宋_GBK" w:cs="Times New Roman"/>
          <w:b w:val="0"/>
          <w:bCs w:val="0"/>
          <w:color w:val="auto"/>
          <w:sz w:val="32"/>
          <w:szCs w:val="32"/>
          <w:shd w:val="clear" w:color="auto" w:fill="FFFFFF"/>
        </w:rPr>
        <w:t>万元，占</w:t>
      </w:r>
      <w:r>
        <w:rPr>
          <w:rFonts w:hint="default" w:ascii="Times New Roman" w:hAnsi="Times New Roman" w:eastAsia="方正仿宋_GBK" w:cs="Times New Roman"/>
          <w:b w:val="0"/>
          <w:bCs w:val="0"/>
          <w:color w:val="auto"/>
          <w:sz w:val="32"/>
          <w:szCs w:val="32"/>
          <w:lang w:eastAsia="zh-CN"/>
        </w:rPr>
        <w:t>5</w:t>
      </w:r>
      <w:r>
        <w:rPr>
          <w:rFonts w:hint="default" w:ascii="Times New Roman" w:hAnsi="Times New Roman" w:eastAsia="方正仿宋_GBK" w:cs="Times New Roman"/>
          <w:b w:val="0"/>
          <w:bCs w:val="0"/>
          <w:color w:val="auto"/>
          <w:sz w:val="32"/>
          <w:szCs w:val="32"/>
          <w:lang w:val="en-US" w:eastAsia="zh-CN"/>
        </w:rPr>
        <w:t>0.0</w:t>
      </w:r>
      <w:r>
        <w:rPr>
          <w:rFonts w:hint="default" w:ascii="Times New Roman" w:hAnsi="Times New Roman" w:eastAsia="方正仿宋_GBK" w:cs="Times New Roman"/>
          <w:b w:val="0"/>
          <w:bCs w:val="0"/>
          <w:color w:val="auto"/>
          <w:sz w:val="32"/>
          <w:szCs w:val="32"/>
          <w:shd w:val="clear" w:color="auto" w:fill="FFFFFF"/>
        </w:rPr>
        <w:t>%，较年初预算数减少595.93万元，下降</w:t>
      </w:r>
      <w:r>
        <w:rPr>
          <w:rFonts w:hint="default" w:ascii="Times New Roman" w:hAnsi="Times New Roman" w:eastAsia="方正仿宋_GBK" w:cs="Times New Roman"/>
          <w:b w:val="0"/>
          <w:bCs w:val="0"/>
          <w:color w:val="auto"/>
          <w:sz w:val="32"/>
          <w:szCs w:val="32"/>
          <w:shd w:val="clear" w:color="auto" w:fill="FFFFFF"/>
          <w:lang w:eastAsia="zh-CN"/>
        </w:rPr>
        <w:t>1</w:t>
      </w:r>
      <w:r>
        <w:rPr>
          <w:rFonts w:hint="default" w:ascii="Times New Roman" w:hAnsi="Times New Roman" w:eastAsia="方正仿宋_GBK" w:cs="Times New Roman"/>
          <w:b w:val="0"/>
          <w:bCs w:val="0"/>
          <w:color w:val="auto"/>
          <w:sz w:val="32"/>
          <w:szCs w:val="32"/>
          <w:shd w:val="clear" w:color="auto" w:fill="FFFFFF"/>
          <w:lang w:val="en-US" w:eastAsia="zh-CN"/>
        </w:rPr>
        <w:t>3.8</w:t>
      </w:r>
      <w:r>
        <w:rPr>
          <w:rFonts w:hint="default" w:ascii="Times New Roman" w:hAnsi="Times New Roman" w:eastAsia="方正仿宋_GBK" w:cs="Times New Roman"/>
          <w:b w:val="0"/>
          <w:bCs w:val="0"/>
          <w:color w:val="auto"/>
          <w:sz w:val="32"/>
          <w:szCs w:val="32"/>
          <w:shd w:val="clear" w:color="auto" w:fill="FFFFFF"/>
        </w:rPr>
        <w:t>%，主要原因是</w:t>
      </w:r>
      <w:r>
        <w:rPr>
          <w:rFonts w:hint="default" w:ascii="Times New Roman" w:hAnsi="Times New Roman" w:eastAsia="方正仿宋_GBK" w:cs="Times New Roman"/>
          <w:b w:val="0"/>
          <w:bCs w:val="0"/>
          <w:color w:val="auto"/>
          <w:sz w:val="32"/>
          <w:szCs w:val="32"/>
          <w:shd w:val="clear" w:color="auto" w:fill="FFFFFF"/>
          <w:lang w:val="en-US" w:eastAsia="zh-CN"/>
        </w:rPr>
        <w:t>服务业产业发展资金项目年初预算由我委代编，年中通过评审细化</w:t>
      </w:r>
      <w:r>
        <w:rPr>
          <w:rFonts w:hint="eastAsia" w:ascii="Times New Roman" w:hAnsi="Times New Roman" w:eastAsia="方正仿宋_GBK" w:cs="Times New Roman"/>
          <w:b w:val="0"/>
          <w:bCs w:val="0"/>
          <w:color w:val="auto"/>
          <w:sz w:val="32"/>
          <w:szCs w:val="32"/>
          <w:shd w:val="clear" w:color="auto" w:fill="FFFFFF"/>
          <w:lang w:val="en-US" w:eastAsia="zh-CN"/>
        </w:rPr>
        <w:t>后</w:t>
      </w:r>
      <w:r>
        <w:rPr>
          <w:rFonts w:hint="default" w:ascii="Times New Roman" w:hAnsi="Times New Roman" w:eastAsia="方正仿宋_GBK" w:cs="Times New Roman"/>
          <w:b w:val="0"/>
          <w:bCs w:val="0"/>
          <w:color w:val="auto"/>
          <w:sz w:val="32"/>
          <w:szCs w:val="32"/>
          <w:shd w:val="clear" w:color="auto" w:fill="FFFFFF"/>
          <w:lang w:val="en-US" w:eastAsia="zh-CN"/>
        </w:rPr>
        <w:t>调整至各行业主管部门</w:t>
      </w:r>
      <w:r>
        <w:rPr>
          <w:rFonts w:hint="default" w:ascii="Times New Roman" w:hAnsi="Times New Roman" w:eastAsia="方正仿宋_GBK" w:cs="Times New Roman"/>
          <w:b w:val="0"/>
          <w:bCs w:val="0"/>
          <w:color w:val="auto"/>
          <w:sz w:val="32"/>
          <w:szCs w:val="32"/>
          <w:shd w:val="clear" w:color="auto" w:fill="FFFFFF"/>
        </w:rPr>
        <w:t>。</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lang w:eastAsia="zh-CN"/>
        </w:rPr>
        <w:t>2</w:t>
      </w:r>
      <w:r>
        <w:rPr>
          <w:rFonts w:hint="default" w:ascii="Times New Roman" w:hAnsi="Times New Roman" w:eastAsia="方正仿宋_GBK" w:cs="Times New Roman"/>
          <w:b w:val="0"/>
          <w:bCs w:val="0"/>
          <w:color w:val="auto"/>
          <w:sz w:val="32"/>
          <w:szCs w:val="32"/>
          <w:shd w:val="clear" w:color="auto" w:fill="FFFFFF"/>
        </w:rPr>
        <w:t>）国防支出</w:t>
      </w:r>
      <w:r>
        <w:rPr>
          <w:rFonts w:hint="default" w:ascii="Times New Roman" w:hAnsi="Times New Roman" w:eastAsia="方正仿宋_GBK" w:cs="Times New Roman"/>
          <w:b w:val="0"/>
          <w:bCs w:val="0"/>
          <w:color w:val="auto"/>
          <w:sz w:val="32"/>
          <w:szCs w:val="32"/>
        </w:rPr>
        <w:t>628.09</w:t>
      </w:r>
      <w:r>
        <w:rPr>
          <w:rFonts w:hint="default" w:ascii="Times New Roman" w:hAnsi="Times New Roman" w:eastAsia="方正仿宋_GBK" w:cs="Times New Roman"/>
          <w:b w:val="0"/>
          <w:bCs w:val="0"/>
          <w:color w:val="auto"/>
          <w:sz w:val="32"/>
          <w:szCs w:val="32"/>
          <w:shd w:val="clear" w:color="auto" w:fill="FFFFFF"/>
        </w:rPr>
        <w:t>万元，占</w:t>
      </w:r>
      <w:r>
        <w:rPr>
          <w:rFonts w:hint="default" w:ascii="Times New Roman" w:hAnsi="Times New Roman" w:eastAsia="方正仿宋_GBK" w:cs="Times New Roman"/>
          <w:b w:val="0"/>
          <w:bCs w:val="0"/>
          <w:color w:val="auto"/>
          <w:sz w:val="32"/>
          <w:szCs w:val="32"/>
          <w:lang w:eastAsia="zh-CN"/>
        </w:rPr>
        <w:t>8</w:t>
      </w:r>
      <w:r>
        <w:rPr>
          <w:rFonts w:hint="default" w:ascii="Times New Roman" w:hAnsi="Times New Roman" w:eastAsia="方正仿宋_GBK" w:cs="Times New Roman"/>
          <w:b w:val="0"/>
          <w:bCs w:val="0"/>
          <w:color w:val="auto"/>
          <w:sz w:val="32"/>
          <w:szCs w:val="32"/>
          <w:lang w:val="en-US" w:eastAsia="zh-CN"/>
        </w:rPr>
        <w:t>.4</w:t>
      </w:r>
      <w:r>
        <w:rPr>
          <w:rFonts w:hint="default" w:ascii="Times New Roman" w:hAnsi="Times New Roman" w:eastAsia="方正仿宋_GBK" w:cs="Times New Roman"/>
          <w:b w:val="0"/>
          <w:bCs w:val="0"/>
          <w:color w:val="auto"/>
          <w:sz w:val="32"/>
          <w:szCs w:val="32"/>
          <w:shd w:val="clear" w:color="auto" w:fill="FFFFFF"/>
        </w:rPr>
        <w:t>%，较年初预算数增加628.09万元，增长100.0%，主要原因</w:t>
      </w:r>
      <w:r>
        <w:rPr>
          <w:rFonts w:hint="eastAsia" w:ascii="Times New Roman" w:hAnsi="Times New Roman" w:eastAsia="方正仿宋_GBK" w:cs="Times New Roman"/>
          <w:b w:val="0"/>
          <w:bCs w:val="0"/>
          <w:color w:val="auto"/>
          <w:sz w:val="32"/>
          <w:szCs w:val="32"/>
          <w:shd w:val="clear" w:color="auto" w:fill="FFFFFF"/>
          <w:lang w:val="en-US" w:eastAsia="zh-CN"/>
        </w:rPr>
        <w:t>是相关项目资金未纳入年初预算，年中追加下达预算。</w:t>
      </w:r>
    </w:p>
    <w:p>
      <w:pPr>
        <w:pStyle w:val="8"/>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z w:val="32"/>
          <w:szCs w:val="32"/>
          <w:shd w:val="clear" w:color="auto" w:fill="FFFFFF"/>
        </w:rPr>
      </w:pPr>
      <w:r>
        <w:rPr>
          <w:rFonts w:hint="default" w:ascii="Times New Roman" w:hAnsi="Times New Roman" w:eastAsia="方正仿宋_GBK"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lang w:eastAsia="zh-CN"/>
        </w:rPr>
        <w:t>3</w:t>
      </w:r>
      <w:r>
        <w:rPr>
          <w:rFonts w:hint="default" w:ascii="Times New Roman" w:hAnsi="Times New Roman" w:eastAsia="方正仿宋_GBK" w:cs="Times New Roman"/>
          <w:b w:val="0"/>
          <w:bCs w:val="0"/>
          <w:color w:val="auto"/>
          <w:sz w:val="32"/>
          <w:szCs w:val="32"/>
          <w:shd w:val="clear" w:color="auto" w:fill="FFFFFF"/>
        </w:rPr>
        <w:t>）社会保障与就业支出</w:t>
      </w:r>
      <w:r>
        <w:rPr>
          <w:rFonts w:hint="default" w:ascii="Times New Roman" w:hAnsi="Times New Roman" w:eastAsia="方正仿宋_GBK" w:cs="Times New Roman"/>
          <w:b w:val="0"/>
          <w:bCs w:val="0"/>
          <w:color w:val="auto"/>
          <w:sz w:val="32"/>
          <w:szCs w:val="32"/>
          <w:lang w:eastAsia="zh-CN"/>
        </w:rPr>
        <w:t>8</w:t>
      </w:r>
      <w:r>
        <w:rPr>
          <w:rFonts w:hint="default" w:ascii="Times New Roman" w:hAnsi="Times New Roman" w:eastAsia="方正仿宋_GBK" w:cs="Times New Roman"/>
          <w:b w:val="0"/>
          <w:bCs w:val="0"/>
          <w:color w:val="auto"/>
          <w:sz w:val="32"/>
          <w:szCs w:val="32"/>
          <w:lang w:val="en-US" w:eastAsia="zh-CN"/>
        </w:rPr>
        <w:t>92.33</w:t>
      </w:r>
      <w:r>
        <w:rPr>
          <w:rFonts w:hint="default" w:ascii="Times New Roman" w:hAnsi="Times New Roman" w:eastAsia="方正仿宋_GBK" w:cs="Times New Roman"/>
          <w:b w:val="0"/>
          <w:bCs w:val="0"/>
          <w:color w:val="auto"/>
          <w:sz w:val="32"/>
          <w:szCs w:val="32"/>
          <w:shd w:val="clear" w:color="auto" w:fill="FFFFFF"/>
        </w:rPr>
        <w:t>万元，占</w:t>
      </w:r>
      <w:r>
        <w:rPr>
          <w:rFonts w:hint="default" w:ascii="Times New Roman" w:hAnsi="Times New Roman" w:eastAsia="方正仿宋_GBK" w:cs="Times New Roman"/>
          <w:b w:val="0"/>
          <w:bCs w:val="0"/>
          <w:color w:val="auto"/>
          <w:sz w:val="32"/>
          <w:szCs w:val="32"/>
        </w:rPr>
        <w:t>12.</w:t>
      </w:r>
      <w:r>
        <w:rPr>
          <w:rFonts w:hint="default" w:ascii="Times New Roman" w:hAnsi="Times New Roman" w:eastAsia="方正仿宋_GBK" w:cs="Times New Roman"/>
          <w:b w:val="0"/>
          <w:bCs w:val="0"/>
          <w:color w:val="auto"/>
          <w:sz w:val="32"/>
          <w:szCs w:val="32"/>
          <w:lang w:eastAsia="zh-CN"/>
        </w:rPr>
        <w:t>0</w:t>
      </w:r>
      <w:r>
        <w:rPr>
          <w:rFonts w:hint="default" w:ascii="Times New Roman" w:hAnsi="Times New Roman" w:eastAsia="方正仿宋_GBK" w:cs="Times New Roman"/>
          <w:b w:val="0"/>
          <w:bCs w:val="0"/>
          <w:color w:val="auto"/>
          <w:sz w:val="32"/>
          <w:szCs w:val="32"/>
          <w:shd w:val="clear" w:color="auto" w:fill="FFFFFF"/>
        </w:rPr>
        <w:t>%，较年初预算数增加499.4</w:t>
      </w:r>
      <w:r>
        <w:rPr>
          <w:rFonts w:hint="default" w:ascii="Times New Roman" w:hAnsi="Times New Roman" w:eastAsia="方正仿宋_GBK" w:cs="Times New Roman"/>
          <w:b w:val="0"/>
          <w:bCs w:val="0"/>
          <w:color w:val="auto"/>
          <w:sz w:val="32"/>
          <w:szCs w:val="32"/>
          <w:shd w:val="clear" w:color="auto" w:fill="FFFFFF"/>
          <w:lang w:eastAsia="zh-CN"/>
        </w:rPr>
        <w:t>9</w:t>
      </w:r>
      <w:r>
        <w:rPr>
          <w:rFonts w:hint="default" w:ascii="Times New Roman" w:hAnsi="Times New Roman" w:eastAsia="方正仿宋_GBK" w:cs="Times New Roman"/>
          <w:b w:val="0"/>
          <w:bCs w:val="0"/>
          <w:color w:val="auto"/>
          <w:sz w:val="32"/>
          <w:szCs w:val="32"/>
          <w:shd w:val="clear" w:color="auto" w:fill="FFFFFF"/>
        </w:rPr>
        <w:t>万元，增长1</w:t>
      </w:r>
      <w:r>
        <w:rPr>
          <w:rFonts w:hint="default" w:ascii="Times New Roman" w:hAnsi="Times New Roman" w:eastAsia="方正仿宋_GBK" w:cs="Times New Roman"/>
          <w:b w:val="0"/>
          <w:bCs w:val="0"/>
          <w:color w:val="auto"/>
          <w:sz w:val="32"/>
          <w:szCs w:val="32"/>
          <w:shd w:val="clear" w:color="auto" w:fill="FFFFFF"/>
          <w:lang w:eastAsia="zh-CN"/>
        </w:rPr>
        <w:t>2</w:t>
      </w:r>
      <w:r>
        <w:rPr>
          <w:rFonts w:hint="default" w:ascii="Times New Roman" w:hAnsi="Times New Roman" w:eastAsia="方正仿宋_GBK" w:cs="Times New Roman"/>
          <w:b w:val="0"/>
          <w:bCs w:val="0"/>
          <w:color w:val="auto"/>
          <w:sz w:val="32"/>
          <w:szCs w:val="32"/>
          <w:shd w:val="clear" w:color="auto" w:fill="FFFFFF"/>
        </w:rPr>
        <w:t>7.</w:t>
      </w:r>
      <w:r>
        <w:rPr>
          <w:rFonts w:hint="default" w:ascii="Times New Roman" w:hAnsi="Times New Roman" w:eastAsia="方正仿宋_GBK" w:cs="Times New Roman"/>
          <w:b w:val="0"/>
          <w:bCs w:val="0"/>
          <w:color w:val="auto"/>
          <w:sz w:val="32"/>
          <w:szCs w:val="32"/>
          <w:shd w:val="clear" w:color="auto" w:fill="FFFFFF"/>
          <w:lang w:eastAsia="zh-CN"/>
        </w:rPr>
        <w:t>1</w:t>
      </w:r>
      <w:r>
        <w:rPr>
          <w:rFonts w:hint="default" w:ascii="Times New Roman" w:hAnsi="Times New Roman" w:eastAsia="方正仿宋_GBK" w:cs="Times New Roman"/>
          <w:b w:val="0"/>
          <w:bCs w:val="0"/>
          <w:color w:val="auto"/>
          <w:sz w:val="32"/>
          <w:szCs w:val="32"/>
          <w:shd w:val="clear" w:color="auto" w:fill="FFFFFF"/>
        </w:rPr>
        <w:t>%，主要原因</w:t>
      </w:r>
      <w:r>
        <w:rPr>
          <w:rFonts w:hint="default" w:ascii="Times New Roman" w:hAnsi="Times New Roman" w:eastAsia="方正仿宋_GBK" w:cs="Times New Roman"/>
          <w:b w:val="0"/>
          <w:bCs w:val="0"/>
          <w:color w:val="auto"/>
          <w:sz w:val="32"/>
          <w:szCs w:val="32"/>
          <w:shd w:val="clear" w:color="auto" w:fill="FFFFFF"/>
          <w:lang w:val="en-US" w:eastAsia="zh-CN"/>
        </w:rPr>
        <w:t>一</w:t>
      </w:r>
      <w:r>
        <w:rPr>
          <w:rFonts w:hint="default" w:ascii="Times New Roman" w:hAnsi="Times New Roman" w:eastAsia="方正仿宋_GBK" w:cs="Times New Roman"/>
          <w:b w:val="0"/>
          <w:bCs w:val="0"/>
          <w:color w:val="auto"/>
          <w:sz w:val="32"/>
          <w:szCs w:val="32"/>
          <w:shd w:val="clear" w:color="auto" w:fill="FFFFFF"/>
        </w:rPr>
        <w:t>是</w:t>
      </w:r>
      <w:r>
        <w:rPr>
          <w:rFonts w:hint="eastAsia" w:ascii="Times New Roman" w:hAnsi="Times New Roman" w:eastAsia="方正仿宋_GBK" w:cs="Times New Roman"/>
          <w:b w:val="0"/>
          <w:bCs w:val="0"/>
          <w:color w:val="auto"/>
          <w:sz w:val="32"/>
          <w:szCs w:val="32"/>
          <w:shd w:val="clear" w:color="auto" w:fill="FFFFFF"/>
          <w:lang w:val="en-US" w:eastAsia="zh-CN"/>
        </w:rPr>
        <w:t>执行</w:t>
      </w:r>
      <w:r>
        <w:rPr>
          <w:rFonts w:hint="default" w:ascii="Times New Roman" w:hAnsi="Times New Roman" w:eastAsia="方正仿宋_GBK" w:cs="Times New Roman"/>
          <w:b w:val="0"/>
          <w:bCs w:val="0"/>
          <w:color w:val="auto"/>
          <w:sz w:val="32"/>
          <w:szCs w:val="32"/>
          <w:shd w:val="clear" w:color="auto" w:fill="FFFFFF"/>
          <w:lang w:val="en-US" w:eastAsia="zh-CN"/>
        </w:rPr>
        <w:t>中追加新划入人员相关经费，二是</w:t>
      </w:r>
      <w:r>
        <w:rPr>
          <w:rFonts w:hint="eastAsia" w:ascii="Times New Roman" w:hAnsi="Times New Roman" w:eastAsia="方正仿宋_GBK" w:cs="Times New Roman"/>
          <w:b w:val="0"/>
          <w:bCs w:val="0"/>
          <w:color w:val="auto"/>
          <w:sz w:val="32"/>
          <w:szCs w:val="32"/>
          <w:shd w:val="clear" w:color="auto" w:fill="FFFFFF"/>
          <w:lang w:val="en-US" w:eastAsia="zh-CN"/>
        </w:rPr>
        <w:t>部分人员经费未纳入年初预算，年中财政据实清算后追加下达相关预算</w:t>
      </w:r>
      <w:r>
        <w:rPr>
          <w:rFonts w:hint="default" w:ascii="Times New Roman" w:hAnsi="Times New Roman" w:eastAsia="方正仿宋_GBK" w:cs="Times New Roman"/>
          <w:b w:val="0"/>
          <w:bCs w:val="0"/>
          <w:color w:val="auto"/>
          <w:sz w:val="32"/>
          <w:szCs w:val="32"/>
          <w:shd w:val="clear" w:color="auto" w:fill="FFFFFF"/>
        </w:rPr>
        <w:t>。</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z w:val="32"/>
          <w:szCs w:val="32"/>
          <w:shd w:val="clear" w:color="auto" w:fill="FFFFFF"/>
        </w:rPr>
      </w:pPr>
      <w:r>
        <w:rPr>
          <w:rFonts w:hint="default" w:ascii="Times New Roman" w:hAnsi="Times New Roman" w:eastAsia="方正仿宋_GBK"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lang w:eastAsia="zh-CN"/>
        </w:rPr>
        <w:t>4</w:t>
      </w:r>
      <w:r>
        <w:rPr>
          <w:rFonts w:hint="default" w:ascii="Times New Roman" w:hAnsi="Times New Roman" w:eastAsia="方正仿宋_GBK" w:cs="Times New Roman"/>
          <w:b w:val="0"/>
          <w:bCs w:val="0"/>
          <w:color w:val="auto"/>
          <w:sz w:val="32"/>
          <w:szCs w:val="32"/>
          <w:shd w:val="clear" w:color="auto" w:fill="FFFFFF"/>
        </w:rPr>
        <w:t>）卫生健康支出</w:t>
      </w:r>
      <w:r>
        <w:rPr>
          <w:rFonts w:hint="default" w:ascii="Times New Roman" w:hAnsi="Times New Roman" w:eastAsia="方正仿宋_GBK" w:cs="Times New Roman"/>
          <w:b w:val="0"/>
          <w:bCs w:val="0"/>
          <w:color w:val="auto"/>
          <w:sz w:val="32"/>
          <w:szCs w:val="32"/>
          <w:shd w:val="clear" w:color="auto" w:fill="FFFFFF"/>
          <w:lang w:val="en-US" w:eastAsia="zh-CN"/>
        </w:rPr>
        <w:t>1</w:t>
      </w:r>
      <w:r>
        <w:rPr>
          <w:rFonts w:hint="default" w:ascii="Times New Roman" w:hAnsi="Times New Roman" w:eastAsia="方正仿宋_GBK" w:cs="Times New Roman"/>
          <w:b w:val="0"/>
          <w:bCs w:val="0"/>
          <w:color w:val="auto"/>
          <w:sz w:val="32"/>
          <w:szCs w:val="32"/>
          <w:lang w:eastAsia="zh-CN"/>
        </w:rPr>
        <w:t>2</w:t>
      </w:r>
      <w:r>
        <w:rPr>
          <w:rFonts w:hint="default" w:ascii="Times New Roman" w:hAnsi="Times New Roman" w:eastAsia="方正仿宋_GBK" w:cs="Times New Roman"/>
          <w:b w:val="0"/>
          <w:bCs w:val="0"/>
          <w:color w:val="auto"/>
          <w:sz w:val="32"/>
          <w:szCs w:val="32"/>
          <w:lang w:val="en-US" w:eastAsia="zh-CN"/>
        </w:rPr>
        <w:t>3.67</w:t>
      </w:r>
      <w:r>
        <w:rPr>
          <w:rFonts w:hint="default" w:ascii="Times New Roman" w:hAnsi="Times New Roman" w:eastAsia="方正仿宋_GBK" w:cs="Times New Roman"/>
          <w:b w:val="0"/>
          <w:bCs w:val="0"/>
          <w:color w:val="auto"/>
          <w:sz w:val="32"/>
          <w:szCs w:val="32"/>
          <w:shd w:val="clear" w:color="auto" w:fill="FFFFFF"/>
        </w:rPr>
        <w:t>万元，占</w:t>
      </w:r>
      <w:r>
        <w:rPr>
          <w:rFonts w:hint="default" w:ascii="Times New Roman" w:hAnsi="Times New Roman" w:eastAsia="方正仿宋_GBK" w:cs="Times New Roman"/>
          <w:b w:val="0"/>
          <w:bCs w:val="0"/>
          <w:color w:val="auto"/>
          <w:sz w:val="32"/>
          <w:szCs w:val="32"/>
        </w:rPr>
        <w:t>1.7</w:t>
      </w:r>
      <w:r>
        <w:rPr>
          <w:rFonts w:hint="default" w:ascii="Times New Roman" w:hAnsi="Times New Roman" w:eastAsia="方正仿宋_GBK" w:cs="Times New Roman"/>
          <w:b w:val="0"/>
          <w:bCs w:val="0"/>
          <w:color w:val="auto"/>
          <w:sz w:val="32"/>
          <w:szCs w:val="32"/>
          <w:shd w:val="clear" w:color="auto" w:fill="FFFFFF"/>
        </w:rPr>
        <w:t>%，较年初预算数增加</w:t>
      </w:r>
      <w:r>
        <w:rPr>
          <w:rFonts w:hint="default" w:ascii="Times New Roman" w:hAnsi="Times New Roman" w:eastAsia="方正仿宋_GBK" w:cs="Times New Roman"/>
          <w:b w:val="0"/>
          <w:bCs w:val="0"/>
          <w:color w:val="auto"/>
          <w:sz w:val="32"/>
          <w:szCs w:val="32"/>
          <w:shd w:val="clear" w:color="auto" w:fill="FFFFFF"/>
          <w:lang w:eastAsia="zh-CN"/>
        </w:rPr>
        <w:t>5</w:t>
      </w:r>
      <w:r>
        <w:rPr>
          <w:rFonts w:hint="default" w:ascii="Times New Roman" w:hAnsi="Times New Roman" w:eastAsia="方正仿宋_GBK" w:cs="Times New Roman"/>
          <w:b w:val="0"/>
          <w:bCs w:val="0"/>
          <w:color w:val="auto"/>
          <w:sz w:val="32"/>
          <w:szCs w:val="32"/>
          <w:shd w:val="clear" w:color="auto" w:fill="FFFFFF"/>
          <w:lang w:val="en-US" w:eastAsia="zh-CN"/>
        </w:rPr>
        <w:t>.63</w:t>
      </w:r>
      <w:r>
        <w:rPr>
          <w:rFonts w:hint="default" w:ascii="Times New Roman" w:hAnsi="Times New Roman" w:eastAsia="方正仿宋_GBK" w:cs="Times New Roman"/>
          <w:b w:val="0"/>
          <w:bCs w:val="0"/>
          <w:color w:val="auto"/>
          <w:sz w:val="32"/>
          <w:szCs w:val="32"/>
          <w:shd w:val="clear" w:color="auto" w:fill="FFFFFF"/>
        </w:rPr>
        <w:t>万元，增长</w:t>
      </w:r>
      <w:r>
        <w:rPr>
          <w:rFonts w:hint="default" w:ascii="Times New Roman" w:hAnsi="Times New Roman" w:eastAsia="方正仿宋_GBK" w:cs="Times New Roman"/>
          <w:b w:val="0"/>
          <w:bCs w:val="0"/>
          <w:color w:val="auto"/>
          <w:sz w:val="32"/>
          <w:szCs w:val="32"/>
          <w:shd w:val="clear" w:color="auto" w:fill="FFFFFF"/>
          <w:lang w:eastAsia="zh-CN"/>
        </w:rPr>
        <w:t>4</w:t>
      </w:r>
      <w:r>
        <w:rPr>
          <w:rFonts w:hint="default" w:ascii="Times New Roman" w:hAnsi="Times New Roman" w:eastAsia="方正仿宋_GBK" w:cs="Times New Roman"/>
          <w:b w:val="0"/>
          <w:bCs w:val="0"/>
          <w:color w:val="auto"/>
          <w:sz w:val="32"/>
          <w:szCs w:val="32"/>
          <w:shd w:val="clear" w:color="auto" w:fill="FFFFFF"/>
          <w:lang w:val="en-US" w:eastAsia="zh-CN"/>
        </w:rPr>
        <w:t>.8</w:t>
      </w:r>
      <w:r>
        <w:rPr>
          <w:rFonts w:hint="default" w:ascii="Times New Roman" w:hAnsi="Times New Roman" w:eastAsia="方正仿宋_GBK" w:cs="Times New Roman"/>
          <w:b w:val="0"/>
          <w:bCs w:val="0"/>
          <w:color w:val="auto"/>
          <w:sz w:val="32"/>
          <w:szCs w:val="32"/>
          <w:shd w:val="clear" w:color="auto" w:fill="FFFFFF"/>
        </w:rPr>
        <w:t>%，主要原因是</w:t>
      </w:r>
      <w:r>
        <w:rPr>
          <w:rFonts w:hint="eastAsia" w:ascii="Times New Roman" w:hAnsi="Times New Roman" w:eastAsia="方正仿宋_GBK" w:cs="Times New Roman"/>
          <w:b w:val="0"/>
          <w:bCs w:val="0"/>
          <w:color w:val="auto"/>
          <w:sz w:val="32"/>
          <w:szCs w:val="32"/>
          <w:shd w:val="clear" w:color="auto" w:fill="FFFFFF"/>
          <w:lang w:val="en-US" w:eastAsia="zh-CN"/>
        </w:rPr>
        <w:t>执行</w:t>
      </w:r>
      <w:r>
        <w:rPr>
          <w:rFonts w:hint="default" w:ascii="Times New Roman" w:hAnsi="Times New Roman" w:eastAsia="方正仿宋_GBK" w:cs="Times New Roman"/>
          <w:b w:val="0"/>
          <w:bCs w:val="0"/>
          <w:color w:val="auto"/>
          <w:sz w:val="32"/>
          <w:szCs w:val="32"/>
          <w:shd w:val="clear" w:color="auto" w:fill="FFFFFF"/>
          <w:lang w:val="en-US" w:eastAsia="zh-CN"/>
        </w:rPr>
        <w:t>中追加新划入人员相关经费。</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jc w:val="both"/>
        <w:textAlignment w:val="auto"/>
        <w:rPr>
          <w:rFonts w:hint="eastAsia" w:ascii="Times New Roman" w:hAnsi="Times New Roman" w:eastAsia="方正仿宋_GBK" w:cs="Times New Roman"/>
          <w:b w:val="0"/>
          <w:bCs w:val="0"/>
          <w:color w:val="auto"/>
          <w:sz w:val="32"/>
          <w:szCs w:val="32"/>
          <w:shd w:val="clear" w:color="auto" w:fill="FFFFFF"/>
          <w:lang w:val="en-US" w:eastAsia="zh-CN"/>
        </w:rPr>
      </w:pPr>
      <w:r>
        <w:rPr>
          <w:rFonts w:hint="default" w:ascii="Times New Roman" w:hAnsi="Times New Roman" w:eastAsia="方正仿宋_GBK"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lang w:eastAsia="zh-CN"/>
        </w:rPr>
        <w:t>5</w:t>
      </w:r>
      <w:r>
        <w:rPr>
          <w:rFonts w:hint="default" w:ascii="Times New Roman" w:hAnsi="Times New Roman" w:eastAsia="方正仿宋_GBK"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rPr>
        <w:t>住房保障支出</w:t>
      </w:r>
      <w:r>
        <w:rPr>
          <w:rFonts w:hint="default" w:ascii="Times New Roman" w:hAnsi="Times New Roman" w:eastAsia="方正仿宋_GBK" w:cs="Times New Roman"/>
          <w:b w:val="0"/>
          <w:bCs w:val="0"/>
          <w:color w:val="auto"/>
          <w:sz w:val="32"/>
          <w:szCs w:val="32"/>
          <w:lang w:eastAsia="zh-CN"/>
        </w:rPr>
        <w:t>1</w:t>
      </w:r>
      <w:r>
        <w:rPr>
          <w:rFonts w:hint="default" w:ascii="Times New Roman" w:hAnsi="Times New Roman" w:eastAsia="方正仿宋_GBK" w:cs="Times New Roman"/>
          <w:b w:val="0"/>
          <w:bCs w:val="0"/>
          <w:color w:val="auto"/>
          <w:sz w:val="32"/>
          <w:szCs w:val="32"/>
          <w:lang w:val="en-US" w:eastAsia="zh-CN"/>
        </w:rPr>
        <w:t>12.5</w:t>
      </w:r>
      <w:r>
        <w:rPr>
          <w:rFonts w:hint="default" w:ascii="Times New Roman" w:hAnsi="Times New Roman" w:eastAsia="方正仿宋_GBK" w:cs="Times New Roman"/>
          <w:b w:val="0"/>
          <w:bCs w:val="0"/>
          <w:color w:val="auto"/>
          <w:sz w:val="32"/>
          <w:szCs w:val="32"/>
          <w:shd w:val="clear" w:color="auto" w:fill="FFFFFF"/>
        </w:rPr>
        <w:t>万元，占</w:t>
      </w:r>
      <w:r>
        <w:rPr>
          <w:rFonts w:hint="default" w:ascii="Times New Roman" w:hAnsi="Times New Roman" w:eastAsia="方正仿宋_GBK" w:cs="Times New Roman"/>
          <w:b w:val="0"/>
          <w:bCs w:val="0"/>
          <w:color w:val="auto"/>
          <w:sz w:val="32"/>
          <w:szCs w:val="32"/>
        </w:rPr>
        <w:t>1.</w:t>
      </w:r>
      <w:r>
        <w:rPr>
          <w:rFonts w:hint="default" w:ascii="Times New Roman" w:hAnsi="Times New Roman" w:eastAsia="方正仿宋_GBK" w:cs="Times New Roman"/>
          <w:b w:val="0"/>
          <w:bCs w:val="0"/>
          <w:color w:val="auto"/>
          <w:sz w:val="32"/>
          <w:szCs w:val="32"/>
          <w:lang w:eastAsia="zh-CN"/>
        </w:rPr>
        <w:t>5</w:t>
      </w:r>
      <w:r>
        <w:rPr>
          <w:rFonts w:hint="default" w:ascii="Times New Roman" w:hAnsi="Times New Roman" w:eastAsia="方正仿宋_GBK" w:cs="Times New Roman"/>
          <w:b w:val="0"/>
          <w:bCs w:val="0"/>
          <w:color w:val="auto"/>
          <w:sz w:val="32"/>
          <w:szCs w:val="32"/>
          <w:shd w:val="clear" w:color="auto" w:fill="FFFFFF"/>
        </w:rPr>
        <w:t>%，较年初预算数减少1</w:t>
      </w:r>
      <w:r>
        <w:rPr>
          <w:rFonts w:hint="default" w:ascii="Times New Roman" w:hAnsi="Times New Roman" w:eastAsia="方正仿宋_GBK" w:cs="Times New Roman"/>
          <w:b w:val="0"/>
          <w:bCs w:val="0"/>
          <w:color w:val="auto"/>
          <w:sz w:val="32"/>
          <w:szCs w:val="32"/>
          <w:shd w:val="clear" w:color="auto" w:fill="FFFFFF"/>
          <w:lang w:eastAsia="zh-CN"/>
        </w:rPr>
        <w:t>2</w:t>
      </w:r>
      <w:r>
        <w:rPr>
          <w:rFonts w:hint="default" w:ascii="Times New Roman" w:hAnsi="Times New Roman" w:eastAsia="方正仿宋_GBK" w:cs="Times New Roman"/>
          <w:b w:val="0"/>
          <w:bCs w:val="0"/>
          <w:color w:val="auto"/>
          <w:sz w:val="32"/>
          <w:szCs w:val="32"/>
          <w:shd w:val="clear" w:color="auto" w:fill="FFFFFF"/>
          <w:lang w:val="en-US" w:eastAsia="zh-CN"/>
        </w:rPr>
        <w:t>.93</w:t>
      </w:r>
      <w:r>
        <w:rPr>
          <w:rFonts w:hint="default" w:ascii="Times New Roman" w:hAnsi="Times New Roman" w:eastAsia="方正仿宋_GBK" w:cs="Times New Roman"/>
          <w:b w:val="0"/>
          <w:bCs w:val="0"/>
          <w:color w:val="auto"/>
          <w:sz w:val="32"/>
          <w:szCs w:val="32"/>
          <w:shd w:val="clear" w:color="auto" w:fill="FFFFFF"/>
        </w:rPr>
        <w:t>万元，下降10.</w:t>
      </w:r>
      <w:r>
        <w:rPr>
          <w:rFonts w:hint="default" w:ascii="Times New Roman" w:hAnsi="Times New Roman" w:eastAsia="方正仿宋_GBK" w:cs="Times New Roman"/>
          <w:b w:val="0"/>
          <w:bCs w:val="0"/>
          <w:color w:val="auto"/>
          <w:sz w:val="32"/>
          <w:szCs w:val="32"/>
          <w:shd w:val="clear" w:color="auto" w:fill="FFFFFF"/>
          <w:lang w:eastAsia="zh-CN"/>
        </w:rPr>
        <w:t>3</w:t>
      </w:r>
      <w:r>
        <w:rPr>
          <w:rFonts w:hint="default" w:ascii="Times New Roman" w:hAnsi="Times New Roman" w:eastAsia="方正仿宋_GBK" w:cs="Times New Roman"/>
          <w:b w:val="0"/>
          <w:bCs w:val="0"/>
          <w:color w:val="auto"/>
          <w:sz w:val="32"/>
          <w:szCs w:val="32"/>
          <w:shd w:val="clear" w:color="auto" w:fill="FFFFFF"/>
        </w:rPr>
        <w:t>%，主要原因是</w:t>
      </w:r>
      <w:r>
        <w:rPr>
          <w:rFonts w:hint="default" w:ascii="Times New Roman" w:hAnsi="Times New Roman" w:eastAsia="方正仿宋_GBK" w:cs="Times New Roman"/>
          <w:b w:val="0"/>
          <w:bCs w:val="0"/>
          <w:color w:val="auto"/>
          <w:sz w:val="32"/>
          <w:szCs w:val="32"/>
          <w:shd w:val="clear" w:color="auto" w:fill="FFFFFF"/>
          <w:lang w:val="en-US" w:eastAsia="zh-CN"/>
        </w:rPr>
        <w:t>按有关政策据实清算</w:t>
      </w:r>
      <w:r>
        <w:rPr>
          <w:rFonts w:hint="default" w:ascii="Times New Roman" w:hAnsi="Times New Roman" w:eastAsia="方正仿宋_GBK" w:cs="Times New Roman"/>
          <w:b w:val="0"/>
          <w:bCs w:val="0"/>
          <w:color w:val="auto"/>
          <w:sz w:val="32"/>
          <w:szCs w:val="32"/>
          <w:shd w:val="clear" w:color="auto" w:fill="FFFFFF"/>
        </w:rPr>
        <w:t>。</w:t>
      </w:r>
      <w:r>
        <w:rPr>
          <w:rFonts w:hint="eastAsia" w:ascii="Times New Roman" w:hAnsi="Times New Roman" w:eastAsia="方正仿宋_GBK" w:cs="Times New Roman"/>
          <w:b w:val="0"/>
          <w:bCs w:val="0"/>
          <w:color w:val="auto"/>
          <w:sz w:val="32"/>
          <w:szCs w:val="32"/>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b w:val="0"/>
          <w:bCs w:val="0"/>
          <w:color w:val="auto"/>
          <w:sz w:val="32"/>
          <w:szCs w:val="32"/>
          <w:shd w:val="clear" w:color="auto" w:fill="FFFFFF"/>
        </w:rPr>
      </w:pPr>
      <w:r>
        <w:rPr>
          <w:rFonts w:hint="default" w:ascii="Times New Roman" w:hAnsi="Times New Roman" w:eastAsia="方正仿宋_GBK"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lang w:eastAsia="zh-CN"/>
        </w:rPr>
        <w:t>6</w:t>
      </w:r>
      <w:r>
        <w:rPr>
          <w:rFonts w:hint="default" w:ascii="Times New Roman" w:hAnsi="Times New Roman" w:eastAsia="方正仿宋_GBK"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rPr>
        <w:t>粮油物资储备支出1971.3</w:t>
      </w:r>
      <w:r>
        <w:rPr>
          <w:rFonts w:hint="default" w:ascii="Times New Roman" w:hAnsi="Times New Roman" w:eastAsia="方正仿宋_GBK" w:cs="Times New Roman"/>
          <w:b w:val="0"/>
          <w:bCs w:val="0"/>
          <w:color w:val="auto"/>
          <w:sz w:val="32"/>
          <w:szCs w:val="32"/>
          <w:shd w:val="clear" w:color="auto" w:fill="FFFFFF"/>
        </w:rPr>
        <w:t>万元，占</w:t>
      </w:r>
      <w:r>
        <w:rPr>
          <w:rFonts w:hint="default" w:ascii="Times New Roman" w:hAnsi="Times New Roman" w:eastAsia="方正仿宋_GBK" w:cs="Times New Roman"/>
          <w:b w:val="0"/>
          <w:bCs w:val="0"/>
          <w:color w:val="auto"/>
          <w:sz w:val="32"/>
          <w:szCs w:val="32"/>
          <w:lang w:eastAsia="zh-CN"/>
        </w:rPr>
        <w:t>2</w:t>
      </w:r>
      <w:r>
        <w:rPr>
          <w:rFonts w:hint="default" w:ascii="Times New Roman" w:hAnsi="Times New Roman" w:eastAsia="方正仿宋_GBK" w:cs="Times New Roman"/>
          <w:b w:val="0"/>
          <w:bCs w:val="0"/>
          <w:color w:val="auto"/>
          <w:sz w:val="32"/>
          <w:szCs w:val="32"/>
          <w:lang w:val="en-US" w:eastAsia="zh-CN"/>
        </w:rPr>
        <w:t>6.4</w:t>
      </w:r>
      <w:r>
        <w:rPr>
          <w:rFonts w:hint="default" w:ascii="Times New Roman" w:hAnsi="Times New Roman" w:eastAsia="方正仿宋_GBK" w:cs="Times New Roman"/>
          <w:b w:val="0"/>
          <w:bCs w:val="0"/>
          <w:color w:val="auto"/>
          <w:sz w:val="32"/>
          <w:szCs w:val="32"/>
          <w:shd w:val="clear" w:color="auto" w:fill="FFFFFF"/>
        </w:rPr>
        <w:t>%，较年初预算数增加71.79万元，增长3.</w:t>
      </w:r>
      <w:r>
        <w:rPr>
          <w:rFonts w:hint="eastAsia" w:ascii="Times New Roman" w:hAnsi="Times New Roman" w:eastAsia="方正仿宋_GBK" w:cs="Times New Roman"/>
          <w:b w:val="0"/>
          <w:bCs w:val="0"/>
          <w:color w:val="auto"/>
          <w:sz w:val="32"/>
          <w:szCs w:val="32"/>
          <w:shd w:val="clear" w:color="auto" w:fill="FFFFFF"/>
          <w:lang w:val="en-US" w:eastAsia="zh-CN"/>
        </w:rPr>
        <w:t>8</w:t>
      </w:r>
      <w:r>
        <w:rPr>
          <w:rFonts w:hint="default" w:ascii="Times New Roman" w:hAnsi="Times New Roman" w:eastAsia="方正仿宋_GBK" w:cs="Times New Roman"/>
          <w:b w:val="0"/>
          <w:bCs w:val="0"/>
          <w:color w:val="auto"/>
          <w:sz w:val="32"/>
          <w:szCs w:val="32"/>
          <w:shd w:val="clear" w:color="auto" w:fill="FFFFFF"/>
        </w:rPr>
        <w:t>%，主要原因是</w:t>
      </w:r>
      <w:r>
        <w:rPr>
          <w:rFonts w:hint="default" w:ascii="Times New Roman" w:hAnsi="Times New Roman" w:eastAsia="方正仿宋_GBK" w:cs="Times New Roman"/>
          <w:b w:val="0"/>
          <w:bCs w:val="0"/>
          <w:color w:val="auto"/>
          <w:sz w:val="32"/>
          <w:szCs w:val="32"/>
          <w:shd w:val="clear" w:color="auto" w:fill="FFFFFF"/>
          <w:lang w:val="en-US" w:eastAsia="zh-CN"/>
        </w:rPr>
        <w:t>储备费用标准调整，</w:t>
      </w:r>
      <w:r>
        <w:rPr>
          <w:rFonts w:hint="eastAsia" w:ascii="Times New Roman" w:hAnsi="Times New Roman" w:eastAsia="方正仿宋_GBK" w:cs="Times New Roman"/>
          <w:b w:val="0"/>
          <w:bCs w:val="0"/>
          <w:color w:val="auto"/>
          <w:sz w:val="32"/>
          <w:szCs w:val="32"/>
          <w:shd w:val="clear" w:color="auto" w:fill="FFFFFF"/>
          <w:lang w:val="en-US" w:eastAsia="zh-CN"/>
        </w:rPr>
        <w:t>执行</w:t>
      </w:r>
      <w:r>
        <w:rPr>
          <w:rFonts w:hint="default" w:ascii="Times New Roman" w:hAnsi="Times New Roman" w:eastAsia="方正仿宋_GBK" w:cs="Times New Roman"/>
          <w:b w:val="0"/>
          <w:bCs w:val="0"/>
          <w:color w:val="auto"/>
          <w:sz w:val="32"/>
          <w:szCs w:val="32"/>
          <w:shd w:val="clear" w:color="auto" w:fill="FFFFFF"/>
          <w:lang w:val="en-US" w:eastAsia="zh-CN"/>
        </w:rPr>
        <w:t>中追加部分项目资金。</w:t>
      </w:r>
    </w:p>
    <w:p>
      <w:pPr>
        <w:pStyle w:val="13"/>
        <w:keepNext w:val="0"/>
        <w:keepLines w:val="0"/>
        <w:pageBreakBefore w:val="0"/>
        <w:widowControl w:val="0"/>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eastAsia" w:ascii="Times New Roman" w:hAnsi="Times New Roman" w:eastAsia="方正楷体_GBK" w:cs="方正楷体_GBK"/>
          <w:b w:val="0"/>
          <w:bCs w:val="0"/>
          <w:color w:val="auto"/>
          <w:sz w:val="32"/>
          <w:szCs w:val="32"/>
          <w:shd w:val="clear" w:color="auto" w:fill="FFFFFF"/>
        </w:rPr>
      </w:pPr>
      <w:r>
        <w:rPr>
          <w:rFonts w:hint="eastAsia" w:ascii="Times New Roman" w:hAnsi="Times New Roman" w:eastAsia="方正楷体_GBK" w:cs="方正楷体_GBK"/>
          <w:b w:val="0"/>
          <w:bCs w:val="0"/>
          <w:color w:val="auto"/>
          <w:sz w:val="32"/>
          <w:szCs w:val="32"/>
          <w:shd w:val="clear" w:color="auto" w:fill="FFFFFF"/>
        </w:rPr>
        <w:t>（四）一般公共预算财政拨款基本支出决算情况说明</w:t>
      </w:r>
    </w:p>
    <w:p>
      <w:pPr>
        <w:pStyle w:val="8"/>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shd w:val="clear" w:color="auto" w:fill="FFFFFF"/>
        </w:rPr>
        <w:t> 2023年度一般公共财政拨款基本支出</w:t>
      </w:r>
      <w:r>
        <w:rPr>
          <w:rFonts w:hint="default" w:ascii="Times New Roman" w:hAnsi="Times New Roman" w:eastAsia="方正仿宋_GBK" w:cs="Times New Roman"/>
          <w:b w:val="0"/>
          <w:bCs w:val="0"/>
          <w:color w:val="auto"/>
          <w:sz w:val="32"/>
          <w:szCs w:val="32"/>
          <w:lang w:eastAsia="zh-CN"/>
        </w:rPr>
        <w:t>3</w:t>
      </w:r>
      <w:r>
        <w:rPr>
          <w:rFonts w:hint="default" w:ascii="Times New Roman" w:hAnsi="Times New Roman" w:eastAsia="方正仿宋_GBK" w:cs="Times New Roman"/>
          <w:b w:val="0"/>
          <w:bCs w:val="0"/>
          <w:color w:val="auto"/>
          <w:sz w:val="32"/>
          <w:szCs w:val="32"/>
          <w:lang w:val="en-US" w:eastAsia="zh-CN"/>
        </w:rPr>
        <w:t>299.1</w:t>
      </w:r>
      <w:r>
        <w:rPr>
          <w:rFonts w:hint="default" w:ascii="Times New Roman" w:hAnsi="Times New Roman" w:eastAsia="方正仿宋_GBK" w:cs="Times New Roman"/>
          <w:b w:val="0"/>
          <w:bCs w:val="0"/>
          <w:color w:val="auto"/>
          <w:sz w:val="32"/>
          <w:szCs w:val="32"/>
          <w:shd w:val="clear" w:color="auto" w:fill="FFFFFF"/>
        </w:rPr>
        <w:t>万元。其中：人员经费</w:t>
      </w:r>
      <w:r>
        <w:rPr>
          <w:rFonts w:hint="default" w:ascii="Times New Roman" w:hAnsi="Times New Roman" w:eastAsia="方正仿宋_GBK" w:cs="Times New Roman"/>
          <w:b w:val="0"/>
          <w:bCs w:val="0"/>
          <w:color w:val="auto"/>
          <w:sz w:val="32"/>
          <w:szCs w:val="32"/>
          <w:lang w:eastAsia="zh-CN"/>
        </w:rPr>
        <w:t>2</w:t>
      </w:r>
      <w:r>
        <w:rPr>
          <w:rFonts w:hint="default" w:ascii="Times New Roman" w:hAnsi="Times New Roman" w:eastAsia="方正仿宋_GBK" w:cs="Times New Roman"/>
          <w:b w:val="0"/>
          <w:bCs w:val="0"/>
          <w:color w:val="auto"/>
          <w:sz w:val="32"/>
          <w:szCs w:val="32"/>
          <w:lang w:val="en-US" w:eastAsia="zh-CN"/>
        </w:rPr>
        <w:t>828</w:t>
      </w:r>
      <w:r>
        <w:rPr>
          <w:rFonts w:hint="default" w:ascii="Times New Roman" w:hAnsi="Times New Roman" w:eastAsia="方正仿宋_GBK" w:cs="Times New Roman"/>
          <w:b w:val="0"/>
          <w:bCs w:val="0"/>
          <w:color w:val="auto"/>
          <w:sz w:val="32"/>
          <w:szCs w:val="32"/>
          <w:shd w:val="clear" w:color="auto" w:fill="FFFFFF"/>
        </w:rPr>
        <w:t>万元，较上年决算数增加</w:t>
      </w:r>
      <w:r>
        <w:rPr>
          <w:rFonts w:hint="default" w:ascii="Times New Roman" w:hAnsi="Times New Roman" w:eastAsia="方正仿宋_GBK" w:cs="Times New Roman"/>
          <w:b w:val="0"/>
          <w:bCs w:val="0"/>
          <w:color w:val="auto"/>
          <w:sz w:val="32"/>
          <w:szCs w:val="32"/>
          <w:shd w:val="clear" w:color="auto" w:fill="FFFFFF"/>
          <w:lang w:eastAsia="zh-CN"/>
        </w:rPr>
        <w:t>4</w:t>
      </w:r>
      <w:r>
        <w:rPr>
          <w:rFonts w:hint="default" w:ascii="Times New Roman" w:hAnsi="Times New Roman" w:eastAsia="方正仿宋_GBK" w:cs="Times New Roman"/>
          <w:b w:val="0"/>
          <w:bCs w:val="0"/>
          <w:color w:val="auto"/>
          <w:sz w:val="32"/>
          <w:szCs w:val="32"/>
          <w:shd w:val="clear" w:color="auto" w:fill="FFFFFF"/>
          <w:lang w:val="en-US" w:eastAsia="zh-CN"/>
        </w:rPr>
        <w:t>12.3</w:t>
      </w:r>
      <w:r>
        <w:rPr>
          <w:rFonts w:hint="default" w:ascii="Times New Roman" w:hAnsi="Times New Roman" w:eastAsia="方正仿宋_GBK" w:cs="Times New Roman"/>
          <w:b w:val="0"/>
          <w:bCs w:val="0"/>
          <w:color w:val="auto"/>
          <w:sz w:val="32"/>
          <w:szCs w:val="32"/>
          <w:shd w:val="clear" w:color="auto" w:fill="FFFFFF"/>
        </w:rPr>
        <w:t>万元，增长</w:t>
      </w:r>
      <w:r>
        <w:rPr>
          <w:rFonts w:hint="default" w:ascii="Times New Roman" w:hAnsi="Times New Roman" w:eastAsia="方正仿宋_GBK" w:cs="Times New Roman"/>
          <w:b w:val="0"/>
          <w:bCs w:val="0"/>
          <w:color w:val="auto"/>
          <w:sz w:val="32"/>
          <w:szCs w:val="32"/>
          <w:shd w:val="clear" w:color="auto" w:fill="FFFFFF"/>
          <w:lang w:eastAsia="zh-CN"/>
        </w:rPr>
        <w:t>1</w:t>
      </w:r>
      <w:r>
        <w:rPr>
          <w:rFonts w:hint="default" w:ascii="Times New Roman" w:hAnsi="Times New Roman" w:eastAsia="方正仿宋_GBK" w:cs="Times New Roman"/>
          <w:b w:val="0"/>
          <w:bCs w:val="0"/>
          <w:color w:val="auto"/>
          <w:sz w:val="32"/>
          <w:szCs w:val="32"/>
          <w:shd w:val="clear" w:color="auto" w:fill="FFFFFF"/>
          <w:lang w:val="en-US" w:eastAsia="zh-CN"/>
        </w:rPr>
        <w:t>7.1</w:t>
      </w:r>
      <w:r>
        <w:rPr>
          <w:rFonts w:hint="default" w:ascii="Times New Roman" w:hAnsi="Times New Roman" w:eastAsia="方正仿宋_GBK" w:cs="Times New Roman"/>
          <w:b w:val="0"/>
          <w:bCs w:val="0"/>
          <w:color w:val="auto"/>
          <w:sz w:val="32"/>
          <w:szCs w:val="32"/>
          <w:shd w:val="clear" w:color="auto" w:fill="FFFFFF"/>
        </w:rPr>
        <w:t>%，主要原因是</w:t>
      </w:r>
      <w:r>
        <w:rPr>
          <w:rFonts w:hint="default" w:ascii="Times New Roman" w:hAnsi="Times New Roman" w:eastAsia="方正仿宋_GBK" w:cs="Times New Roman"/>
          <w:b w:val="0"/>
          <w:bCs w:val="0"/>
          <w:color w:val="auto"/>
          <w:sz w:val="32"/>
          <w:szCs w:val="32"/>
          <w:shd w:val="clear" w:color="auto" w:fill="FFFFFF"/>
          <w:lang w:val="en-US" w:eastAsia="zh-CN"/>
        </w:rPr>
        <w:t>机构划转人员增加</w:t>
      </w:r>
      <w:r>
        <w:rPr>
          <w:rFonts w:hint="default" w:ascii="Times New Roman" w:hAnsi="Times New Roman" w:eastAsia="方正仿宋_GBK" w:cs="Times New Roman"/>
          <w:b w:val="0"/>
          <w:bCs w:val="0"/>
          <w:color w:val="auto"/>
          <w:sz w:val="32"/>
          <w:szCs w:val="32"/>
          <w:shd w:val="clear" w:color="auto" w:fill="FFFFFF"/>
        </w:rPr>
        <w:t>。人员经费用途主要包括</w:t>
      </w:r>
      <w:r>
        <w:rPr>
          <w:rFonts w:hint="eastAsia" w:ascii="Times New Roman" w:hAnsi="Times New Roman" w:eastAsia="方正仿宋_GBK" w:cs="Times New Roman"/>
          <w:b w:val="0"/>
          <w:bCs w:val="0"/>
          <w:color w:val="auto"/>
          <w:sz w:val="32"/>
          <w:szCs w:val="32"/>
          <w:shd w:val="clear" w:color="auto" w:fill="FFFFFF"/>
          <w:lang w:eastAsia="zh-CN"/>
        </w:rPr>
        <w:t>：</w:t>
      </w:r>
      <w:r>
        <w:rPr>
          <w:rFonts w:hint="default" w:ascii="Times New Roman" w:hAnsi="Times New Roman" w:eastAsia="方正仿宋_GBK" w:cs="Times New Roman"/>
          <w:b w:val="0"/>
          <w:bCs w:val="0"/>
          <w:color w:val="auto"/>
          <w:sz w:val="32"/>
          <w:szCs w:val="32"/>
          <w:shd w:val="clear" w:color="auto" w:fill="FFFFFF"/>
          <w:lang w:val="en-US" w:eastAsia="zh-CN"/>
        </w:rPr>
        <w:t>在职职工基本工资、津贴补贴、奖金、社会保障缴费、住房公积金、离休费、抚恤金等</w:t>
      </w:r>
      <w:r>
        <w:rPr>
          <w:rFonts w:hint="default" w:ascii="Times New Roman" w:hAnsi="Times New Roman" w:eastAsia="方正仿宋_GBK" w:cs="Times New Roman"/>
          <w:b w:val="0"/>
          <w:bCs w:val="0"/>
          <w:color w:val="auto"/>
          <w:sz w:val="32"/>
          <w:szCs w:val="32"/>
          <w:shd w:val="clear" w:color="auto" w:fill="FFFFFF"/>
        </w:rPr>
        <w:t>。公用经费</w:t>
      </w:r>
      <w:r>
        <w:rPr>
          <w:rFonts w:hint="default" w:ascii="Times New Roman" w:hAnsi="Times New Roman" w:eastAsia="方正仿宋_GBK" w:cs="Times New Roman"/>
          <w:b w:val="0"/>
          <w:bCs w:val="0"/>
          <w:color w:val="auto"/>
          <w:sz w:val="32"/>
          <w:szCs w:val="32"/>
          <w:lang w:eastAsia="zh-CN"/>
        </w:rPr>
        <w:t>4</w:t>
      </w:r>
      <w:r>
        <w:rPr>
          <w:rFonts w:hint="default" w:ascii="Times New Roman" w:hAnsi="Times New Roman" w:eastAsia="方正仿宋_GBK" w:cs="Times New Roman"/>
          <w:b w:val="0"/>
          <w:bCs w:val="0"/>
          <w:color w:val="auto"/>
          <w:sz w:val="32"/>
          <w:szCs w:val="32"/>
          <w:lang w:val="en-US" w:eastAsia="zh-CN"/>
        </w:rPr>
        <w:t>71.11</w:t>
      </w:r>
      <w:r>
        <w:rPr>
          <w:rFonts w:hint="default" w:ascii="Times New Roman" w:hAnsi="Times New Roman" w:eastAsia="方正仿宋_GBK" w:cs="Times New Roman"/>
          <w:b w:val="0"/>
          <w:bCs w:val="0"/>
          <w:color w:val="auto"/>
          <w:sz w:val="32"/>
          <w:szCs w:val="32"/>
          <w:shd w:val="clear" w:color="auto" w:fill="FFFFFF"/>
        </w:rPr>
        <w:t>万元，较上年决算数减少</w:t>
      </w:r>
      <w:r>
        <w:rPr>
          <w:rFonts w:hint="default" w:ascii="Times New Roman" w:hAnsi="Times New Roman" w:eastAsia="方正仿宋_GBK" w:cs="Times New Roman"/>
          <w:b w:val="0"/>
          <w:bCs w:val="0"/>
          <w:color w:val="auto"/>
          <w:sz w:val="32"/>
          <w:szCs w:val="32"/>
          <w:shd w:val="clear" w:color="auto" w:fill="FFFFFF"/>
          <w:lang w:eastAsia="zh-CN"/>
        </w:rPr>
        <w:t>7</w:t>
      </w:r>
      <w:r>
        <w:rPr>
          <w:rFonts w:hint="default" w:ascii="Times New Roman" w:hAnsi="Times New Roman" w:eastAsia="方正仿宋_GBK" w:cs="Times New Roman"/>
          <w:b w:val="0"/>
          <w:bCs w:val="0"/>
          <w:color w:val="auto"/>
          <w:sz w:val="32"/>
          <w:szCs w:val="32"/>
          <w:shd w:val="clear" w:color="auto" w:fill="FFFFFF"/>
          <w:lang w:val="en-US" w:eastAsia="zh-CN"/>
        </w:rPr>
        <w:t>2.4</w:t>
      </w:r>
      <w:r>
        <w:rPr>
          <w:rFonts w:hint="default" w:ascii="Times New Roman" w:hAnsi="Times New Roman" w:eastAsia="方正仿宋_GBK" w:cs="Times New Roman"/>
          <w:b w:val="0"/>
          <w:bCs w:val="0"/>
          <w:color w:val="auto"/>
          <w:sz w:val="32"/>
          <w:szCs w:val="32"/>
          <w:shd w:val="clear" w:color="auto" w:fill="FFFFFF"/>
        </w:rPr>
        <w:t>万元，下降</w:t>
      </w:r>
      <w:r>
        <w:rPr>
          <w:rFonts w:hint="default" w:ascii="Times New Roman" w:hAnsi="Times New Roman" w:eastAsia="方正仿宋_GBK" w:cs="Times New Roman"/>
          <w:b w:val="0"/>
          <w:bCs w:val="0"/>
          <w:color w:val="auto"/>
          <w:sz w:val="32"/>
          <w:szCs w:val="32"/>
          <w:shd w:val="clear" w:color="auto" w:fill="FFFFFF"/>
          <w:lang w:eastAsia="zh-CN"/>
        </w:rPr>
        <w:t>1</w:t>
      </w:r>
      <w:r>
        <w:rPr>
          <w:rFonts w:hint="default" w:ascii="Times New Roman" w:hAnsi="Times New Roman" w:eastAsia="方正仿宋_GBK" w:cs="Times New Roman"/>
          <w:b w:val="0"/>
          <w:bCs w:val="0"/>
          <w:color w:val="auto"/>
          <w:sz w:val="32"/>
          <w:szCs w:val="32"/>
          <w:shd w:val="clear" w:color="auto" w:fill="FFFFFF"/>
          <w:lang w:val="en-US" w:eastAsia="zh-CN"/>
        </w:rPr>
        <w:t>3.3</w:t>
      </w:r>
      <w:r>
        <w:rPr>
          <w:rFonts w:hint="default" w:ascii="Times New Roman" w:hAnsi="Times New Roman" w:eastAsia="方正仿宋_GBK" w:cs="Times New Roman"/>
          <w:b w:val="0"/>
          <w:bCs w:val="0"/>
          <w:color w:val="auto"/>
          <w:sz w:val="32"/>
          <w:szCs w:val="32"/>
          <w:shd w:val="clear" w:color="auto" w:fill="FFFFFF"/>
        </w:rPr>
        <w:t>%，主要原因是</w:t>
      </w:r>
      <w:r>
        <w:rPr>
          <w:rFonts w:hint="eastAsia" w:ascii="Times New Roman" w:hAnsi="Times New Roman" w:eastAsia="方正仿宋_GBK" w:cs="Times New Roman"/>
          <w:b w:val="0"/>
          <w:bCs w:val="0"/>
          <w:color w:val="auto"/>
          <w:sz w:val="32"/>
          <w:szCs w:val="32"/>
          <w:shd w:val="clear" w:color="auto" w:fill="FFFFFF"/>
          <w:lang w:val="en-US" w:eastAsia="zh-CN"/>
        </w:rPr>
        <w:t>委属事业单位非税成本返还项目经济分类科目使用较上年有所调整。</w:t>
      </w:r>
      <w:r>
        <w:rPr>
          <w:rFonts w:hint="default" w:ascii="Times New Roman" w:hAnsi="Times New Roman" w:eastAsia="方正仿宋_GBK" w:cs="Times New Roman"/>
          <w:b w:val="0"/>
          <w:bCs w:val="0"/>
          <w:color w:val="auto"/>
          <w:sz w:val="32"/>
          <w:szCs w:val="32"/>
          <w:shd w:val="clear" w:color="auto" w:fill="FFFFFF"/>
        </w:rPr>
        <w:t>公用经费用途主要包括</w:t>
      </w:r>
      <w:r>
        <w:rPr>
          <w:rFonts w:hint="default" w:ascii="Times New Roman" w:hAnsi="Times New Roman" w:eastAsia="方正仿宋_GBK" w:cs="Times New Roman"/>
          <w:b w:val="0"/>
          <w:bCs w:val="0"/>
          <w:color w:val="auto"/>
          <w:sz w:val="32"/>
          <w:szCs w:val="32"/>
          <w:shd w:val="clear" w:color="auto" w:fill="FFFFFF"/>
          <w:lang w:val="en-US" w:eastAsia="zh-CN"/>
        </w:rPr>
        <w:t>办公费、印刷费、水电费、邮电费、差旅费、劳务费、委托业务费、公车运行维护费等保障单位正常运转的费用</w:t>
      </w:r>
      <w:r>
        <w:rPr>
          <w:rFonts w:hint="default" w:ascii="Times New Roman" w:hAnsi="Times New Roman" w:eastAsia="方正仿宋_GBK" w:cs="Times New Roman"/>
          <w:b w:val="0"/>
          <w:bCs w:val="0"/>
          <w:color w:val="auto"/>
          <w:sz w:val="32"/>
          <w:szCs w:val="32"/>
          <w:shd w:val="clear" w:color="auto" w:fill="FFFFFF"/>
        </w:rPr>
        <w:t>。</w:t>
      </w:r>
    </w:p>
    <w:p>
      <w:pPr>
        <w:pStyle w:val="13"/>
        <w:keepNext w:val="0"/>
        <w:keepLines w:val="0"/>
        <w:pageBreakBefore w:val="0"/>
        <w:widowControl w:val="0"/>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eastAsia" w:ascii="Times New Roman" w:hAnsi="Times New Roman" w:eastAsia="方正楷体_GBK" w:cs="方正楷体_GBK"/>
          <w:b w:val="0"/>
          <w:bCs w:val="0"/>
          <w:color w:val="auto"/>
          <w:sz w:val="32"/>
          <w:szCs w:val="32"/>
          <w:shd w:val="clear" w:color="auto" w:fill="FFFFFF"/>
        </w:rPr>
      </w:pPr>
      <w:r>
        <w:rPr>
          <w:rFonts w:hint="eastAsia" w:ascii="Times New Roman" w:hAnsi="Times New Roman" w:eastAsia="方正楷体_GBK" w:cs="方正楷体_GBK"/>
          <w:b w:val="0"/>
          <w:bCs w:val="0"/>
          <w:color w:val="auto"/>
          <w:sz w:val="32"/>
          <w:szCs w:val="32"/>
          <w:shd w:val="clear" w:color="auto" w:fill="FFFFFF"/>
        </w:rPr>
        <w:t>（五）政府性基金预算收支决算情况说明</w:t>
      </w:r>
    </w:p>
    <w:p>
      <w:pPr>
        <w:pStyle w:val="8"/>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z w:val="32"/>
          <w:szCs w:val="32"/>
          <w:shd w:val="clear" w:color="auto" w:fill="FFFFFF"/>
        </w:rPr>
      </w:pPr>
      <w:r>
        <w:rPr>
          <w:rFonts w:hint="default" w:ascii="Times New Roman" w:hAnsi="Times New Roman" w:eastAsia="方正仿宋_GBK" w:cs="Times New Roman"/>
          <w:b w:val="0"/>
          <w:bCs w:val="0"/>
          <w:color w:val="auto"/>
          <w:sz w:val="32"/>
          <w:szCs w:val="32"/>
          <w:shd w:val="clear" w:color="auto" w:fill="FFFFFF"/>
        </w:rPr>
        <w:t>本部门2023年度无政府性基金预算财政拨款收支。</w:t>
      </w:r>
    </w:p>
    <w:p>
      <w:pPr>
        <w:pStyle w:val="13"/>
        <w:keepNext w:val="0"/>
        <w:keepLines w:val="0"/>
        <w:pageBreakBefore w:val="0"/>
        <w:widowControl w:val="0"/>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eastAsia" w:ascii="Times New Roman" w:hAnsi="Times New Roman" w:eastAsia="方正楷体_GBK" w:cs="方正楷体_GBK"/>
          <w:b w:val="0"/>
          <w:bCs w:val="0"/>
          <w:color w:val="auto"/>
          <w:sz w:val="32"/>
          <w:szCs w:val="32"/>
          <w:shd w:val="clear" w:color="auto" w:fill="FFFFFF"/>
        </w:rPr>
      </w:pPr>
      <w:r>
        <w:rPr>
          <w:rFonts w:hint="eastAsia" w:ascii="Times New Roman" w:hAnsi="Times New Roman" w:eastAsia="方正楷体_GBK" w:cs="方正楷体_GBK"/>
          <w:b w:val="0"/>
          <w:bCs w:val="0"/>
          <w:color w:val="auto"/>
          <w:sz w:val="32"/>
          <w:szCs w:val="32"/>
          <w:shd w:val="clear" w:color="auto" w:fill="FFFFFF"/>
        </w:rPr>
        <w:t>（六）国有资本经营预算财政拨款支出决算情况说明</w:t>
      </w:r>
    </w:p>
    <w:p>
      <w:pPr>
        <w:pStyle w:val="8"/>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z w:val="32"/>
          <w:szCs w:val="32"/>
          <w:shd w:val="clear" w:color="auto" w:fill="FFFFFF"/>
        </w:rPr>
      </w:pPr>
      <w:r>
        <w:rPr>
          <w:rFonts w:hint="default" w:ascii="Times New Roman" w:hAnsi="Times New Roman" w:eastAsia="方正仿宋_GBK" w:cs="Times New Roman"/>
          <w:b w:val="0"/>
          <w:bCs w:val="0"/>
          <w:color w:val="auto"/>
          <w:sz w:val="32"/>
          <w:szCs w:val="32"/>
          <w:shd w:val="clear" w:color="auto" w:fill="FFFFFF"/>
        </w:rPr>
        <w:t>本部门2023年度无国有资本经营预算财政拨款支出。</w:t>
      </w:r>
    </w:p>
    <w:p>
      <w:pPr>
        <w:pStyle w:val="8"/>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600" w:lineRule="exact"/>
        <w:ind w:firstLine="640" w:firstLineChars="200"/>
        <w:jc w:val="both"/>
        <w:textAlignment w:val="auto"/>
        <w:rPr>
          <w:rStyle w:val="12"/>
          <w:rFonts w:hint="default" w:ascii="Times New Roman" w:hAnsi="Times New Roman" w:eastAsia="方正黑体_GBK" w:cs="Times New Roman"/>
          <w:b w:val="0"/>
          <w:bCs w:val="0"/>
          <w:color w:val="auto"/>
          <w:sz w:val="32"/>
          <w:szCs w:val="32"/>
          <w:shd w:val="clear" w:color="auto" w:fill="FFFFFF"/>
        </w:rPr>
      </w:pPr>
      <w:r>
        <w:rPr>
          <w:rStyle w:val="12"/>
          <w:rFonts w:hint="default" w:ascii="Times New Roman" w:hAnsi="Times New Roman" w:eastAsia="方正黑体_GBK" w:cs="Times New Roman"/>
          <w:b w:val="0"/>
          <w:bCs w:val="0"/>
          <w:color w:val="auto"/>
          <w:sz w:val="32"/>
          <w:szCs w:val="32"/>
          <w:shd w:val="clear" w:color="auto" w:fill="FFFFFF"/>
        </w:rPr>
        <w:t>三、“三公”经费情况说明</w:t>
      </w:r>
    </w:p>
    <w:p>
      <w:pPr>
        <w:pStyle w:val="13"/>
        <w:keepNext w:val="0"/>
        <w:keepLines w:val="0"/>
        <w:pageBreakBefore w:val="0"/>
        <w:widowControl w:val="0"/>
        <w:kinsoku/>
        <w:wordWrap/>
        <w:overflowPunct/>
        <w:topLinePunct w:val="0"/>
        <w:autoSpaceDE w:val="0"/>
        <w:autoSpaceDN/>
        <w:bidi w:val="0"/>
        <w:adjustRightInd/>
        <w:spacing w:beforeAutospacing="0" w:afterAutospacing="0" w:line="600" w:lineRule="exact"/>
        <w:ind w:left="0" w:leftChars="0" w:firstLine="640" w:firstLineChars="200"/>
        <w:jc w:val="both"/>
        <w:textAlignment w:val="auto"/>
        <w:rPr>
          <w:rFonts w:hint="default" w:ascii="Times New Roman" w:hAnsi="Times New Roman" w:eastAsia="楷体" w:cs="Times New Roman"/>
          <w:b w:val="0"/>
          <w:bCs w:val="0"/>
          <w:color w:val="auto"/>
          <w:sz w:val="32"/>
          <w:szCs w:val="32"/>
          <w:shd w:val="clear" w:color="auto" w:fill="FFFFFF"/>
        </w:rPr>
      </w:pPr>
      <w:r>
        <w:rPr>
          <w:rFonts w:hint="eastAsia" w:ascii="Times New Roman" w:hAnsi="Times New Roman" w:eastAsia="方正楷体_GBK" w:cs="方正楷体_GBK"/>
          <w:b w:val="0"/>
          <w:bCs w:val="0"/>
          <w:color w:val="auto"/>
          <w:sz w:val="32"/>
          <w:szCs w:val="32"/>
          <w:shd w:val="clear" w:color="auto" w:fill="FFFFFF"/>
        </w:rPr>
        <w:t>（一）“三公”经费支出总体情况说明</w:t>
      </w:r>
    </w:p>
    <w:p>
      <w:pPr>
        <w:pStyle w:val="8"/>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rPr>
      </w:pPr>
      <w:r>
        <w:rPr>
          <w:rFonts w:hint="default" w:ascii="Times New Roman" w:hAnsi="Times New Roman" w:eastAsia="方正仿宋_GBK" w:cs="Times New Roman"/>
          <w:b w:val="0"/>
          <w:bCs w:val="0"/>
          <w:color w:val="auto"/>
          <w:sz w:val="32"/>
          <w:szCs w:val="32"/>
          <w:shd w:val="clear" w:color="auto" w:fill="FFFFFF"/>
        </w:rPr>
        <w:t>2023年度“三公”经费支出共计</w:t>
      </w:r>
      <w:r>
        <w:rPr>
          <w:rFonts w:hint="default" w:ascii="Times New Roman" w:hAnsi="Times New Roman" w:eastAsia="方正仿宋_GBK" w:cs="Times New Roman"/>
          <w:b w:val="0"/>
          <w:bCs w:val="0"/>
          <w:color w:val="auto"/>
          <w:sz w:val="32"/>
          <w:szCs w:val="32"/>
        </w:rPr>
        <w:t>36.36</w:t>
      </w:r>
      <w:r>
        <w:rPr>
          <w:rFonts w:hint="default" w:ascii="Times New Roman" w:hAnsi="Times New Roman" w:eastAsia="方正仿宋_GBK" w:cs="Times New Roman"/>
          <w:b w:val="0"/>
          <w:bCs w:val="0"/>
          <w:color w:val="auto"/>
          <w:sz w:val="32"/>
          <w:szCs w:val="32"/>
          <w:shd w:val="clear" w:color="auto" w:fill="FFFFFF"/>
        </w:rPr>
        <w:t>万元，较年初预算数减少0.49万元，下降1.3%，主要原因是</w:t>
      </w:r>
      <w:r>
        <w:rPr>
          <w:rFonts w:hint="default" w:ascii="Times New Roman" w:hAnsi="Times New Roman" w:eastAsia="方正仿宋_GBK" w:cs="Times New Roman"/>
          <w:b w:val="0"/>
          <w:bCs w:val="0"/>
          <w:color w:val="auto"/>
          <w:sz w:val="32"/>
          <w:szCs w:val="32"/>
          <w:shd w:val="clear" w:color="auto" w:fill="FFFFFF"/>
          <w:lang w:val="en-US" w:eastAsia="zh-CN"/>
        </w:rPr>
        <w:t>贯彻落实中央八项规定精神，对“三公”经费支出实行严格控制</w:t>
      </w:r>
      <w:r>
        <w:rPr>
          <w:rFonts w:hint="default" w:ascii="Times New Roman" w:hAnsi="Times New Roman" w:eastAsia="方正仿宋_GBK" w:cs="Times New Roman"/>
          <w:b w:val="0"/>
          <w:bCs w:val="0"/>
          <w:color w:val="auto"/>
          <w:sz w:val="32"/>
          <w:szCs w:val="32"/>
          <w:shd w:val="clear" w:color="auto" w:fill="FFFFFF"/>
        </w:rPr>
        <w:t>。较上年支出数增加17.2万元，增长89.</w:t>
      </w:r>
      <w:r>
        <w:rPr>
          <w:rFonts w:hint="eastAsia" w:ascii="Times New Roman" w:hAnsi="Times New Roman" w:eastAsia="方正仿宋_GBK" w:cs="Times New Roman"/>
          <w:b w:val="0"/>
          <w:bCs w:val="0"/>
          <w:color w:val="auto"/>
          <w:sz w:val="32"/>
          <w:szCs w:val="32"/>
          <w:shd w:val="clear" w:color="auto" w:fill="FFFFFF"/>
          <w:lang w:val="en-US" w:eastAsia="zh-CN"/>
        </w:rPr>
        <w:t>8</w:t>
      </w:r>
      <w:r>
        <w:rPr>
          <w:rFonts w:hint="default" w:ascii="Times New Roman" w:hAnsi="Times New Roman" w:eastAsia="方正仿宋_GBK" w:cs="Times New Roman"/>
          <w:b w:val="0"/>
          <w:bCs w:val="0"/>
          <w:color w:val="auto"/>
          <w:sz w:val="32"/>
          <w:szCs w:val="32"/>
          <w:shd w:val="clear" w:color="auto" w:fill="FFFFFF"/>
        </w:rPr>
        <w:t>%，主要原因</w:t>
      </w:r>
      <w:r>
        <w:rPr>
          <w:rFonts w:hint="eastAsia" w:ascii="Times New Roman" w:hAnsi="Times New Roman" w:eastAsia="方正仿宋_GBK" w:cs="Times New Roman"/>
          <w:b w:val="0"/>
          <w:bCs w:val="0"/>
          <w:color w:val="auto"/>
          <w:sz w:val="32"/>
          <w:szCs w:val="32"/>
          <w:shd w:val="clear" w:color="auto" w:fill="FFFFFF"/>
          <w:lang w:val="en-US" w:eastAsia="zh-CN"/>
        </w:rPr>
        <w:t>一</w:t>
      </w:r>
      <w:r>
        <w:rPr>
          <w:rFonts w:hint="default" w:ascii="Times New Roman" w:hAnsi="Times New Roman" w:eastAsia="方正仿宋_GBK" w:cs="Times New Roman"/>
          <w:b w:val="0"/>
          <w:bCs w:val="0"/>
          <w:color w:val="auto"/>
          <w:sz w:val="32"/>
          <w:szCs w:val="32"/>
          <w:shd w:val="clear" w:color="auto" w:fill="FFFFFF"/>
        </w:rPr>
        <w:t>是</w:t>
      </w:r>
      <w:r>
        <w:rPr>
          <w:rFonts w:hint="default" w:ascii="Times New Roman" w:hAnsi="Times New Roman" w:eastAsia="方正仿宋_GBK" w:cs="Times New Roman"/>
          <w:b w:val="0"/>
          <w:bCs w:val="0"/>
          <w:color w:val="auto"/>
          <w:sz w:val="32"/>
          <w:szCs w:val="32"/>
          <w:shd w:val="clear" w:color="auto" w:fill="FFFFFF"/>
          <w:lang w:val="en-US" w:eastAsia="zh-CN"/>
        </w:rPr>
        <w:t>机构改革职能划转新增特种专业技术用车，二是疫情常态化后公务活动总体较上年增加。</w:t>
      </w:r>
    </w:p>
    <w:p>
      <w:pPr>
        <w:pStyle w:val="13"/>
        <w:keepNext w:val="0"/>
        <w:keepLines w:val="0"/>
        <w:pageBreakBefore w:val="0"/>
        <w:widowControl w:val="0"/>
        <w:kinsoku/>
        <w:wordWrap/>
        <w:overflowPunct/>
        <w:topLinePunct w:val="0"/>
        <w:autoSpaceDE w:val="0"/>
        <w:autoSpaceDN/>
        <w:bidi w:val="0"/>
        <w:adjustRightInd/>
        <w:spacing w:beforeAutospacing="0" w:afterAutospacing="0" w:line="600" w:lineRule="exact"/>
        <w:ind w:left="0" w:leftChars="0" w:firstLine="640" w:firstLineChars="200"/>
        <w:jc w:val="both"/>
        <w:textAlignment w:val="auto"/>
        <w:rPr>
          <w:rFonts w:hint="eastAsia" w:ascii="Times New Roman" w:hAnsi="Times New Roman" w:eastAsia="方正楷体_GBK" w:cs="方正楷体_GBK"/>
          <w:b w:val="0"/>
          <w:bCs w:val="0"/>
          <w:color w:val="auto"/>
          <w:sz w:val="32"/>
          <w:szCs w:val="32"/>
          <w:shd w:val="clear" w:color="auto" w:fill="FFFFFF"/>
        </w:rPr>
      </w:pPr>
      <w:r>
        <w:rPr>
          <w:rFonts w:hint="eastAsia" w:ascii="Times New Roman" w:hAnsi="Times New Roman" w:eastAsia="方正楷体_GBK" w:cs="方正楷体_GBK"/>
          <w:b w:val="0"/>
          <w:bCs w:val="0"/>
          <w:color w:val="auto"/>
          <w:sz w:val="32"/>
          <w:szCs w:val="32"/>
          <w:shd w:val="clear" w:color="auto" w:fill="FFFFFF"/>
        </w:rPr>
        <w:t>（二）“三公”经费分项支出情况</w:t>
      </w:r>
    </w:p>
    <w:p>
      <w:pPr>
        <w:pStyle w:val="8"/>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shd w:val="clear" w:color="auto" w:fill="FFFFFF"/>
        </w:rPr>
        <w:t>2023年度本</w:t>
      </w:r>
      <w:r>
        <w:rPr>
          <w:rFonts w:hint="default" w:ascii="Times New Roman" w:hAnsi="Times New Roman" w:eastAsia="方正仿宋_GBK" w:cs="Times New Roman"/>
          <w:b w:val="0"/>
          <w:bCs w:val="0"/>
          <w:color w:val="auto"/>
          <w:sz w:val="32"/>
          <w:szCs w:val="32"/>
          <w:shd w:val="clear" w:color="auto" w:fill="FFFFFF"/>
          <w:lang w:val="en-US" w:eastAsia="zh-CN"/>
        </w:rPr>
        <w:t>部门未发生</w:t>
      </w:r>
      <w:r>
        <w:rPr>
          <w:rFonts w:hint="default" w:ascii="Times New Roman" w:hAnsi="Times New Roman" w:eastAsia="方正仿宋_GBK" w:cs="Times New Roman"/>
          <w:b w:val="0"/>
          <w:bCs w:val="0"/>
          <w:color w:val="auto"/>
          <w:sz w:val="32"/>
          <w:szCs w:val="32"/>
          <w:shd w:val="clear" w:color="auto" w:fill="FFFFFF"/>
        </w:rPr>
        <w:t>因公出国（境）费用</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val="en-US" w:eastAsia="zh-CN"/>
        </w:rPr>
        <w:t>与年初预算数和上年决算数持平。</w:t>
      </w:r>
    </w:p>
    <w:p>
      <w:pPr>
        <w:pStyle w:val="8"/>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shd w:val="clear" w:color="auto" w:fill="FFFFFF"/>
        </w:rPr>
        <w:t>公务车购置费</w:t>
      </w:r>
      <w:r>
        <w:rPr>
          <w:rFonts w:hint="default" w:ascii="Times New Roman" w:hAnsi="Times New Roman" w:eastAsia="方正仿宋_GBK" w:cs="Times New Roman"/>
          <w:b w:val="0"/>
          <w:bCs w:val="0"/>
          <w:color w:val="auto"/>
          <w:sz w:val="32"/>
          <w:szCs w:val="32"/>
        </w:rPr>
        <w:t>16.23</w:t>
      </w:r>
      <w:r>
        <w:rPr>
          <w:rFonts w:hint="default" w:ascii="Times New Roman" w:hAnsi="Times New Roman" w:eastAsia="方正仿宋_GBK" w:cs="Times New Roman"/>
          <w:b w:val="0"/>
          <w:bCs w:val="0"/>
          <w:color w:val="auto"/>
          <w:sz w:val="32"/>
          <w:szCs w:val="32"/>
          <w:shd w:val="clear" w:color="auto" w:fill="FFFFFF"/>
        </w:rPr>
        <w:t>万元，主要用于</w:t>
      </w:r>
      <w:r>
        <w:rPr>
          <w:rFonts w:hint="default" w:ascii="Times New Roman" w:hAnsi="Times New Roman" w:eastAsia="方正仿宋_GBK" w:cs="Times New Roman"/>
          <w:b w:val="0"/>
          <w:bCs w:val="0"/>
          <w:color w:val="auto"/>
          <w:sz w:val="32"/>
          <w:szCs w:val="32"/>
          <w:shd w:val="clear" w:color="auto" w:fill="FFFFFF"/>
          <w:lang w:val="en-US" w:eastAsia="zh-CN"/>
        </w:rPr>
        <w:t>特种专业技术用车报废换新</w:t>
      </w:r>
      <w:r>
        <w:rPr>
          <w:rFonts w:hint="default" w:ascii="Times New Roman" w:hAnsi="Times New Roman" w:eastAsia="方正仿宋_GBK" w:cs="Times New Roman"/>
          <w:b w:val="0"/>
          <w:bCs w:val="0"/>
          <w:color w:val="auto"/>
          <w:sz w:val="32"/>
          <w:szCs w:val="32"/>
          <w:shd w:val="clear" w:color="auto" w:fill="FFFFFF"/>
        </w:rPr>
        <w:t>。费用支出较年初预算数增加16.23万元，增长100.0%，主要原因</w:t>
      </w:r>
      <w:r>
        <w:rPr>
          <w:rFonts w:hint="eastAsia" w:ascii="Times New Roman" w:hAnsi="Times New Roman" w:eastAsia="方正仿宋_GBK" w:cs="Times New Roman"/>
          <w:b w:val="0"/>
          <w:bCs w:val="0"/>
          <w:color w:val="auto"/>
          <w:sz w:val="32"/>
          <w:szCs w:val="32"/>
          <w:shd w:val="clear" w:color="auto" w:fill="FFFFFF"/>
          <w:lang w:val="en-US" w:eastAsia="zh-CN"/>
        </w:rPr>
        <w:t>是执行中追加相关预算</w:t>
      </w:r>
      <w:r>
        <w:rPr>
          <w:rFonts w:hint="default" w:ascii="Times New Roman" w:hAnsi="Times New Roman" w:eastAsia="方正仿宋_GBK" w:cs="Times New Roman"/>
          <w:b w:val="0"/>
          <w:bCs w:val="0"/>
          <w:color w:val="auto"/>
          <w:sz w:val="32"/>
          <w:szCs w:val="32"/>
          <w:shd w:val="clear" w:color="auto" w:fill="FFFFFF"/>
        </w:rPr>
        <w:t>。较上年支出数增加16.23万元，增长100.0%，主要原因是</w:t>
      </w:r>
      <w:r>
        <w:rPr>
          <w:rFonts w:hint="default" w:ascii="Times New Roman" w:hAnsi="Times New Roman" w:eastAsia="方正仿宋_GBK" w:cs="Times New Roman"/>
          <w:b w:val="0"/>
          <w:bCs w:val="0"/>
          <w:color w:val="auto"/>
          <w:sz w:val="32"/>
          <w:szCs w:val="32"/>
          <w:shd w:val="clear" w:color="auto" w:fill="FFFFFF"/>
          <w:lang w:val="en-US" w:eastAsia="zh-CN"/>
        </w:rPr>
        <w:t>本年度新</w:t>
      </w:r>
      <w:r>
        <w:rPr>
          <w:rFonts w:hint="eastAsia" w:ascii="Times New Roman" w:hAnsi="Times New Roman" w:eastAsia="方正仿宋_GBK" w:cs="Times New Roman"/>
          <w:b w:val="0"/>
          <w:bCs w:val="0"/>
          <w:color w:val="auto"/>
          <w:sz w:val="32"/>
          <w:szCs w:val="32"/>
          <w:shd w:val="clear" w:color="auto" w:fill="FFFFFF"/>
          <w:lang w:val="en-US" w:eastAsia="zh-CN"/>
        </w:rPr>
        <w:t>购</w:t>
      </w:r>
      <w:r>
        <w:rPr>
          <w:rFonts w:hint="default" w:ascii="Times New Roman" w:hAnsi="Times New Roman" w:eastAsia="方正仿宋_GBK" w:cs="Times New Roman"/>
          <w:b w:val="0"/>
          <w:bCs w:val="0"/>
          <w:color w:val="auto"/>
          <w:sz w:val="32"/>
          <w:szCs w:val="32"/>
          <w:shd w:val="clear" w:color="auto" w:fill="FFFFFF"/>
          <w:lang w:val="en-US" w:eastAsia="zh-CN"/>
        </w:rPr>
        <w:t>置公务车1辆</w:t>
      </w:r>
      <w:r>
        <w:rPr>
          <w:rFonts w:hint="default" w:ascii="Times New Roman" w:hAnsi="Times New Roman" w:eastAsia="方正仿宋_GBK" w:cs="Times New Roman"/>
          <w:b w:val="0"/>
          <w:bCs w:val="0"/>
          <w:color w:val="auto"/>
          <w:sz w:val="32"/>
          <w:szCs w:val="32"/>
          <w:shd w:val="clear" w:color="auto" w:fill="FFFFFF"/>
        </w:rPr>
        <w:t>。</w:t>
      </w:r>
    </w:p>
    <w:p>
      <w:pPr>
        <w:pStyle w:val="8"/>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z w:val="32"/>
          <w:szCs w:val="32"/>
          <w:shd w:val="clear" w:color="auto" w:fill="FFFFFF"/>
          <w:lang w:val="en-US" w:eastAsia="zh-CN"/>
        </w:rPr>
      </w:pPr>
      <w:r>
        <w:rPr>
          <w:rFonts w:hint="default" w:ascii="Times New Roman" w:hAnsi="Times New Roman" w:eastAsia="方正仿宋_GBK" w:cs="Times New Roman"/>
          <w:b w:val="0"/>
          <w:bCs w:val="0"/>
          <w:color w:val="auto"/>
          <w:sz w:val="32"/>
          <w:szCs w:val="32"/>
          <w:shd w:val="clear" w:color="auto" w:fill="FFFFFF"/>
        </w:rPr>
        <w:t>公务车运行维护费</w:t>
      </w:r>
      <w:r>
        <w:rPr>
          <w:rFonts w:hint="default" w:ascii="Times New Roman" w:hAnsi="Times New Roman" w:eastAsia="方正仿宋_GBK" w:cs="Times New Roman"/>
          <w:b w:val="0"/>
          <w:bCs w:val="0"/>
          <w:color w:val="auto"/>
          <w:sz w:val="32"/>
          <w:szCs w:val="32"/>
        </w:rPr>
        <w:t>14.73</w:t>
      </w:r>
      <w:r>
        <w:rPr>
          <w:rFonts w:hint="default" w:ascii="Times New Roman" w:hAnsi="Times New Roman" w:eastAsia="方正仿宋_GBK" w:cs="Times New Roman"/>
          <w:b w:val="0"/>
          <w:bCs w:val="0"/>
          <w:color w:val="auto"/>
          <w:sz w:val="32"/>
          <w:szCs w:val="32"/>
          <w:shd w:val="clear" w:color="auto" w:fill="FFFFFF"/>
        </w:rPr>
        <w:t>万元，主要用于</w:t>
      </w:r>
      <w:r>
        <w:rPr>
          <w:rFonts w:hint="default" w:ascii="Times New Roman" w:hAnsi="Times New Roman" w:eastAsia="方正仿宋_GBK" w:cs="Times New Roman"/>
          <w:b w:val="0"/>
          <w:bCs w:val="0"/>
          <w:color w:val="auto"/>
          <w:sz w:val="32"/>
          <w:szCs w:val="32"/>
          <w:shd w:val="clear" w:color="auto" w:fill="FFFFFF"/>
          <w:lang w:val="en-US" w:eastAsia="zh-CN"/>
        </w:rPr>
        <w:t>机要文件交换、重大项目检查、考察调研等因公出行所需车辆的燃料费、维修费、过桥过路费、保险费等</w:t>
      </w:r>
      <w:r>
        <w:rPr>
          <w:rFonts w:hint="default" w:ascii="Times New Roman" w:hAnsi="Times New Roman" w:eastAsia="方正仿宋_GBK" w:cs="Times New Roman"/>
          <w:b w:val="0"/>
          <w:bCs w:val="0"/>
          <w:color w:val="auto"/>
          <w:sz w:val="32"/>
          <w:szCs w:val="32"/>
          <w:shd w:val="clear" w:color="auto" w:fill="FFFFFF"/>
        </w:rPr>
        <w:t>。费用支出较年初预算数减少9.27万元，下降38.63%，主要原因是</w:t>
      </w:r>
      <w:r>
        <w:rPr>
          <w:rFonts w:hint="default" w:ascii="Times New Roman" w:hAnsi="Times New Roman" w:eastAsia="方正仿宋_GBK" w:cs="Times New Roman"/>
          <w:b w:val="0"/>
          <w:bCs w:val="0"/>
          <w:color w:val="auto"/>
          <w:sz w:val="32"/>
          <w:szCs w:val="32"/>
          <w:shd w:val="clear" w:color="auto" w:fill="FFFFFF"/>
          <w:lang w:val="en-US" w:eastAsia="zh-CN"/>
        </w:rPr>
        <w:t>加强用车管理，降低公务车运行维护成本</w:t>
      </w:r>
      <w:r>
        <w:rPr>
          <w:rFonts w:hint="default" w:ascii="Times New Roman" w:hAnsi="Times New Roman" w:eastAsia="方正仿宋_GBK" w:cs="Times New Roman"/>
          <w:b w:val="0"/>
          <w:bCs w:val="0"/>
          <w:color w:val="auto"/>
          <w:sz w:val="32"/>
          <w:szCs w:val="32"/>
          <w:shd w:val="clear" w:color="auto" w:fill="FFFFFF"/>
        </w:rPr>
        <w:t>。较上年支出数增加2.64万元，增长21.8%，主要原因</w:t>
      </w:r>
      <w:r>
        <w:rPr>
          <w:rFonts w:hint="default" w:ascii="Times New Roman" w:hAnsi="Times New Roman" w:eastAsia="方正仿宋_GBK" w:cs="Times New Roman"/>
          <w:b w:val="0"/>
          <w:bCs w:val="0"/>
          <w:color w:val="auto"/>
          <w:sz w:val="32"/>
          <w:szCs w:val="32"/>
          <w:shd w:val="clear" w:color="auto" w:fill="FFFFFF"/>
          <w:lang w:val="en-US" w:eastAsia="zh-CN"/>
        </w:rPr>
        <w:t>是机构改革职能及业务范围增加，新划入2辆特种专业技术用车，运行维护费用相应增加。</w:t>
      </w:r>
    </w:p>
    <w:p>
      <w:pPr>
        <w:pStyle w:val="8"/>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shd w:val="clear" w:color="auto" w:fill="FFFFFF"/>
        </w:rPr>
        <w:t>公务接待费</w:t>
      </w:r>
      <w:r>
        <w:rPr>
          <w:rFonts w:hint="default" w:ascii="Times New Roman" w:hAnsi="Times New Roman" w:eastAsia="方正仿宋_GBK" w:cs="Times New Roman"/>
          <w:b w:val="0"/>
          <w:bCs w:val="0"/>
          <w:color w:val="auto"/>
          <w:sz w:val="32"/>
          <w:szCs w:val="32"/>
        </w:rPr>
        <w:t>5.4</w:t>
      </w:r>
      <w:r>
        <w:rPr>
          <w:rFonts w:hint="default" w:ascii="Times New Roman" w:hAnsi="Times New Roman" w:eastAsia="方正仿宋_GBK" w:cs="Times New Roman"/>
          <w:b w:val="0"/>
          <w:bCs w:val="0"/>
          <w:color w:val="auto"/>
          <w:sz w:val="32"/>
          <w:szCs w:val="32"/>
          <w:shd w:val="clear" w:color="auto" w:fill="FFFFFF"/>
        </w:rPr>
        <w:t>万元，主要用于接待</w:t>
      </w:r>
      <w:r>
        <w:rPr>
          <w:rFonts w:hint="default" w:ascii="Times New Roman" w:hAnsi="Times New Roman" w:eastAsia="方正仿宋_GBK" w:cs="Times New Roman"/>
          <w:b w:val="0"/>
          <w:bCs w:val="0"/>
          <w:color w:val="auto"/>
          <w:sz w:val="32"/>
          <w:szCs w:val="32"/>
          <w:shd w:val="clear" w:color="auto" w:fill="FFFFFF"/>
          <w:lang w:val="en-US" w:eastAsia="zh-CN"/>
        </w:rPr>
        <w:t>上级相关部门检查指导工作、其他区县发改部门、单位到我</w:t>
      </w:r>
      <w:r>
        <w:rPr>
          <w:rFonts w:hint="eastAsia" w:ascii="Times New Roman" w:hAnsi="Times New Roman" w:eastAsia="方正仿宋_GBK" w:cs="Times New Roman"/>
          <w:b w:val="0"/>
          <w:bCs w:val="0"/>
          <w:color w:val="auto"/>
          <w:sz w:val="32"/>
          <w:szCs w:val="32"/>
          <w:shd w:val="clear" w:color="auto" w:fill="FFFFFF"/>
          <w:lang w:val="en-US" w:eastAsia="zh-CN"/>
        </w:rPr>
        <w:t>部门交流</w:t>
      </w:r>
      <w:r>
        <w:rPr>
          <w:rFonts w:hint="default" w:ascii="Times New Roman" w:hAnsi="Times New Roman" w:eastAsia="方正仿宋_GBK" w:cs="Times New Roman"/>
          <w:b w:val="0"/>
          <w:bCs w:val="0"/>
          <w:color w:val="auto"/>
          <w:sz w:val="32"/>
          <w:szCs w:val="32"/>
          <w:shd w:val="clear" w:color="auto" w:fill="FFFFFF"/>
          <w:lang w:val="en-US" w:eastAsia="zh-CN"/>
        </w:rPr>
        <w:t>调研及招商引资等工作</w:t>
      </w:r>
      <w:r>
        <w:rPr>
          <w:rFonts w:hint="default" w:ascii="Times New Roman" w:hAnsi="Times New Roman" w:eastAsia="方正仿宋_GBK" w:cs="Times New Roman"/>
          <w:b w:val="0"/>
          <w:bCs w:val="0"/>
          <w:color w:val="auto"/>
          <w:sz w:val="32"/>
          <w:szCs w:val="32"/>
          <w:shd w:val="clear" w:color="auto" w:fill="FFFFFF"/>
        </w:rPr>
        <w:t>。费用支出较年初预算数减少7.45万元，下降5</w:t>
      </w:r>
      <w:r>
        <w:rPr>
          <w:rFonts w:hint="default" w:ascii="Times New Roman" w:hAnsi="Times New Roman" w:eastAsia="方正仿宋_GBK" w:cs="Times New Roman"/>
          <w:b w:val="0"/>
          <w:bCs w:val="0"/>
          <w:color w:val="auto"/>
          <w:sz w:val="32"/>
          <w:szCs w:val="32"/>
          <w:shd w:val="clear" w:color="auto" w:fill="FFFFFF"/>
          <w:lang w:eastAsia="zh-CN"/>
        </w:rPr>
        <w:t>8</w:t>
      </w:r>
      <w:r>
        <w:rPr>
          <w:rFonts w:hint="default" w:ascii="Times New Roman" w:hAnsi="Times New Roman" w:eastAsia="方正仿宋_GBK" w:cs="Times New Roman"/>
          <w:b w:val="0"/>
          <w:bCs w:val="0"/>
          <w:color w:val="auto"/>
          <w:sz w:val="32"/>
          <w:szCs w:val="32"/>
          <w:shd w:val="clear" w:color="auto" w:fill="FFFFFF"/>
          <w:lang w:val="en-US" w:eastAsia="zh-CN"/>
        </w:rPr>
        <w:t>.0</w:t>
      </w:r>
      <w:r>
        <w:rPr>
          <w:rFonts w:hint="default" w:ascii="Times New Roman" w:hAnsi="Times New Roman" w:eastAsia="方正仿宋_GBK" w:cs="Times New Roman"/>
          <w:b w:val="0"/>
          <w:bCs w:val="0"/>
          <w:color w:val="auto"/>
          <w:sz w:val="32"/>
          <w:szCs w:val="32"/>
          <w:shd w:val="clear" w:color="auto" w:fill="FFFFFF"/>
        </w:rPr>
        <w:t>%，主要原因是</w:t>
      </w:r>
      <w:r>
        <w:rPr>
          <w:rFonts w:hint="default" w:ascii="Times New Roman" w:hAnsi="Times New Roman" w:eastAsia="方正仿宋_GBK" w:cs="Times New Roman"/>
          <w:b w:val="0"/>
          <w:bCs w:val="0"/>
          <w:color w:val="auto"/>
          <w:sz w:val="32"/>
          <w:szCs w:val="32"/>
          <w:shd w:val="clear" w:color="auto" w:fill="FFFFFF"/>
          <w:lang w:val="en-US" w:eastAsia="zh-CN"/>
        </w:rPr>
        <w:t>强化公务接待支出管理，严格遵守公务接待开支范围和开支标准</w:t>
      </w:r>
      <w:r>
        <w:rPr>
          <w:rFonts w:hint="default" w:ascii="Times New Roman" w:hAnsi="Times New Roman" w:eastAsia="方正仿宋_GBK" w:cs="Times New Roman"/>
          <w:b w:val="0"/>
          <w:bCs w:val="0"/>
          <w:color w:val="auto"/>
          <w:sz w:val="32"/>
          <w:szCs w:val="32"/>
          <w:shd w:val="clear" w:color="auto" w:fill="FFFFFF"/>
        </w:rPr>
        <w:t>。较上年支出数减少1.67万元，下降23.6%，主要原因是</w:t>
      </w:r>
      <w:r>
        <w:rPr>
          <w:rFonts w:hint="default" w:ascii="Times New Roman" w:hAnsi="Times New Roman" w:eastAsia="方正仿宋_GBK" w:cs="Times New Roman"/>
          <w:b w:val="0"/>
          <w:bCs w:val="0"/>
          <w:color w:val="auto"/>
          <w:sz w:val="32"/>
          <w:szCs w:val="32"/>
          <w:shd w:val="clear" w:color="auto" w:fill="FFFFFF"/>
          <w:lang w:val="en-US" w:eastAsia="zh-CN"/>
        </w:rPr>
        <w:t>落实党政机关过紧日子相关举措</w:t>
      </w:r>
      <w:r>
        <w:rPr>
          <w:rFonts w:hint="eastAsia" w:ascii="Times New Roman" w:hAnsi="Times New Roman" w:eastAsia="方正仿宋_GBK" w:cs="Times New Roman"/>
          <w:b w:val="0"/>
          <w:bCs w:val="0"/>
          <w:color w:val="auto"/>
          <w:sz w:val="32"/>
          <w:szCs w:val="32"/>
          <w:shd w:val="clear" w:color="auto" w:fill="FFFFFF"/>
          <w:lang w:val="en-US" w:eastAsia="zh-CN"/>
        </w:rPr>
        <w:t>，降低接待成本</w:t>
      </w:r>
      <w:r>
        <w:rPr>
          <w:rFonts w:hint="default" w:ascii="Times New Roman" w:hAnsi="Times New Roman" w:eastAsia="方正仿宋_GBK" w:cs="Times New Roman"/>
          <w:b w:val="0"/>
          <w:bCs w:val="0"/>
          <w:color w:val="auto"/>
          <w:sz w:val="32"/>
          <w:szCs w:val="32"/>
          <w:shd w:val="clear" w:color="auto" w:fill="FFFFFF"/>
        </w:rPr>
        <w:t>。</w:t>
      </w:r>
    </w:p>
    <w:p>
      <w:pPr>
        <w:pStyle w:val="13"/>
        <w:keepNext w:val="0"/>
        <w:keepLines w:val="0"/>
        <w:pageBreakBefore w:val="0"/>
        <w:widowControl w:val="0"/>
        <w:kinsoku/>
        <w:wordWrap/>
        <w:overflowPunct/>
        <w:topLinePunct w:val="0"/>
        <w:autoSpaceDE w:val="0"/>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方正楷体_GBK" w:cs="方正楷体_GBK"/>
          <w:b w:val="0"/>
          <w:bCs w:val="0"/>
          <w:color w:val="auto"/>
          <w:sz w:val="32"/>
          <w:szCs w:val="32"/>
          <w:shd w:val="clear" w:color="auto" w:fill="FFFFFF"/>
        </w:rPr>
      </w:pPr>
      <w:r>
        <w:rPr>
          <w:rFonts w:hint="eastAsia" w:ascii="Times New Roman" w:hAnsi="Times New Roman" w:eastAsia="方正楷体_GBK" w:cs="方正楷体_GBK"/>
          <w:b w:val="0"/>
          <w:bCs w:val="0"/>
          <w:color w:val="auto"/>
          <w:sz w:val="32"/>
          <w:szCs w:val="32"/>
          <w:shd w:val="clear" w:color="auto" w:fill="FFFFFF"/>
        </w:rPr>
        <w:t>（三）“三公”经费实物量情况</w:t>
      </w:r>
    </w:p>
    <w:p>
      <w:pPr>
        <w:pStyle w:val="13"/>
        <w:keepNext w:val="0"/>
        <w:keepLines w:val="0"/>
        <w:pageBreakBefore w:val="0"/>
        <w:widowControl w:val="0"/>
        <w:kinsoku/>
        <w:wordWrap/>
        <w:overflowPunct/>
        <w:topLinePunct w:val="0"/>
        <w:autoSpaceDE w:val="0"/>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shd w:val="clear" w:color="auto" w:fill="FFFFFF"/>
        </w:rPr>
        <w:t>2023年度本部门因公出国（境）共计</w:t>
      </w:r>
      <w:r>
        <w:rPr>
          <w:rFonts w:hint="default" w:ascii="Times New Roman" w:hAnsi="Times New Roman" w:eastAsia="方正仿宋_GBK" w:cs="Times New Roman"/>
          <w:b w:val="0"/>
          <w:bCs w:val="0"/>
          <w:color w:val="auto"/>
          <w:sz w:val="32"/>
          <w:szCs w:val="32"/>
        </w:rPr>
        <w:t>0</w:t>
      </w:r>
      <w:r>
        <w:rPr>
          <w:rFonts w:hint="default" w:ascii="Times New Roman" w:hAnsi="Times New Roman" w:eastAsia="方正仿宋_GBK" w:cs="Times New Roman"/>
          <w:b w:val="0"/>
          <w:bCs w:val="0"/>
          <w:color w:val="auto"/>
          <w:sz w:val="32"/>
          <w:szCs w:val="32"/>
          <w:shd w:val="clear" w:color="auto" w:fill="FFFFFF"/>
        </w:rPr>
        <w:t>个团组，</w:t>
      </w:r>
      <w:r>
        <w:rPr>
          <w:rFonts w:hint="default" w:ascii="Times New Roman" w:hAnsi="Times New Roman" w:eastAsia="方正仿宋_GBK" w:cs="Times New Roman"/>
          <w:b w:val="0"/>
          <w:bCs w:val="0"/>
          <w:color w:val="auto"/>
          <w:sz w:val="32"/>
          <w:szCs w:val="32"/>
        </w:rPr>
        <w:t>0</w:t>
      </w:r>
      <w:r>
        <w:rPr>
          <w:rFonts w:hint="default" w:ascii="Times New Roman" w:hAnsi="Times New Roman" w:eastAsia="方正仿宋_GBK" w:cs="Times New Roman"/>
          <w:b w:val="0"/>
          <w:bCs w:val="0"/>
          <w:color w:val="auto"/>
          <w:sz w:val="32"/>
          <w:szCs w:val="32"/>
          <w:shd w:val="clear" w:color="auto" w:fill="FFFFFF"/>
        </w:rPr>
        <w:t>人；公务用车购置</w:t>
      </w:r>
      <w:r>
        <w:rPr>
          <w:rFonts w:hint="default" w:ascii="Times New Roman" w:hAnsi="Times New Roman" w:eastAsia="方正仿宋_GBK" w:cs="Times New Roman"/>
          <w:b w:val="0"/>
          <w:bCs w:val="0"/>
          <w:color w:val="auto"/>
          <w:sz w:val="32"/>
          <w:szCs w:val="32"/>
        </w:rPr>
        <w:t>1</w:t>
      </w:r>
      <w:r>
        <w:rPr>
          <w:rFonts w:hint="default" w:ascii="Times New Roman" w:hAnsi="Times New Roman" w:eastAsia="方正仿宋_GBK" w:cs="Times New Roman"/>
          <w:b w:val="0"/>
          <w:bCs w:val="0"/>
          <w:color w:val="auto"/>
          <w:sz w:val="32"/>
          <w:szCs w:val="32"/>
          <w:shd w:val="clear" w:color="auto" w:fill="FFFFFF"/>
        </w:rPr>
        <w:t>辆，公务车保有量为</w:t>
      </w:r>
      <w:r>
        <w:rPr>
          <w:rFonts w:hint="default" w:ascii="Times New Roman" w:hAnsi="Times New Roman" w:eastAsia="方正仿宋_GBK" w:cs="Times New Roman"/>
          <w:b w:val="0"/>
          <w:bCs w:val="0"/>
          <w:color w:val="auto"/>
          <w:sz w:val="32"/>
          <w:szCs w:val="32"/>
          <w:lang w:eastAsia="zh-CN"/>
        </w:rPr>
        <w:t>8</w:t>
      </w:r>
      <w:r>
        <w:rPr>
          <w:rFonts w:hint="default" w:ascii="Times New Roman" w:hAnsi="Times New Roman" w:eastAsia="方正仿宋_GBK" w:cs="Times New Roman"/>
          <w:b w:val="0"/>
          <w:bCs w:val="0"/>
          <w:color w:val="auto"/>
          <w:sz w:val="32"/>
          <w:szCs w:val="32"/>
          <w:shd w:val="clear" w:color="auto" w:fill="FFFFFF"/>
        </w:rPr>
        <w:t>辆；国内公务接待</w:t>
      </w:r>
      <w:r>
        <w:rPr>
          <w:rFonts w:hint="default" w:ascii="Times New Roman" w:hAnsi="Times New Roman" w:eastAsia="方正仿宋_GBK" w:cs="Times New Roman"/>
          <w:b w:val="0"/>
          <w:bCs w:val="0"/>
          <w:color w:val="auto"/>
          <w:sz w:val="32"/>
          <w:szCs w:val="32"/>
        </w:rPr>
        <w:t>46</w:t>
      </w:r>
      <w:r>
        <w:rPr>
          <w:rFonts w:hint="default" w:ascii="Times New Roman" w:hAnsi="Times New Roman" w:eastAsia="方正仿宋_GBK" w:cs="Times New Roman"/>
          <w:b w:val="0"/>
          <w:bCs w:val="0"/>
          <w:color w:val="auto"/>
          <w:sz w:val="32"/>
          <w:szCs w:val="32"/>
          <w:shd w:val="clear" w:color="auto" w:fill="FFFFFF"/>
        </w:rPr>
        <w:t>批次</w:t>
      </w:r>
      <w:r>
        <w:rPr>
          <w:rFonts w:hint="default" w:ascii="Times New Roman" w:hAnsi="Times New Roman" w:eastAsia="方正仿宋_GBK" w:cs="Times New Roman"/>
          <w:b w:val="0"/>
          <w:bCs w:val="0"/>
          <w:color w:val="auto"/>
          <w:sz w:val="32"/>
          <w:szCs w:val="32"/>
        </w:rPr>
        <w:t>577</w:t>
      </w:r>
      <w:r>
        <w:rPr>
          <w:rFonts w:hint="default" w:ascii="Times New Roman" w:hAnsi="Times New Roman" w:eastAsia="方正仿宋_GBK" w:cs="Times New Roman"/>
          <w:b w:val="0"/>
          <w:bCs w:val="0"/>
          <w:color w:val="auto"/>
          <w:sz w:val="32"/>
          <w:szCs w:val="32"/>
          <w:shd w:val="clear" w:color="auto" w:fill="FFFFFF"/>
        </w:rPr>
        <w:t>人，其中：国内外事接待</w:t>
      </w:r>
      <w:r>
        <w:rPr>
          <w:rFonts w:hint="default" w:ascii="Times New Roman" w:hAnsi="Times New Roman" w:eastAsia="方正仿宋_GBK" w:cs="Times New Roman"/>
          <w:b w:val="0"/>
          <w:bCs w:val="0"/>
          <w:color w:val="auto"/>
          <w:sz w:val="32"/>
          <w:szCs w:val="32"/>
        </w:rPr>
        <w:t>0</w:t>
      </w:r>
      <w:r>
        <w:rPr>
          <w:rFonts w:hint="default" w:ascii="Times New Roman" w:hAnsi="Times New Roman" w:eastAsia="方正仿宋_GBK" w:cs="Times New Roman"/>
          <w:b w:val="0"/>
          <w:bCs w:val="0"/>
          <w:color w:val="auto"/>
          <w:sz w:val="32"/>
          <w:szCs w:val="32"/>
          <w:shd w:val="clear" w:color="auto" w:fill="FFFFFF"/>
        </w:rPr>
        <w:t>批次，</w:t>
      </w:r>
      <w:r>
        <w:rPr>
          <w:rFonts w:hint="default" w:ascii="Times New Roman" w:hAnsi="Times New Roman" w:eastAsia="方正仿宋_GBK" w:cs="Times New Roman"/>
          <w:b w:val="0"/>
          <w:bCs w:val="0"/>
          <w:color w:val="auto"/>
          <w:sz w:val="32"/>
          <w:szCs w:val="32"/>
        </w:rPr>
        <w:t>0</w:t>
      </w:r>
      <w:r>
        <w:rPr>
          <w:rFonts w:hint="default" w:ascii="Times New Roman" w:hAnsi="Times New Roman" w:eastAsia="方正仿宋_GBK" w:cs="Times New Roman"/>
          <w:b w:val="0"/>
          <w:bCs w:val="0"/>
          <w:color w:val="auto"/>
          <w:sz w:val="32"/>
          <w:szCs w:val="32"/>
          <w:shd w:val="clear" w:color="auto" w:fill="FFFFFF"/>
        </w:rPr>
        <w:t>人；国（境）外公务接待</w:t>
      </w:r>
      <w:r>
        <w:rPr>
          <w:rFonts w:hint="default" w:ascii="Times New Roman" w:hAnsi="Times New Roman" w:eastAsia="方正仿宋_GBK" w:cs="Times New Roman"/>
          <w:b w:val="0"/>
          <w:bCs w:val="0"/>
          <w:color w:val="auto"/>
          <w:sz w:val="32"/>
          <w:szCs w:val="32"/>
        </w:rPr>
        <w:t>0</w:t>
      </w:r>
      <w:r>
        <w:rPr>
          <w:rFonts w:hint="default" w:ascii="Times New Roman" w:hAnsi="Times New Roman" w:eastAsia="方正仿宋_GBK" w:cs="Times New Roman"/>
          <w:b w:val="0"/>
          <w:bCs w:val="0"/>
          <w:color w:val="auto"/>
          <w:sz w:val="32"/>
          <w:szCs w:val="32"/>
          <w:shd w:val="clear" w:color="auto" w:fill="FFFFFF"/>
        </w:rPr>
        <w:t>批次，</w:t>
      </w:r>
      <w:r>
        <w:rPr>
          <w:rFonts w:hint="default" w:ascii="Times New Roman" w:hAnsi="Times New Roman" w:eastAsia="方正仿宋_GBK" w:cs="Times New Roman"/>
          <w:b w:val="0"/>
          <w:bCs w:val="0"/>
          <w:color w:val="auto"/>
          <w:sz w:val="32"/>
          <w:szCs w:val="32"/>
        </w:rPr>
        <w:t>0</w:t>
      </w:r>
      <w:r>
        <w:rPr>
          <w:rFonts w:hint="default" w:ascii="Times New Roman" w:hAnsi="Times New Roman" w:eastAsia="方正仿宋_GBK" w:cs="Times New Roman"/>
          <w:b w:val="0"/>
          <w:bCs w:val="0"/>
          <w:color w:val="auto"/>
          <w:sz w:val="32"/>
          <w:szCs w:val="32"/>
          <w:shd w:val="clear" w:color="auto" w:fill="FFFFFF"/>
        </w:rPr>
        <w:t>人。2023年本部门人均接待费</w:t>
      </w:r>
      <w:r>
        <w:rPr>
          <w:rFonts w:hint="default" w:ascii="Times New Roman" w:hAnsi="Times New Roman" w:eastAsia="方正仿宋_GBK" w:cs="Times New Roman"/>
          <w:b w:val="0"/>
          <w:bCs w:val="0"/>
          <w:color w:val="auto"/>
          <w:sz w:val="32"/>
          <w:szCs w:val="32"/>
        </w:rPr>
        <w:t>93.5</w:t>
      </w:r>
      <w:r>
        <w:rPr>
          <w:rFonts w:hint="default" w:ascii="Times New Roman" w:hAnsi="Times New Roman" w:eastAsia="方正仿宋_GBK" w:cs="Times New Roman"/>
          <w:b w:val="0"/>
          <w:bCs w:val="0"/>
          <w:color w:val="auto"/>
          <w:sz w:val="32"/>
          <w:szCs w:val="32"/>
          <w:shd w:val="clear" w:color="auto" w:fill="FFFFFF"/>
        </w:rPr>
        <w:t>元，车均购置费</w:t>
      </w:r>
      <w:r>
        <w:rPr>
          <w:rFonts w:hint="default" w:ascii="Times New Roman" w:hAnsi="Times New Roman" w:eastAsia="方正仿宋_GBK" w:cs="Times New Roman"/>
          <w:b w:val="0"/>
          <w:bCs w:val="0"/>
          <w:color w:val="auto"/>
          <w:sz w:val="32"/>
          <w:szCs w:val="32"/>
        </w:rPr>
        <w:t>16.23</w:t>
      </w:r>
      <w:r>
        <w:rPr>
          <w:rFonts w:hint="default" w:ascii="Times New Roman" w:hAnsi="Times New Roman" w:eastAsia="方正仿宋_GBK" w:cs="Times New Roman"/>
          <w:b w:val="0"/>
          <w:bCs w:val="0"/>
          <w:color w:val="auto"/>
          <w:sz w:val="32"/>
          <w:szCs w:val="32"/>
          <w:shd w:val="clear" w:color="auto" w:fill="FFFFFF"/>
        </w:rPr>
        <w:t>万元，车均维护费</w:t>
      </w:r>
      <w:r>
        <w:rPr>
          <w:rFonts w:hint="default" w:ascii="Times New Roman" w:hAnsi="Times New Roman" w:eastAsia="方正仿宋_GBK" w:cs="Times New Roman"/>
          <w:b w:val="0"/>
          <w:bCs w:val="0"/>
          <w:color w:val="auto"/>
          <w:sz w:val="32"/>
          <w:szCs w:val="32"/>
          <w:lang w:eastAsia="zh-CN"/>
        </w:rPr>
        <w:t>1</w:t>
      </w:r>
      <w:r>
        <w:rPr>
          <w:rFonts w:hint="default" w:ascii="Times New Roman" w:hAnsi="Times New Roman" w:eastAsia="方正仿宋_GBK" w:cs="Times New Roman"/>
          <w:b w:val="0"/>
          <w:bCs w:val="0"/>
          <w:color w:val="auto"/>
          <w:sz w:val="32"/>
          <w:szCs w:val="32"/>
          <w:lang w:val="en-US" w:eastAsia="zh-CN"/>
        </w:rPr>
        <w:t>.84</w:t>
      </w:r>
      <w:r>
        <w:rPr>
          <w:rFonts w:hint="default" w:ascii="Times New Roman" w:hAnsi="Times New Roman" w:eastAsia="方正仿宋_GBK" w:cs="Times New Roman"/>
          <w:b w:val="0"/>
          <w:bCs w:val="0"/>
          <w:color w:val="auto"/>
          <w:sz w:val="32"/>
          <w:szCs w:val="32"/>
          <w:shd w:val="clear" w:color="auto" w:fill="FFFFFF"/>
        </w:rPr>
        <w:t>万元。</w:t>
      </w:r>
    </w:p>
    <w:p>
      <w:pPr>
        <w:pStyle w:val="8"/>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600" w:lineRule="exact"/>
        <w:ind w:firstLine="640" w:firstLineChars="200"/>
        <w:jc w:val="both"/>
        <w:textAlignment w:val="auto"/>
        <w:rPr>
          <w:rStyle w:val="12"/>
          <w:rFonts w:hint="default" w:ascii="Times New Roman" w:hAnsi="Times New Roman" w:eastAsia="方正黑体_GBK" w:cs="Times New Roman"/>
          <w:b w:val="0"/>
          <w:bCs w:val="0"/>
          <w:color w:val="auto"/>
          <w:sz w:val="32"/>
          <w:szCs w:val="32"/>
          <w:shd w:val="clear" w:color="auto" w:fill="FFFFFF"/>
        </w:rPr>
      </w:pPr>
      <w:r>
        <w:rPr>
          <w:rStyle w:val="12"/>
          <w:rFonts w:hint="default" w:ascii="Times New Roman" w:hAnsi="Times New Roman" w:eastAsia="方正黑体_GBK" w:cs="Times New Roman"/>
          <w:b w:val="0"/>
          <w:bCs w:val="0"/>
          <w:color w:val="auto"/>
          <w:sz w:val="32"/>
          <w:szCs w:val="32"/>
          <w:shd w:val="clear" w:color="auto" w:fill="FFFFFF"/>
        </w:rPr>
        <w:t>四、其他需要说明的事项</w:t>
      </w:r>
    </w:p>
    <w:p>
      <w:pPr>
        <w:pStyle w:val="13"/>
        <w:keepNext w:val="0"/>
        <w:keepLines w:val="0"/>
        <w:pageBreakBefore w:val="0"/>
        <w:widowControl w:val="0"/>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default" w:ascii="Times New Roman" w:hAnsi="Times New Roman" w:eastAsia="楷体" w:cs="Times New Roman"/>
          <w:b w:val="0"/>
          <w:bCs w:val="0"/>
          <w:color w:val="auto"/>
          <w:sz w:val="32"/>
          <w:szCs w:val="32"/>
          <w:shd w:val="clear" w:color="auto" w:fill="FFFFFF"/>
        </w:rPr>
      </w:pPr>
      <w:r>
        <w:rPr>
          <w:rFonts w:hint="default" w:ascii="Times New Roman" w:hAnsi="Times New Roman" w:eastAsia="楷体" w:cs="Times New Roman"/>
          <w:b w:val="0"/>
          <w:bCs w:val="0"/>
          <w:color w:val="auto"/>
          <w:sz w:val="32"/>
          <w:szCs w:val="32"/>
          <w:shd w:val="clear" w:color="auto" w:fill="FFFFFF"/>
        </w:rPr>
        <w:t xml:space="preserve">  </w:t>
      </w:r>
      <w:r>
        <w:rPr>
          <w:rFonts w:hint="eastAsia" w:ascii="Times New Roman" w:hAnsi="Times New Roman" w:eastAsia="方正楷体_GBK" w:cs="方正楷体_GBK"/>
          <w:b w:val="0"/>
          <w:bCs w:val="0"/>
          <w:color w:val="auto"/>
          <w:sz w:val="32"/>
          <w:szCs w:val="32"/>
          <w:shd w:val="clear" w:color="auto" w:fill="FFFFFF"/>
        </w:rPr>
        <w:t>（一）财政拨款会议费和培训费情况说明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rPr>
      </w:pPr>
      <w:r>
        <w:rPr>
          <w:rFonts w:hint="default" w:ascii="Times New Roman" w:hAnsi="Times New Roman" w:eastAsia="方正仿宋_GBK" w:cs="Times New Roman"/>
          <w:b w:val="0"/>
          <w:bCs w:val="0"/>
          <w:color w:val="auto"/>
          <w:sz w:val="32"/>
          <w:szCs w:val="32"/>
          <w:shd w:val="clear" w:color="auto" w:fill="FFFFFF"/>
        </w:rPr>
        <w:t>  本年度会议费支出</w:t>
      </w:r>
      <w:r>
        <w:rPr>
          <w:rFonts w:hint="default" w:ascii="Times New Roman" w:hAnsi="Times New Roman" w:eastAsia="方正仿宋_GBK" w:cs="Times New Roman"/>
          <w:b w:val="0"/>
          <w:bCs w:val="0"/>
          <w:color w:val="auto"/>
          <w:sz w:val="32"/>
          <w:szCs w:val="32"/>
        </w:rPr>
        <w:t>3.4</w:t>
      </w:r>
      <w:r>
        <w:rPr>
          <w:rFonts w:hint="default" w:ascii="Times New Roman" w:hAnsi="Times New Roman" w:eastAsia="方正仿宋_GBK" w:cs="Times New Roman"/>
          <w:b w:val="0"/>
          <w:bCs w:val="0"/>
          <w:color w:val="auto"/>
          <w:sz w:val="32"/>
          <w:szCs w:val="32"/>
          <w:shd w:val="clear" w:color="auto" w:fill="FFFFFF"/>
        </w:rPr>
        <w:t>万元，较上年决算数增加3.2万元，增长1600.0%，主要原因</w:t>
      </w:r>
      <w:r>
        <w:rPr>
          <w:rFonts w:hint="default" w:ascii="Times New Roman" w:hAnsi="Times New Roman" w:eastAsia="方正仿宋_GBK" w:cs="Times New Roman"/>
          <w:b w:val="0"/>
          <w:bCs w:val="0"/>
          <w:color w:val="auto"/>
          <w:sz w:val="32"/>
          <w:szCs w:val="32"/>
          <w:shd w:val="clear" w:color="auto" w:fill="FFFFFF"/>
          <w:lang w:val="en-US" w:eastAsia="zh-CN"/>
        </w:rPr>
        <w:t>一</w:t>
      </w:r>
      <w:r>
        <w:rPr>
          <w:rFonts w:hint="default" w:ascii="Times New Roman" w:hAnsi="Times New Roman" w:eastAsia="方正仿宋_GBK" w:cs="Times New Roman"/>
          <w:b w:val="0"/>
          <w:bCs w:val="0"/>
          <w:color w:val="auto"/>
          <w:sz w:val="32"/>
          <w:szCs w:val="32"/>
          <w:shd w:val="clear" w:color="auto" w:fill="FFFFFF"/>
        </w:rPr>
        <w:t>是</w:t>
      </w:r>
      <w:r>
        <w:rPr>
          <w:rFonts w:hint="default" w:ascii="Times New Roman" w:hAnsi="Times New Roman" w:eastAsia="方正仿宋_GBK" w:cs="Times New Roman"/>
          <w:b w:val="0"/>
          <w:bCs w:val="0"/>
          <w:color w:val="auto"/>
          <w:sz w:val="32"/>
          <w:szCs w:val="32"/>
          <w:shd w:val="clear" w:color="auto" w:fill="FFFFFF"/>
          <w:lang w:val="en-US" w:eastAsia="zh-CN"/>
        </w:rPr>
        <w:t>较上年相比会议活动恢复常态，二是职能职责及业务范围增加，会议活动频次总体增加</w:t>
      </w:r>
      <w:r>
        <w:rPr>
          <w:rFonts w:hint="default" w:ascii="Times New Roman" w:hAnsi="Times New Roman" w:eastAsia="方正仿宋_GBK" w:cs="Times New Roman"/>
          <w:b w:val="0"/>
          <w:bCs w:val="0"/>
          <w:color w:val="auto"/>
          <w:sz w:val="32"/>
          <w:szCs w:val="32"/>
          <w:shd w:val="clear" w:color="auto" w:fill="FFFFFF"/>
        </w:rPr>
        <w:t>。本年度培训费支出</w:t>
      </w:r>
      <w:r>
        <w:rPr>
          <w:rFonts w:hint="default" w:ascii="Times New Roman" w:hAnsi="Times New Roman" w:eastAsia="方正仿宋_GBK" w:cs="Times New Roman"/>
          <w:b w:val="0"/>
          <w:bCs w:val="0"/>
          <w:color w:val="auto"/>
          <w:sz w:val="32"/>
          <w:szCs w:val="32"/>
        </w:rPr>
        <w:t>58.49</w:t>
      </w:r>
      <w:r>
        <w:rPr>
          <w:rFonts w:hint="default" w:ascii="Times New Roman" w:hAnsi="Times New Roman" w:eastAsia="方正仿宋_GBK" w:cs="Times New Roman"/>
          <w:b w:val="0"/>
          <w:bCs w:val="0"/>
          <w:color w:val="auto"/>
          <w:sz w:val="32"/>
          <w:szCs w:val="32"/>
          <w:shd w:val="clear" w:color="auto" w:fill="FFFFFF"/>
        </w:rPr>
        <w:t>万元，较上年决算数增加55.79万元，增长2066.3%，主要原因是</w:t>
      </w:r>
      <w:r>
        <w:rPr>
          <w:rFonts w:hint="eastAsia" w:ascii="Times New Roman" w:hAnsi="Times New Roman" w:eastAsia="方正仿宋_GBK" w:cs="Times New Roman"/>
          <w:b w:val="0"/>
          <w:bCs w:val="0"/>
          <w:color w:val="auto"/>
          <w:sz w:val="32"/>
          <w:szCs w:val="32"/>
          <w:shd w:val="clear" w:color="auto" w:fill="FFFFFF"/>
          <w:lang w:val="en-US" w:eastAsia="zh-CN"/>
        </w:rPr>
        <w:t>国防动员等机构划转</w:t>
      </w:r>
      <w:r>
        <w:rPr>
          <w:rFonts w:hint="default" w:ascii="Times New Roman" w:hAnsi="Times New Roman" w:eastAsia="方正仿宋_GBK" w:cs="Times New Roman"/>
          <w:b w:val="0"/>
          <w:bCs w:val="0"/>
          <w:color w:val="auto"/>
          <w:sz w:val="32"/>
          <w:szCs w:val="32"/>
          <w:shd w:val="clear" w:color="auto" w:fill="FFFFFF"/>
          <w:lang w:val="en-US" w:eastAsia="zh-CN"/>
        </w:rPr>
        <w:t>职责业务增加，</w:t>
      </w:r>
      <w:r>
        <w:rPr>
          <w:rFonts w:hint="eastAsia" w:ascii="Times New Roman" w:hAnsi="Times New Roman" w:eastAsia="方正仿宋_GBK" w:cs="Times New Roman"/>
          <w:b w:val="0"/>
          <w:bCs w:val="0"/>
          <w:color w:val="auto"/>
          <w:sz w:val="32"/>
          <w:szCs w:val="32"/>
          <w:shd w:val="clear" w:color="auto" w:fill="FFFFFF"/>
          <w:lang w:val="en-US" w:eastAsia="zh-CN"/>
        </w:rPr>
        <w:t>日常、专项及综合培训演练活动开展较多。</w:t>
      </w:r>
    </w:p>
    <w:p>
      <w:pPr>
        <w:pStyle w:val="8"/>
        <w:keepNext w:val="0"/>
        <w:keepLines w:val="0"/>
        <w:pageBreakBefore w:val="0"/>
        <w:widowControl w:val="0"/>
        <w:kinsoku/>
        <w:wordWrap/>
        <w:overflowPunct/>
        <w:topLinePunct w:val="0"/>
        <w:autoSpaceDE w:val="0"/>
        <w:autoSpaceDN/>
        <w:bidi w:val="0"/>
        <w:adjustRightInd/>
        <w:snapToGrid w:val="0"/>
        <w:spacing w:beforeAutospacing="0" w:afterAutospacing="0" w:line="600" w:lineRule="exact"/>
        <w:ind w:firstLine="640" w:firstLineChars="200"/>
        <w:jc w:val="both"/>
        <w:textAlignment w:val="auto"/>
        <w:rPr>
          <w:rFonts w:hint="eastAsia" w:ascii="Times New Roman" w:hAnsi="Times New Roman" w:eastAsia="方正楷体_GBK" w:cs="方正楷体_GBK"/>
          <w:b w:val="0"/>
          <w:bCs w:val="0"/>
          <w:color w:val="auto"/>
          <w:sz w:val="32"/>
          <w:szCs w:val="32"/>
          <w:shd w:val="clear" w:color="auto" w:fill="FFFFFF"/>
        </w:rPr>
      </w:pPr>
      <w:r>
        <w:rPr>
          <w:rFonts w:hint="eastAsia" w:ascii="Times New Roman" w:hAnsi="Times New Roman" w:eastAsia="方正楷体_GBK" w:cs="方正楷体_GBK"/>
          <w:b w:val="0"/>
          <w:bCs w:val="0"/>
          <w:color w:val="auto"/>
          <w:sz w:val="32"/>
          <w:szCs w:val="32"/>
          <w:shd w:val="clear" w:color="auto" w:fill="FFFFFF"/>
        </w:rPr>
        <w:t>（二）机关运行经费情况说明</w:t>
      </w:r>
    </w:p>
    <w:p>
      <w:pPr>
        <w:pStyle w:val="8"/>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shd w:val="clear" w:color="auto" w:fill="FFFFFF"/>
        </w:rPr>
        <w:t>2023年度本部门机关运行经费支出</w:t>
      </w:r>
      <w:r>
        <w:rPr>
          <w:rFonts w:hint="default" w:ascii="Times New Roman" w:hAnsi="Times New Roman" w:eastAsia="方正仿宋_GBK" w:cs="Times New Roman"/>
          <w:b w:val="0"/>
          <w:bCs w:val="0"/>
          <w:color w:val="auto"/>
          <w:sz w:val="32"/>
          <w:szCs w:val="32"/>
        </w:rPr>
        <w:t>238.39</w:t>
      </w:r>
      <w:r>
        <w:rPr>
          <w:rFonts w:hint="default" w:ascii="Times New Roman" w:hAnsi="Times New Roman" w:eastAsia="方正仿宋_GBK" w:cs="Times New Roman"/>
          <w:b w:val="0"/>
          <w:bCs w:val="0"/>
          <w:color w:val="auto"/>
          <w:sz w:val="32"/>
          <w:szCs w:val="32"/>
          <w:shd w:val="clear" w:color="auto" w:fill="FFFFFF"/>
        </w:rPr>
        <w:t>万元，机关运行经费主要用于开支</w:t>
      </w:r>
      <w:r>
        <w:rPr>
          <w:rFonts w:hint="default" w:ascii="Times New Roman" w:hAnsi="Times New Roman" w:eastAsia="方正仿宋_GBK" w:cs="Times New Roman"/>
          <w:b w:val="0"/>
          <w:bCs w:val="0"/>
          <w:color w:val="auto"/>
          <w:sz w:val="32"/>
          <w:szCs w:val="32"/>
          <w:shd w:val="clear" w:color="auto" w:fill="FFFFFF"/>
          <w:lang w:val="en-US" w:eastAsia="zh-CN"/>
        </w:rPr>
        <w:t>办公费、印刷费、水电费、邮电费、差旅费、劳务费、委托业务费、公车运行维护费及设备购置更新等正常运转的费用</w:t>
      </w:r>
      <w:r>
        <w:rPr>
          <w:rFonts w:hint="default" w:ascii="Times New Roman" w:hAnsi="Times New Roman" w:eastAsia="方正仿宋_GBK" w:cs="Times New Roman"/>
          <w:b w:val="0"/>
          <w:bCs w:val="0"/>
          <w:color w:val="auto"/>
          <w:sz w:val="32"/>
          <w:szCs w:val="32"/>
          <w:shd w:val="clear" w:color="auto" w:fill="FFFFFF"/>
        </w:rPr>
        <w:t>。机关运行经费较上年支出数增加46.59万元，增长24.29%，主要原因是</w:t>
      </w:r>
      <w:r>
        <w:rPr>
          <w:rFonts w:hint="default" w:ascii="Times New Roman" w:hAnsi="Times New Roman" w:eastAsia="方正仿宋_GBK" w:cs="Times New Roman"/>
          <w:b w:val="0"/>
          <w:bCs w:val="0"/>
          <w:color w:val="auto"/>
          <w:sz w:val="32"/>
          <w:szCs w:val="32"/>
          <w:shd w:val="clear" w:color="auto" w:fill="FFFFFF"/>
          <w:lang w:val="en-US" w:eastAsia="zh-CN"/>
        </w:rPr>
        <w:t>机构和人员划转，日常运行成本总体增加</w:t>
      </w:r>
      <w:r>
        <w:rPr>
          <w:rFonts w:hint="default" w:ascii="Times New Roman" w:hAnsi="Times New Roman" w:eastAsia="方正仿宋_GBK" w:cs="Times New Roman"/>
          <w:b w:val="0"/>
          <w:bCs w:val="0"/>
          <w:color w:val="auto"/>
          <w:sz w:val="32"/>
          <w:szCs w:val="32"/>
          <w:shd w:val="clear" w:color="auto" w:fill="FFFFFF"/>
        </w:rPr>
        <w:t>。</w:t>
      </w:r>
    </w:p>
    <w:p>
      <w:pPr>
        <w:pStyle w:val="13"/>
        <w:keepNext w:val="0"/>
        <w:keepLines w:val="0"/>
        <w:pageBreakBefore w:val="0"/>
        <w:widowControl w:val="0"/>
        <w:numPr>
          <w:ilvl w:val="0"/>
          <w:numId w:val="1"/>
        </w:numPr>
        <w:kinsoku/>
        <w:wordWrap/>
        <w:overflowPunct/>
        <w:topLinePunct w:val="0"/>
        <w:autoSpaceDE w:val="0"/>
        <w:autoSpaceDN/>
        <w:bidi w:val="0"/>
        <w:adjustRightInd/>
        <w:spacing w:beforeAutospacing="0" w:afterAutospacing="0" w:line="600" w:lineRule="exact"/>
        <w:ind w:left="0" w:leftChars="0" w:firstLine="640" w:firstLineChars="200"/>
        <w:jc w:val="both"/>
        <w:textAlignment w:val="auto"/>
        <w:rPr>
          <w:rFonts w:hint="eastAsia" w:ascii="Times New Roman" w:hAnsi="Times New Roman" w:eastAsia="方正楷体_GBK" w:cs="方正楷体_GBK"/>
          <w:b w:val="0"/>
          <w:bCs w:val="0"/>
          <w:color w:val="auto"/>
          <w:sz w:val="32"/>
          <w:szCs w:val="32"/>
        </w:rPr>
      </w:pPr>
      <w:r>
        <w:rPr>
          <w:rFonts w:hint="eastAsia" w:ascii="Times New Roman" w:hAnsi="Times New Roman" w:eastAsia="方正楷体_GBK" w:cs="方正楷体_GBK"/>
          <w:b w:val="0"/>
          <w:bCs w:val="0"/>
          <w:color w:val="auto"/>
          <w:sz w:val="32"/>
          <w:szCs w:val="32"/>
          <w:shd w:val="clear" w:color="auto" w:fill="FFFFFF"/>
        </w:rPr>
        <w:t>国有资产占用情况说明</w:t>
      </w:r>
    </w:p>
    <w:p>
      <w:pPr>
        <w:pStyle w:val="13"/>
        <w:keepNext w:val="0"/>
        <w:keepLines w:val="0"/>
        <w:pageBreakBefore w:val="0"/>
        <w:widowControl w:val="0"/>
        <w:numPr>
          <w:ilvl w:val="0"/>
          <w:numId w:val="0"/>
        </w:numPr>
        <w:kinsoku/>
        <w:wordWrap/>
        <w:overflowPunct/>
        <w:topLinePunct w:val="0"/>
        <w:autoSpaceDE w:val="0"/>
        <w:autoSpaceDN/>
        <w:bidi w:val="0"/>
        <w:adjustRightInd/>
        <w:snapToGrid/>
        <w:spacing w:beforeAutospacing="0" w:afterAutospacing="0" w:line="600" w:lineRule="exact"/>
        <w:ind w:leftChars="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shd w:val="clear" w:color="auto" w:fill="FFFFFF"/>
        </w:rPr>
        <w:t>截至2023年12月31日，本部门共有车辆</w:t>
      </w:r>
      <w:r>
        <w:rPr>
          <w:rFonts w:hint="default" w:ascii="Times New Roman" w:hAnsi="Times New Roman" w:eastAsia="方正仿宋_GBK" w:cs="Times New Roman"/>
          <w:b w:val="0"/>
          <w:bCs w:val="0"/>
          <w:color w:val="auto"/>
          <w:sz w:val="32"/>
          <w:szCs w:val="32"/>
          <w:lang w:eastAsia="zh-CN"/>
        </w:rPr>
        <w:t>8</w:t>
      </w:r>
      <w:r>
        <w:rPr>
          <w:rFonts w:hint="default" w:ascii="Times New Roman" w:hAnsi="Times New Roman" w:eastAsia="方正仿宋_GBK" w:cs="Times New Roman"/>
          <w:b w:val="0"/>
          <w:bCs w:val="0"/>
          <w:color w:val="auto"/>
          <w:sz w:val="32"/>
          <w:szCs w:val="32"/>
          <w:shd w:val="clear" w:color="auto" w:fill="FFFFFF"/>
        </w:rPr>
        <w:t>辆，其中，机要通信用车</w:t>
      </w:r>
      <w:r>
        <w:rPr>
          <w:rFonts w:hint="default" w:ascii="Times New Roman" w:hAnsi="Times New Roman" w:eastAsia="方正仿宋_GBK" w:cs="Times New Roman"/>
          <w:b w:val="0"/>
          <w:bCs w:val="0"/>
          <w:color w:val="auto"/>
          <w:sz w:val="32"/>
          <w:szCs w:val="32"/>
        </w:rPr>
        <w:t>3</w:t>
      </w:r>
      <w:r>
        <w:rPr>
          <w:rFonts w:hint="default" w:ascii="Times New Roman" w:hAnsi="Times New Roman" w:eastAsia="方正仿宋_GBK" w:cs="Times New Roman"/>
          <w:b w:val="0"/>
          <w:bCs w:val="0"/>
          <w:color w:val="auto"/>
          <w:sz w:val="32"/>
          <w:szCs w:val="32"/>
          <w:shd w:val="clear" w:color="auto" w:fill="FFFFFF"/>
        </w:rPr>
        <w:t>辆、应急保障用车</w:t>
      </w:r>
      <w:r>
        <w:rPr>
          <w:rFonts w:hint="default" w:ascii="Times New Roman" w:hAnsi="Times New Roman" w:eastAsia="方正仿宋_GBK" w:cs="Times New Roman"/>
          <w:b w:val="0"/>
          <w:bCs w:val="0"/>
          <w:color w:val="auto"/>
          <w:sz w:val="32"/>
          <w:szCs w:val="32"/>
        </w:rPr>
        <w:t>3</w:t>
      </w:r>
      <w:r>
        <w:rPr>
          <w:rFonts w:hint="default" w:ascii="Times New Roman" w:hAnsi="Times New Roman" w:eastAsia="方正仿宋_GBK" w:cs="Times New Roman"/>
          <w:b w:val="0"/>
          <w:bCs w:val="0"/>
          <w:color w:val="auto"/>
          <w:sz w:val="32"/>
          <w:szCs w:val="32"/>
          <w:shd w:val="clear" w:color="auto" w:fill="FFFFFF"/>
        </w:rPr>
        <w:t>辆、执法执勤用车</w:t>
      </w:r>
      <w:r>
        <w:rPr>
          <w:rFonts w:hint="default" w:ascii="Times New Roman" w:hAnsi="Times New Roman" w:eastAsia="方正仿宋_GBK" w:cs="Times New Roman"/>
          <w:b w:val="0"/>
          <w:bCs w:val="0"/>
          <w:color w:val="auto"/>
          <w:sz w:val="32"/>
          <w:szCs w:val="32"/>
        </w:rPr>
        <w:t>0</w:t>
      </w:r>
      <w:r>
        <w:rPr>
          <w:rFonts w:hint="default" w:ascii="Times New Roman" w:hAnsi="Times New Roman" w:eastAsia="方正仿宋_GBK" w:cs="Times New Roman"/>
          <w:b w:val="0"/>
          <w:bCs w:val="0"/>
          <w:color w:val="auto"/>
          <w:sz w:val="32"/>
          <w:szCs w:val="32"/>
          <w:shd w:val="clear" w:color="auto" w:fill="FFFFFF"/>
        </w:rPr>
        <w:t>辆，特种专业技术用车</w:t>
      </w:r>
      <w:r>
        <w:rPr>
          <w:rFonts w:hint="default" w:ascii="Times New Roman" w:hAnsi="Times New Roman" w:eastAsia="方正仿宋_GBK" w:cs="Times New Roman"/>
          <w:b w:val="0"/>
          <w:bCs w:val="0"/>
          <w:color w:val="auto"/>
          <w:sz w:val="32"/>
          <w:szCs w:val="32"/>
          <w:lang w:eastAsia="zh-CN"/>
        </w:rPr>
        <w:t>2</w:t>
      </w:r>
      <w:r>
        <w:rPr>
          <w:rFonts w:hint="default" w:ascii="Times New Roman" w:hAnsi="Times New Roman" w:eastAsia="方正仿宋_GBK" w:cs="Times New Roman"/>
          <w:b w:val="0"/>
          <w:bCs w:val="0"/>
          <w:color w:val="auto"/>
          <w:sz w:val="32"/>
          <w:szCs w:val="32"/>
          <w:shd w:val="clear" w:color="auto" w:fill="FFFFFF"/>
        </w:rPr>
        <w:t>辆。单价100万元（含）以上专用设备</w:t>
      </w:r>
      <w:r>
        <w:rPr>
          <w:rFonts w:hint="default" w:ascii="Times New Roman" w:hAnsi="Times New Roman" w:eastAsia="方正仿宋_GBK" w:cs="Times New Roman"/>
          <w:b w:val="0"/>
          <w:bCs w:val="0"/>
          <w:color w:val="auto"/>
          <w:sz w:val="32"/>
          <w:szCs w:val="32"/>
        </w:rPr>
        <w:t>2</w:t>
      </w:r>
      <w:r>
        <w:rPr>
          <w:rFonts w:hint="default" w:ascii="Times New Roman" w:hAnsi="Times New Roman" w:eastAsia="方正仿宋_GBK" w:cs="Times New Roman"/>
          <w:b w:val="0"/>
          <w:bCs w:val="0"/>
          <w:color w:val="auto"/>
          <w:sz w:val="32"/>
          <w:szCs w:val="32"/>
          <w:shd w:val="clear" w:color="auto" w:fill="FFFFFF"/>
        </w:rPr>
        <w:t>台（套）。</w:t>
      </w:r>
    </w:p>
    <w:p>
      <w:pPr>
        <w:pStyle w:val="13"/>
        <w:keepNext w:val="0"/>
        <w:keepLines w:val="0"/>
        <w:pageBreakBefore w:val="0"/>
        <w:widowControl w:val="0"/>
        <w:kinsoku/>
        <w:wordWrap/>
        <w:overflowPunct/>
        <w:topLinePunct w:val="0"/>
        <w:autoSpaceDE w:val="0"/>
        <w:autoSpaceDN/>
        <w:bidi w:val="0"/>
        <w:adjustRightInd/>
        <w:snapToGrid/>
        <w:spacing w:beforeAutospacing="0" w:afterAutospacing="0" w:line="600" w:lineRule="exact"/>
        <w:ind w:leftChars="0" w:firstLine="640" w:firstLineChars="200"/>
        <w:jc w:val="both"/>
        <w:textAlignment w:val="auto"/>
        <w:rPr>
          <w:rFonts w:hint="default" w:ascii="Times New Roman" w:hAnsi="Times New Roman" w:eastAsia="楷体" w:cs="Times New Roman"/>
          <w:b w:val="0"/>
          <w:bCs w:val="0"/>
          <w:color w:val="auto"/>
          <w:sz w:val="32"/>
          <w:szCs w:val="32"/>
          <w:shd w:val="clear" w:color="auto" w:fill="FFFFFF"/>
        </w:rPr>
      </w:pPr>
      <w:r>
        <w:rPr>
          <w:rFonts w:hint="default" w:ascii="Times New Roman" w:hAnsi="Times New Roman" w:eastAsia="楷体" w:cs="Times New Roman"/>
          <w:b w:val="0"/>
          <w:bCs w:val="0"/>
          <w:color w:val="auto"/>
          <w:sz w:val="32"/>
          <w:szCs w:val="32"/>
          <w:shd w:val="clear" w:color="auto" w:fill="FFFFFF"/>
        </w:rPr>
        <w:t>（四）政府采购支出情况说明</w:t>
      </w:r>
    </w:p>
    <w:p>
      <w:pPr>
        <w:pStyle w:val="8"/>
        <w:keepNext w:val="0"/>
        <w:keepLines w:val="0"/>
        <w:pageBreakBefore w:val="0"/>
        <w:widowControl w:val="0"/>
        <w:numPr>
          <w:ilvl w:val="-1"/>
          <w:numId w:val="0"/>
        </w:numPr>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z w:val="32"/>
          <w:szCs w:val="32"/>
          <w:shd w:val="clear" w:color="auto" w:fill="FFFFFF"/>
        </w:rPr>
      </w:pPr>
      <w:r>
        <w:rPr>
          <w:rFonts w:hint="default" w:ascii="Times New Roman" w:hAnsi="Times New Roman" w:eastAsia="方正仿宋_GBK" w:cs="Times New Roman"/>
          <w:b w:val="0"/>
          <w:bCs w:val="0"/>
          <w:color w:val="auto"/>
          <w:sz w:val="32"/>
          <w:szCs w:val="32"/>
          <w:shd w:val="clear" w:color="auto" w:fill="FFFFFF"/>
        </w:rPr>
        <w:t>2023年度本部门政府采购支出总额</w:t>
      </w:r>
      <w:r>
        <w:rPr>
          <w:rFonts w:hint="default" w:ascii="Times New Roman" w:hAnsi="Times New Roman" w:eastAsia="方正仿宋_GBK" w:cs="Times New Roman"/>
          <w:b w:val="0"/>
          <w:bCs w:val="0"/>
          <w:color w:val="auto"/>
          <w:sz w:val="32"/>
          <w:szCs w:val="32"/>
        </w:rPr>
        <w:t>2.7</w:t>
      </w:r>
      <w:r>
        <w:rPr>
          <w:rFonts w:hint="default" w:ascii="Times New Roman" w:hAnsi="Times New Roman" w:eastAsia="方正仿宋_GBK" w:cs="Times New Roman"/>
          <w:b w:val="0"/>
          <w:bCs w:val="0"/>
          <w:color w:val="auto"/>
          <w:sz w:val="32"/>
          <w:szCs w:val="32"/>
          <w:shd w:val="clear" w:color="auto" w:fill="FFFFFF"/>
        </w:rPr>
        <w:t>万元，其中：政府采购货物支出</w:t>
      </w:r>
      <w:r>
        <w:rPr>
          <w:rFonts w:hint="default" w:ascii="Times New Roman" w:hAnsi="Times New Roman" w:eastAsia="方正仿宋_GBK" w:cs="Times New Roman"/>
          <w:b w:val="0"/>
          <w:bCs w:val="0"/>
          <w:color w:val="auto"/>
          <w:sz w:val="32"/>
          <w:szCs w:val="32"/>
        </w:rPr>
        <w:t>2.7</w:t>
      </w:r>
      <w:r>
        <w:rPr>
          <w:rFonts w:hint="default" w:ascii="Times New Roman" w:hAnsi="Times New Roman" w:eastAsia="方正仿宋_GBK" w:cs="Times New Roman"/>
          <w:b w:val="0"/>
          <w:bCs w:val="0"/>
          <w:color w:val="auto"/>
          <w:sz w:val="32"/>
          <w:szCs w:val="32"/>
          <w:shd w:val="clear" w:color="auto" w:fill="FFFFFF"/>
        </w:rPr>
        <w:t>万元。授予中小企业合同金额</w:t>
      </w:r>
      <w:r>
        <w:rPr>
          <w:rFonts w:hint="default" w:ascii="Times New Roman" w:hAnsi="Times New Roman" w:eastAsia="方正仿宋_GBK" w:cs="Times New Roman"/>
          <w:b w:val="0"/>
          <w:bCs w:val="0"/>
          <w:color w:val="auto"/>
          <w:sz w:val="32"/>
          <w:szCs w:val="32"/>
        </w:rPr>
        <w:t>2.7万</w:t>
      </w:r>
      <w:r>
        <w:rPr>
          <w:rFonts w:hint="default" w:ascii="Times New Roman" w:hAnsi="Times New Roman" w:eastAsia="方正仿宋_GBK" w:cs="Times New Roman"/>
          <w:b w:val="0"/>
          <w:bCs w:val="0"/>
          <w:color w:val="auto"/>
          <w:sz w:val="32"/>
          <w:szCs w:val="32"/>
          <w:shd w:val="clear" w:color="auto" w:fill="FFFFFF"/>
        </w:rPr>
        <w:t>元，占政府采购支出总额的</w:t>
      </w:r>
      <w:r>
        <w:rPr>
          <w:rFonts w:hint="default" w:ascii="Times New Roman" w:hAnsi="Times New Roman" w:eastAsia="方正仿宋_GBK" w:cs="Times New Roman"/>
          <w:b w:val="0"/>
          <w:bCs w:val="0"/>
          <w:color w:val="auto"/>
          <w:sz w:val="32"/>
          <w:szCs w:val="32"/>
        </w:rPr>
        <w:t>100.0</w:t>
      </w:r>
      <w:r>
        <w:rPr>
          <w:rFonts w:hint="default" w:ascii="Times New Roman" w:hAnsi="Times New Roman" w:eastAsia="方正仿宋_GBK" w:cs="Times New Roman"/>
          <w:b w:val="0"/>
          <w:bCs w:val="0"/>
          <w:color w:val="auto"/>
          <w:sz w:val="32"/>
          <w:szCs w:val="32"/>
          <w:shd w:val="clear" w:color="auto" w:fill="FFFFFF"/>
        </w:rPr>
        <w:t>%，其中：授予小微企业合同金额</w:t>
      </w:r>
      <w:r>
        <w:rPr>
          <w:rFonts w:hint="default" w:ascii="Times New Roman" w:hAnsi="Times New Roman" w:eastAsia="方正仿宋_GBK" w:cs="Times New Roman"/>
          <w:b w:val="0"/>
          <w:bCs w:val="0"/>
          <w:color w:val="auto"/>
          <w:sz w:val="32"/>
          <w:szCs w:val="32"/>
        </w:rPr>
        <w:t>2.7</w:t>
      </w:r>
      <w:r>
        <w:rPr>
          <w:rFonts w:hint="default" w:ascii="Times New Roman" w:hAnsi="Times New Roman" w:eastAsia="方正仿宋_GBK" w:cs="Times New Roman"/>
          <w:b w:val="0"/>
          <w:bCs w:val="0"/>
          <w:color w:val="auto"/>
          <w:sz w:val="32"/>
          <w:szCs w:val="32"/>
          <w:shd w:val="clear" w:color="auto" w:fill="FFFFFF"/>
        </w:rPr>
        <w:t>万元，占政府采购支出总额的</w:t>
      </w:r>
      <w:r>
        <w:rPr>
          <w:rFonts w:hint="default" w:ascii="Times New Roman" w:hAnsi="Times New Roman" w:eastAsia="方正仿宋_GBK" w:cs="Times New Roman"/>
          <w:b w:val="0"/>
          <w:bCs w:val="0"/>
          <w:color w:val="auto"/>
          <w:sz w:val="32"/>
          <w:szCs w:val="32"/>
        </w:rPr>
        <w:t>100.0</w:t>
      </w:r>
      <w:r>
        <w:rPr>
          <w:rFonts w:hint="default" w:ascii="Times New Roman" w:hAnsi="Times New Roman" w:eastAsia="方正仿宋_GBK" w:cs="Times New Roman"/>
          <w:b w:val="0"/>
          <w:bCs w:val="0"/>
          <w:color w:val="auto"/>
          <w:sz w:val="32"/>
          <w:szCs w:val="32"/>
          <w:shd w:val="clear" w:color="auto" w:fill="FFFFFF"/>
        </w:rPr>
        <w:t xml:space="preserve"> %。主要用于采购</w:t>
      </w:r>
      <w:r>
        <w:rPr>
          <w:rFonts w:hint="default" w:ascii="Times New Roman" w:hAnsi="Times New Roman" w:eastAsia="方正仿宋_GBK" w:cs="Times New Roman"/>
          <w:b w:val="0"/>
          <w:bCs w:val="0"/>
          <w:color w:val="auto"/>
          <w:sz w:val="32"/>
          <w:szCs w:val="32"/>
          <w:shd w:val="clear" w:color="auto" w:fill="FFFFFF"/>
          <w:lang w:val="en-US" w:eastAsia="zh-CN"/>
        </w:rPr>
        <w:t>办公设备</w:t>
      </w:r>
      <w:r>
        <w:rPr>
          <w:rFonts w:hint="default" w:ascii="Times New Roman" w:hAnsi="Times New Roman" w:eastAsia="方正仿宋_GBK" w:cs="Times New Roman"/>
          <w:b w:val="0"/>
          <w:bCs w:val="0"/>
          <w:color w:val="auto"/>
          <w:sz w:val="32"/>
          <w:szCs w:val="32"/>
          <w:shd w:val="clear" w:color="auto" w:fill="FFFFFF"/>
        </w:rPr>
        <w:t>。</w:t>
      </w:r>
    </w:p>
    <w:p>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黑体_GBK" w:cs="Times New Roman"/>
          <w:b w:val="0"/>
          <w:bCs w:val="0"/>
          <w:color w:val="auto"/>
          <w:sz w:val="32"/>
          <w:szCs w:val="32"/>
          <w:shd w:val="clear" w:color="auto" w:fill="FFFFFF"/>
        </w:rPr>
      </w:pPr>
      <w:r>
        <w:rPr>
          <w:rFonts w:hint="default" w:ascii="Times New Roman" w:hAnsi="Times New Roman" w:eastAsia="方正黑体_GBK" w:cs="Times New Roman"/>
          <w:b w:val="0"/>
          <w:bCs w:val="0"/>
          <w:color w:val="auto"/>
          <w:sz w:val="32"/>
          <w:szCs w:val="32"/>
          <w:shd w:val="clear" w:color="auto" w:fill="FFFFFF"/>
          <w:lang w:val="en-US" w:eastAsia="zh-CN"/>
        </w:rPr>
        <w:t>五、</w:t>
      </w:r>
      <w:r>
        <w:rPr>
          <w:rStyle w:val="12"/>
          <w:rFonts w:hint="default" w:ascii="Times New Roman" w:hAnsi="Times New Roman" w:eastAsia="方正黑体_GBK" w:cs="Times New Roman"/>
          <w:b w:val="0"/>
          <w:bCs w:val="0"/>
          <w:color w:val="auto"/>
          <w:sz w:val="32"/>
          <w:szCs w:val="32"/>
          <w:shd w:val="clear" w:color="auto" w:fill="FFFFFF"/>
        </w:rPr>
        <w:t>预算绩效管理情况说明</w:t>
      </w:r>
    </w:p>
    <w:p>
      <w:pPr>
        <w:pStyle w:val="18"/>
        <w:keepNext w:val="0"/>
        <w:keepLines w:val="0"/>
        <w:pageBreakBefore w:val="0"/>
        <w:widowControl w:val="0"/>
        <w:tabs>
          <w:tab w:val="center" w:pos="4153"/>
          <w:tab w:val="left" w:pos="7275"/>
        </w:tabs>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方正楷体_GBK" w:cs="方正楷体_GBK"/>
          <w:b w:val="0"/>
          <w:bCs w:val="0"/>
          <w:color w:val="auto"/>
          <w:kern w:val="0"/>
          <w:sz w:val="32"/>
          <w:szCs w:val="32"/>
        </w:rPr>
      </w:pPr>
      <w:r>
        <w:rPr>
          <w:rFonts w:hint="eastAsia" w:ascii="Times New Roman" w:hAnsi="Times New Roman" w:eastAsia="方正楷体_GBK" w:cs="方正楷体_GBK"/>
          <w:b w:val="0"/>
          <w:bCs w:val="0"/>
          <w:color w:val="auto"/>
          <w:kern w:val="0"/>
          <w:sz w:val="32"/>
          <w:szCs w:val="32"/>
        </w:rPr>
        <w:t>（一）单位自评情况</w:t>
      </w:r>
    </w:p>
    <w:p>
      <w:pPr>
        <w:pStyle w:val="18"/>
        <w:keepNext w:val="0"/>
        <w:keepLines w:val="0"/>
        <w:pageBreakBefore w:val="0"/>
        <w:widowControl w:val="0"/>
        <w:tabs>
          <w:tab w:val="center" w:pos="4153"/>
          <w:tab w:val="left" w:pos="7275"/>
        </w:tabs>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val="0"/>
          <w:bCs w:val="0"/>
          <w:color w:val="auto"/>
          <w:kern w:val="0"/>
          <w:sz w:val="32"/>
          <w:szCs w:val="32"/>
        </w:rPr>
        <w:t>根据预算绩效管理要求，我部门组织部门本级及所属单位对</w:t>
      </w:r>
      <w:r>
        <w:rPr>
          <w:rFonts w:hint="default" w:ascii="Times New Roman" w:hAnsi="Times New Roman" w:eastAsia="方正仿宋_GBK" w:cs="Times New Roman"/>
          <w:b w:val="0"/>
          <w:bCs w:val="0"/>
          <w:color w:val="auto"/>
          <w:kern w:val="0"/>
          <w:sz w:val="32"/>
          <w:szCs w:val="32"/>
          <w:lang w:eastAsia="zh-CN"/>
        </w:rPr>
        <w:t>部门整体和1</w:t>
      </w:r>
      <w:r>
        <w:rPr>
          <w:rFonts w:hint="default" w:ascii="Times New Roman" w:hAnsi="Times New Roman" w:eastAsia="方正仿宋_GBK" w:cs="Times New Roman"/>
          <w:b w:val="0"/>
          <w:bCs w:val="0"/>
          <w:color w:val="auto"/>
          <w:kern w:val="0"/>
          <w:sz w:val="32"/>
          <w:szCs w:val="32"/>
        </w:rPr>
        <w:t>个</w:t>
      </w:r>
      <w:r>
        <w:rPr>
          <w:rFonts w:hint="default" w:ascii="Times New Roman" w:hAnsi="Times New Roman" w:eastAsia="方正仿宋_GBK" w:cs="Times New Roman"/>
          <w:b w:val="0"/>
          <w:bCs w:val="0"/>
          <w:color w:val="auto"/>
          <w:kern w:val="0"/>
          <w:sz w:val="32"/>
          <w:szCs w:val="32"/>
          <w:lang w:eastAsia="zh-CN"/>
        </w:rPr>
        <w:t>重点专项</w:t>
      </w:r>
      <w:r>
        <w:rPr>
          <w:rFonts w:hint="default" w:ascii="Times New Roman" w:hAnsi="Times New Roman" w:eastAsia="方正仿宋_GBK" w:cs="Times New Roman"/>
          <w:b w:val="0"/>
          <w:bCs w:val="0"/>
          <w:color w:val="auto"/>
          <w:kern w:val="0"/>
          <w:sz w:val="32"/>
          <w:szCs w:val="32"/>
        </w:rPr>
        <w:t>项目、</w:t>
      </w:r>
      <w:r>
        <w:rPr>
          <w:rFonts w:hint="default" w:ascii="Times New Roman" w:hAnsi="Times New Roman" w:eastAsia="方正仿宋_GBK" w:cs="Times New Roman"/>
          <w:b w:val="0"/>
          <w:bCs w:val="0"/>
          <w:color w:val="auto"/>
          <w:kern w:val="0"/>
          <w:sz w:val="32"/>
          <w:szCs w:val="32"/>
          <w:lang w:eastAsia="zh-CN"/>
        </w:rPr>
        <w:t>1</w:t>
      </w:r>
      <w:r>
        <w:rPr>
          <w:rFonts w:hint="default" w:ascii="Times New Roman" w:hAnsi="Times New Roman" w:eastAsia="方正仿宋_GBK" w:cs="Times New Roman"/>
          <w:b w:val="0"/>
          <w:bCs w:val="0"/>
          <w:color w:val="auto"/>
          <w:kern w:val="0"/>
          <w:sz w:val="32"/>
          <w:szCs w:val="32"/>
          <w:lang w:val="en-US" w:eastAsia="zh-CN"/>
        </w:rPr>
        <w:t>9</w:t>
      </w:r>
      <w:r>
        <w:rPr>
          <w:rFonts w:hint="default" w:ascii="Times New Roman" w:hAnsi="Times New Roman" w:eastAsia="方正仿宋_GBK" w:cs="Times New Roman"/>
          <w:b w:val="0"/>
          <w:bCs w:val="0"/>
          <w:color w:val="auto"/>
          <w:kern w:val="0"/>
          <w:sz w:val="32"/>
          <w:szCs w:val="32"/>
        </w:rPr>
        <w:t>个</w:t>
      </w:r>
      <w:r>
        <w:rPr>
          <w:rFonts w:hint="default" w:ascii="Times New Roman" w:hAnsi="Times New Roman" w:eastAsia="方正仿宋_GBK" w:cs="Times New Roman"/>
          <w:b w:val="0"/>
          <w:bCs w:val="0"/>
          <w:color w:val="auto"/>
          <w:kern w:val="0"/>
          <w:sz w:val="32"/>
          <w:szCs w:val="32"/>
          <w:lang w:eastAsia="zh-CN"/>
        </w:rPr>
        <w:t>一般性</w:t>
      </w:r>
      <w:r>
        <w:rPr>
          <w:rFonts w:hint="default" w:ascii="Times New Roman" w:hAnsi="Times New Roman" w:eastAsia="方正仿宋_GBK" w:cs="Times New Roman"/>
          <w:b w:val="0"/>
          <w:bCs w:val="0"/>
          <w:color w:val="auto"/>
          <w:kern w:val="0"/>
          <w:sz w:val="32"/>
          <w:szCs w:val="32"/>
        </w:rPr>
        <w:t>项目开展了绩效自评，涉及财政拨款项目支出</w:t>
      </w:r>
      <w:r>
        <w:rPr>
          <w:rFonts w:hint="default" w:ascii="Times New Roman" w:hAnsi="Times New Roman" w:eastAsia="方正仿宋_GBK" w:cs="Times New Roman"/>
          <w:b w:val="0"/>
          <w:bCs w:val="0"/>
          <w:color w:val="auto"/>
          <w:kern w:val="0"/>
          <w:sz w:val="32"/>
          <w:szCs w:val="32"/>
          <w:lang w:eastAsia="zh-CN"/>
        </w:rPr>
        <w:t>4</w:t>
      </w:r>
      <w:r>
        <w:rPr>
          <w:rFonts w:hint="default" w:ascii="Times New Roman" w:hAnsi="Times New Roman" w:eastAsia="方正仿宋_GBK" w:cs="Times New Roman"/>
          <w:b w:val="0"/>
          <w:bCs w:val="0"/>
          <w:color w:val="auto"/>
          <w:kern w:val="0"/>
          <w:sz w:val="32"/>
          <w:szCs w:val="32"/>
          <w:lang w:val="en-US" w:eastAsia="zh-CN"/>
        </w:rPr>
        <w:t>157.41</w:t>
      </w:r>
      <w:r>
        <w:rPr>
          <w:rFonts w:hint="default" w:ascii="Times New Roman" w:hAnsi="Times New Roman" w:eastAsia="方正仿宋_GBK" w:cs="Times New Roman"/>
          <w:b w:val="0"/>
          <w:bCs w:val="0"/>
          <w:color w:val="auto"/>
          <w:kern w:val="0"/>
          <w:sz w:val="32"/>
          <w:szCs w:val="32"/>
        </w:rPr>
        <w:t>万元。</w:t>
      </w:r>
      <w:r>
        <w:rPr>
          <w:rFonts w:hint="eastAsia" w:ascii="Times New Roman" w:hAnsi="Times New Roman" w:eastAsia="方正仿宋_GBK" w:cs="Times New Roman"/>
          <w:b w:val="0"/>
          <w:bCs w:val="0"/>
          <w:color w:val="auto"/>
          <w:kern w:val="0"/>
          <w:sz w:val="32"/>
          <w:szCs w:val="32"/>
          <w:lang w:val="en-US" w:eastAsia="zh-CN"/>
        </w:rPr>
        <w:t xml:space="preserve">  </w:t>
      </w:r>
    </w:p>
    <w:p>
      <w:pPr>
        <w:pStyle w:val="18"/>
        <w:keepNext w:val="0"/>
        <w:keepLines w:val="0"/>
        <w:pageBreakBefore w:val="0"/>
        <w:widowControl w:val="0"/>
        <w:tabs>
          <w:tab w:val="center" w:pos="4153"/>
          <w:tab w:val="left" w:pos="7275"/>
        </w:tabs>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方正楷体_GBK" w:cs="方正楷体_GBK"/>
          <w:b w:val="0"/>
          <w:bCs w:val="0"/>
          <w:color w:val="auto"/>
          <w:kern w:val="0"/>
          <w:sz w:val="32"/>
          <w:szCs w:val="32"/>
          <w:lang w:eastAsia="zh-CN"/>
        </w:rPr>
      </w:pPr>
      <w:r>
        <w:rPr>
          <w:rFonts w:hint="eastAsia" w:ascii="Times New Roman" w:hAnsi="Times New Roman" w:eastAsia="方正楷体_GBK" w:cs="方正楷体_GBK"/>
          <w:b w:val="0"/>
          <w:bCs w:val="0"/>
          <w:color w:val="auto"/>
          <w:kern w:val="0"/>
          <w:sz w:val="32"/>
          <w:szCs w:val="32"/>
        </w:rPr>
        <w:t>（</w:t>
      </w:r>
      <w:r>
        <w:rPr>
          <w:rFonts w:hint="eastAsia" w:ascii="Times New Roman" w:hAnsi="Times New Roman" w:eastAsia="方正楷体_GBK" w:cs="方正楷体_GBK"/>
          <w:b w:val="0"/>
          <w:bCs w:val="0"/>
          <w:color w:val="auto"/>
          <w:kern w:val="0"/>
          <w:sz w:val="32"/>
          <w:szCs w:val="32"/>
          <w:lang w:eastAsia="zh-CN"/>
        </w:rPr>
        <w:t>二</w:t>
      </w:r>
      <w:r>
        <w:rPr>
          <w:rFonts w:hint="eastAsia" w:ascii="Times New Roman" w:hAnsi="Times New Roman" w:eastAsia="方正楷体_GBK" w:cs="方正楷体_GBK"/>
          <w:b w:val="0"/>
          <w:bCs w:val="0"/>
          <w:color w:val="auto"/>
          <w:kern w:val="0"/>
          <w:sz w:val="32"/>
          <w:szCs w:val="32"/>
        </w:rPr>
        <w:t>）</w:t>
      </w:r>
      <w:r>
        <w:rPr>
          <w:rFonts w:hint="eastAsia" w:ascii="Times New Roman" w:hAnsi="Times New Roman" w:eastAsia="方正楷体_GBK" w:cs="方正楷体_GBK"/>
          <w:b w:val="0"/>
          <w:bCs w:val="0"/>
          <w:color w:val="auto"/>
          <w:kern w:val="0"/>
          <w:sz w:val="32"/>
          <w:szCs w:val="32"/>
          <w:lang w:eastAsia="zh-CN"/>
        </w:rPr>
        <w:t>绩效自评结果</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720" w:firstLineChars="200"/>
        <w:jc w:val="both"/>
        <w:textAlignment w:val="center"/>
        <w:rPr>
          <w:rFonts w:hint="default" w:ascii="Times New Roman" w:hAnsi="Times New Roman" w:eastAsia="方正小标宋_GBK" w:cs="Times New Roman"/>
          <w:b w:val="0"/>
          <w:bCs w:val="0"/>
          <w:color w:val="auto"/>
          <w:kern w:val="0"/>
          <w:sz w:val="36"/>
          <w:szCs w:val="36"/>
          <w:lang w:bidi="ar"/>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720" w:firstLineChars="200"/>
        <w:jc w:val="center"/>
        <w:textAlignment w:val="center"/>
        <w:rPr>
          <w:rFonts w:hint="default" w:ascii="Times New Roman" w:hAnsi="Times New Roman" w:eastAsia="方正小标宋_GBK" w:cs="Times New Roman"/>
          <w:b w:val="0"/>
          <w:bCs w:val="0"/>
          <w:color w:val="auto"/>
          <w:kern w:val="0"/>
          <w:sz w:val="36"/>
          <w:szCs w:val="36"/>
          <w:lang w:bidi="ar"/>
        </w:rPr>
        <w:sectPr>
          <w:footerReference r:id="rId3" w:type="default"/>
          <w:pgSz w:w="11915" w:h="16840"/>
          <w:pgMar w:top="2098" w:right="1531" w:bottom="1984" w:left="1531" w:header="851" w:footer="1304" w:gutter="0"/>
          <w:pgNumType w:fmt="decimal"/>
          <w:cols w:space="720" w:num="1"/>
          <w:docGrid w:type="lines" w:linePitch="312" w:charSpace="0"/>
        </w:sectPr>
      </w:pPr>
    </w:p>
    <w:tbl>
      <w:tblPr>
        <w:tblStyle w:val="9"/>
        <w:tblW w:w="4996" w:type="pct"/>
        <w:tblInd w:w="0" w:type="dxa"/>
        <w:tblLayout w:type="fixed"/>
        <w:tblCellMar>
          <w:top w:w="0" w:type="dxa"/>
          <w:left w:w="108" w:type="dxa"/>
          <w:bottom w:w="0" w:type="dxa"/>
          <w:right w:w="108" w:type="dxa"/>
        </w:tblCellMar>
      </w:tblPr>
      <w:tblGrid>
        <w:gridCol w:w="1149"/>
        <w:gridCol w:w="4695"/>
        <w:gridCol w:w="1623"/>
        <w:gridCol w:w="1041"/>
        <w:gridCol w:w="636"/>
        <w:gridCol w:w="835"/>
        <w:gridCol w:w="1038"/>
        <w:gridCol w:w="758"/>
        <w:gridCol w:w="1641"/>
        <w:gridCol w:w="1498"/>
      </w:tblGrid>
      <w:tr>
        <w:tblPrEx>
          <w:tblCellMar>
            <w:top w:w="0" w:type="dxa"/>
            <w:left w:w="108" w:type="dxa"/>
            <w:bottom w:w="0" w:type="dxa"/>
            <w:right w:w="108" w:type="dxa"/>
          </w:tblCellMar>
        </w:tblPrEx>
        <w:trPr>
          <w:trHeight w:val="552" w:hRule="atLeast"/>
        </w:trPr>
        <w:tc>
          <w:tcPr>
            <w:tcW w:w="5000" w:type="pct"/>
            <w:gridSpan w:val="10"/>
            <w:tcBorders>
              <w:top w:val="nil"/>
              <w:left w:val="nil"/>
              <w:bottom w:val="nil"/>
              <w:right w:val="nil"/>
            </w:tcBorders>
            <w:noWrap w:val="0"/>
            <w:vAlign w:val="center"/>
          </w:tcPr>
          <w:p>
            <w:pPr>
              <w:keepNext w:val="0"/>
              <w:keepLines w:val="0"/>
              <w:pageBreakBefore w:val="0"/>
              <w:widowControl w:val="0"/>
              <w:kinsoku/>
              <w:overflowPunct/>
              <w:topLinePunct w:val="0"/>
              <w:autoSpaceDN/>
              <w:bidi w:val="0"/>
              <w:adjustRightInd/>
              <w:spacing w:beforeAutospacing="0" w:afterAutospacing="0"/>
              <w:jc w:val="both"/>
              <w:textAlignment w:val="center"/>
              <w:rPr>
                <w:rFonts w:hint="default" w:ascii="Times New Roman" w:hAnsi="Times New Roman" w:eastAsia="方正小标宋_GBK" w:cs="Times New Roman"/>
                <w:b w:val="0"/>
                <w:bCs w:val="0"/>
                <w:color w:val="auto"/>
                <w:kern w:val="0"/>
                <w:sz w:val="36"/>
                <w:szCs w:val="36"/>
                <w:lang w:bidi="ar"/>
              </w:rPr>
            </w:pPr>
          </w:p>
          <w:p>
            <w:pPr>
              <w:keepNext w:val="0"/>
              <w:keepLines w:val="0"/>
              <w:pageBreakBefore w:val="0"/>
              <w:widowControl w:val="0"/>
              <w:kinsoku/>
              <w:overflowPunct/>
              <w:topLinePunct w:val="0"/>
              <w:autoSpaceDN/>
              <w:bidi w:val="0"/>
              <w:adjustRightInd/>
              <w:spacing w:beforeAutospacing="0" w:afterAutospacing="0"/>
              <w:jc w:val="center"/>
              <w:textAlignment w:val="center"/>
              <w:rPr>
                <w:rFonts w:hint="default" w:ascii="Times New Roman" w:hAnsi="Times New Roman" w:eastAsia="方正小标宋_GBK" w:cs="Times New Roman"/>
                <w:b w:val="0"/>
                <w:bCs w:val="0"/>
                <w:color w:val="auto"/>
                <w:sz w:val="36"/>
                <w:szCs w:val="36"/>
              </w:rPr>
            </w:pPr>
            <w:r>
              <w:rPr>
                <w:rFonts w:hint="default" w:ascii="Times New Roman" w:hAnsi="Times New Roman" w:eastAsia="方正小标宋_GBK" w:cs="Times New Roman"/>
                <w:b w:val="0"/>
                <w:bCs w:val="0"/>
                <w:color w:val="auto"/>
                <w:kern w:val="0"/>
                <w:sz w:val="36"/>
                <w:szCs w:val="36"/>
                <w:lang w:val="en-US" w:eastAsia="zh-CN" w:bidi="ar"/>
              </w:rPr>
              <w:t>重庆市万州区发展和改革委员会</w:t>
            </w:r>
            <w:r>
              <w:rPr>
                <w:rFonts w:hint="default" w:ascii="Times New Roman" w:hAnsi="Times New Roman" w:eastAsia="方正小标宋_GBK" w:cs="Times New Roman"/>
                <w:b w:val="0"/>
                <w:bCs w:val="0"/>
                <w:color w:val="auto"/>
                <w:kern w:val="0"/>
                <w:sz w:val="36"/>
                <w:szCs w:val="36"/>
                <w:lang w:bidi="ar"/>
              </w:rPr>
              <w:t>202</w:t>
            </w:r>
            <w:r>
              <w:rPr>
                <w:rFonts w:hint="default" w:ascii="Times New Roman" w:hAnsi="Times New Roman" w:eastAsia="方正小标宋_GBK" w:cs="Times New Roman"/>
                <w:b w:val="0"/>
                <w:bCs w:val="0"/>
                <w:color w:val="auto"/>
                <w:kern w:val="0"/>
                <w:sz w:val="36"/>
                <w:szCs w:val="36"/>
                <w:lang w:val="en-US" w:eastAsia="zh-CN" w:bidi="ar"/>
              </w:rPr>
              <w:t>3</w:t>
            </w:r>
            <w:r>
              <w:rPr>
                <w:rFonts w:hint="default" w:ascii="Times New Roman" w:hAnsi="Times New Roman" w:eastAsia="方正小标宋_GBK" w:cs="Times New Roman"/>
                <w:b w:val="0"/>
                <w:bCs w:val="0"/>
                <w:color w:val="auto"/>
                <w:kern w:val="0"/>
                <w:sz w:val="36"/>
                <w:szCs w:val="36"/>
                <w:lang w:bidi="ar"/>
              </w:rPr>
              <w:t>年度部门整体绩效自评表</w:t>
            </w:r>
          </w:p>
        </w:tc>
      </w:tr>
      <w:tr>
        <w:tblPrEx>
          <w:tblCellMar>
            <w:top w:w="0" w:type="dxa"/>
            <w:left w:w="108" w:type="dxa"/>
            <w:bottom w:w="0" w:type="dxa"/>
            <w:right w:w="108" w:type="dxa"/>
          </w:tblCellMar>
        </w:tblPrEx>
        <w:trPr>
          <w:trHeight w:val="600" w:hRule="atLeast"/>
        </w:trPr>
        <w:tc>
          <w:tcPr>
            <w:tcW w:w="3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jc w:val="center"/>
              <w:textAlignment w:val="center"/>
              <w:rPr>
                <w:rFonts w:hint="default" w:ascii="Times New Roman" w:hAnsi="Times New Roman" w:eastAsia="方正黑体_GBK" w:cs="Times New Roman"/>
                <w:b w:val="0"/>
                <w:bCs w:val="0"/>
                <w:color w:val="auto"/>
                <w:sz w:val="18"/>
                <w:szCs w:val="18"/>
              </w:rPr>
            </w:pPr>
            <w:r>
              <w:rPr>
                <w:rFonts w:hint="default" w:ascii="Times New Roman" w:hAnsi="Times New Roman" w:eastAsia="方正黑体_GBK" w:cs="Times New Roman"/>
                <w:b w:val="0"/>
                <w:bCs w:val="0"/>
                <w:color w:val="auto"/>
                <w:kern w:val="0"/>
                <w:sz w:val="18"/>
                <w:szCs w:val="18"/>
                <w:lang w:bidi="ar"/>
              </w:rPr>
              <w:t>主管部门</w:t>
            </w:r>
          </w:p>
        </w:tc>
        <w:tc>
          <w:tcPr>
            <w:tcW w:w="15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rPr>
                <w:rFonts w:hint="default" w:ascii="Times New Roman" w:hAnsi="Times New Roman" w:eastAsia="方正仿宋_GBK" w:cs="Times New Roman"/>
                <w:b w:val="0"/>
                <w:bCs w:val="0"/>
                <w:color w:val="auto"/>
                <w:sz w:val="18"/>
                <w:szCs w:val="18"/>
              </w:rPr>
            </w:pPr>
            <w:r>
              <w:rPr>
                <w:rFonts w:hint="eastAsia" w:ascii="Times New Roman" w:hAnsi="Times New Roman" w:eastAsia="方正楷体_GBK" w:cs="方正楷体_GBK"/>
                <w:b w:val="0"/>
                <w:bCs w:val="0"/>
                <w:color w:val="auto"/>
                <w:sz w:val="18"/>
                <w:szCs w:val="18"/>
                <w:lang w:val="en-US" w:eastAsia="zh-CN"/>
              </w:rPr>
              <w:t>重庆市万州区发展和改革委员会</w:t>
            </w:r>
          </w:p>
        </w:tc>
        <w:tc>
          <w:tcPr>
            <w:tcW w:w="5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jc w:val="center"/>
              <w:textAlignment w:val="center"/>
              <w:rPr>
                <w:rFonts w:hint="default" w:ascii="Times New Roman" w:hAnsi="Times New Roman" w:eastAsia="方正仿宋_GBK" w:cs="Times New Roman"/>
                <w:b w:val="0"/>
                <w:bCs w:val="0"/>
                <w:color w:val="auto"/>
                <w:sz w:val="18"/>
                <w:szCs w:val="18"/>
              </w:rPr>
            </w:pPr>
            <w:r>
              <w:rPr>
                <w:rFonts w:hint="default" w:ascii="Times New Roman" w:hAnsi="Times New Roman" w:eastAsia="方正黑体_GBK" w:cs="Times New Roman"/>
                <w:b w:val="0"/>
                <w:bCs w:val="0"/>
                <w:color w:val="auto"/>
                <w:kern w:val="0"/>
                <w:sz w:val="18"/>
                <w:szCs w:val="18"/>
                <w:lang w:bidi="ar"/>
              </w:rPr>
              <w:t>部门</w:t>
            </w:r>
            <w:r>
              <w:rPr>
                <w:rFonts w:hint="default" w:ascii="Times New Roman" w:hAnsi="Times New Roman" w:eastAsia="方正黑体_GBK" w:cs="Times New Roman"/>
                <w:b w:val="0"/>
                <w:bCs w:val="0"/>
                <w:color w:val="auto"/>
                <w:kern w:val="0"/>
                <w:sz w:val="18"/>
                <w:szCs w:val="18"/>
                <w:lang w:bidi="ar"/>
              </w:rPr>
              <w:br w:type="textWrapping"/>
            </w:r>
            <w:r>
              <w:rPr>
                <w:rFonts w:hint="default" w:ascii="Times New Roman" w:hAnsi="Times New Roman" w:eastAsia="方正黑体_GBK" w:cs="Times New Roman"/>
                <w:b w:val="0"/>
                <w:bCs w:val="0"/>
                <w:color w:val="auto"/>
                <w:kern w:val="0"/>
                <w:sz w:val="18"/>
                <w:szCs w:val="18"/>
                <w:lang w:bidi="ar"/>
              </w:rPr>
              <w:t>联系人</w:t>
            </w:r>
          </w:p>
        </w:tc>
        <w:tc>
          <w:tcPr>
            <w:tcW w:w="562"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eastAsia="方正楷体_GBK" w:cs="Times New Roman"/>
                <w:b w:val="0"/>
                <w:bCs w:val="0"/>
                <w:color w:val="auto"/>
                <w:sz w:val="20"/>
                <w:szCs w:val="20"/>
              </w:rPr>
            </w:pPr>
            <w:r>
              <w:rPr>
                <w:rFonts w:hint="default" w:ascii="Times New Roman" w:hAnsi="Times New Roman" w:eastAsia="方正楷体_GBK" w:cs="Times New Roman"/>
                <w:b w:val="0"/>
                <w:bCs w:val="0"/>
                <w:color w:val="auto"/>
                <w:sz w:val="20"/>
                <w:szCs w:val="20"/>
                <w:lang w:val="en-US" w:eastAsia="zh-CN"/>
              </w:rPr>
              <w:t>汤丹</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jc w:val="center"/>
              <w:textAlignment w:val="center"/>
              <w:rPr>
                <w:rFonts w:hint="default" w:ascii="Times New Roman" w:hAnsi="Times New Roman" w:eastAsia="方正楷体_GBK" w:cs="Times New Roman"/>
                <w:b w:val="0"/>
                <w:bCs w:val="0"/>
                <w:color w:val="auto"/>
                <w:sz w:val="18"/>
                <w:szCs w:val="18"/>
              </w:rPr>
            </w:pPr>
            <w:r>
              <w:rPr>
                <w:rFonts w:hint="default" w:ascii="Times New Roman" w:hAnsi="Times New Roman" w:eastAsia="方正黑体_GBK" w:cs="Times New Roman"/>
                <w:b w:val="0"/>
                <w:bCs w:val="0"/>
                <w:color w:val="auto"/>
                <w:kern w:val="0"/>
                <w:sz w:val="18"/>
                <w:szCs w:val="18"/>
                <w:lang w:bidi="ar"/>
              </w:rPr>
              <w:t>联系电话</w:t>
            </w:r>
          </w:p>
        </w:tc>
        <w:tc>
          <w:tcPr>
            <w:tcW w:w="602"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eastAsia="方正楷体_GBK" w:cs="Times New Roman"/>
                <w:b w:val="0"/>
                <w:bCs w:val="0"/>
                <w:color w:val="auto"/>
                <w:sz w:val="20"/>
                <w:szCs w:val="20"/>
              </w:rPr>
            </w:pPr>
            <w:r>
              <w:rPr>
                <w:rFonts w:hint="default" w:ascii="Times New Roman" w:hAnsi="Times New Roman" w:eastAsia="方正楷体_GBK" w:cs="Times New Roman"/>
                <w:b w:val="0"/>
                <w:bCs w:val="0"/>
                <w:color w:val="auto"/>
                <w:sz w:val="20"/>
                <w:szCs w:val="20"/>
                <w:lang w:val="en-US" w:eastAsia="zh-CN"/>
              </w:rPr>
              <w:t>58258133</w:t>
            </w:r>
          </w:p>
        </w:tc>
        <w:tc>
          <w:tcPr>
            <w:tcW w:w="5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jc w:val="center"/>
              <w:textAlignment w:val="center"/>
              <w:rPr>
                <w:rFonts w:hint="default" w:ascii="Times New Roman" w:hAnsi="Times New Roman" w:eastAsia="方正楷体_GBK" w:cs="Times New Roman"/>
                <w:b w:val="0"/>
                <w:bCs w:val="0"/>
                <w:color w:val="auto"/>
                <w:sz w:val="18"/>
                <w:szCs w:val="18"/>
              </w:rPr>
            </w:pPr>
            <w:r>
              <w:rPr>
                <w:rFonts w:hint="default" w:ascii="Times New Roman" w:hAnsi="Times New Roman" w:eastAsia="方正黑体_GBK" w:cs="Times New Roman"/>
                <w:b w:val="0"/>
                <w:bCs w:val="0"/>
                <w:color w:val="auto"/>
                <w:kern w:val="0"/>
                <w:sz w:val="18"/>
                <w:szCs w:val="18"/>
                <w:lang w:bidi="ar"/>
              </w:rPr>
              <w:t>自评总分</w:t>
            </w:r>
            <w:r>
              <w:rPr>
                <w:rFonts w:hint="default" w:ascii="Times New Roman" w:hAnsi="Times New Roman" w:eastAsia="方正黑体_GBK" w:cs="Times New Roman"/>
                <w:b w:val="0"/>
                <w:bCs w:val="0"/>
                <w:color w:val="auto"/>
                <w:kern w:val="0"/>
                <w:sz w:val="18"/>
                <w:szCs w:val="18"/>
                <w:lang w:bidi="ar"/>
              </w:rPr>
              <w:br w:type="textWrapping"/>
            </w:r>
            <w:r>
              <w:rPr>
                <w:rFonts w:hint="default" w:ascii="Times New Roman" w:hAnsi="Times New Roman" w:eastAsia="方正黑体_GBK" w:cs="Times New Roman"/>
                <w:b w:val="0"/>
                <w:bCs w:val="0"/>
                <w:color w:val="auto"/>
                <w:kern w:val="0"/>
                <w:sz w:val="18"/>
                <w:szCs w:val="18"/>
                <w:lang w:bidi="ar"/>
              </w:rPr>
              <w:t>（分）</w:t>
            </w:r>
          </w:p>
        </w:tc>
        <w:tc>
          <w:tcPr>
            <w:tcW w:w="5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eastAsia="方正楷体_GBK" w:cs="Times New Roman"/>
                <w:b w:val="0"/>
                <w:bCs w:val="0"/>
                <w:color w:val="auto"/>
                <w:sz w:val="20"/>
                <w:szCs w:val="20"/>
              </w:rPr>
            </w:pPr>
            <w:r>
              <w:rPr>
                <w:rFonts w:hint="default" w:ascii="Times New Roman" w:hAnsi="Times New Roman" w:eastAsia="方正楷体_GBK" w:cs="Times New Roman"/>
                <w:b w:val="0"/>
                <w:bCs w:val="0"/>
                <w:color w:val="auto"/>
                <w:sz w:val="20"/>
                <w:szCs w:val="20"/>
                <w:lang w:val="en-US" w:eastAsia="zh-CN"/>
              </w:rPr>
              <w:t>99.6</w:t>
            </w:r>
          </w:p>
        </w:tc>
      </w:tr>
      <w:tr>
        <w:tblPrEx>
          <w:tblCellMar>
            <w:top w:w="0" w:type="dxa"/>
            <w:left w:w="108" w:type="dxa"/>
            <w:bottom w:w="0" w:type="dxa"/>
            <w:right w:w="108" w:type="dxa"/>
          </w:tblCellMar>
        </w:tblPrEx>
        <w:trPr>
          <w:trHeight w:val="450" w:hRule="atLeast"/>
        </w:trPr>
        <w:tc>
          <w:tcPr>
            <w:tcW w:w="38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jc w:val="center"/>
              <w:textAlignment w:val="center"/>
              <w:rPr>
                <w:rFonts w:hint="default" w:ascii="Times New Roman" w:hAnsi="Times New Roman" w:eastAsia="方正黑体_GBK" w:cs="Times New Roman"/>
                <w:b w:val="0"/>
                <w:bCs w:val="0"/>
                <w:color w:val="auto"/>
                <w:sz w:val="18"/>
                <w:szCs w:val="18"/>
              </w:rPr>
            </w:pPr>
            <w:r>
              <w:rPr>
                <w:rFonts w:hint="default" w:ascii="Times New Roman" w:hAnsi="Times New Roman" w:eastAsia="方正黑体_GBK" w:cs="Times New Roman"/>
                <w:b w:val="0"/>
                <w:bCs w:val="0"/>
                <w:color w:val="auto"/>
                <w:kern w:val="0"/>
                <w:sz w:val="18"/>
                <w:szCs w:val="18"/>
                <w:lang w:bidi="ar"/>
              </w:rPr>
              <w:t>当年绩效</w:t>
            </w:r>
            <w:r>
              <w:rPr>
                <w:rFonts w:hint="default" w:ascii="Times New Roman" w:hAnsi="Times New Roman" w:eastAsia="方正黑体_GBK" w:cs="Times New Roman"/>
                <w:b w:val="0"/>
                <w:bCs w:val="0"/>
                <w:color w:val="auto"/>
                <w:kern w:val="0"/>
                <w:sz w:val="18"/>
                <w:szCs w:val="18"/>
                <w:lang w:bidi="ar"/>
              </w:rPr>
              <w:br w:type="textWrapping"/>
            </w:r>
            <w:r>
              <w:rPr>
                <w:rFonts w:hint="default" w:ascii="Times New Roman" w:hAnsi="Times New Roman" w:eastAsia="方正黑体_GBK" w:cs="Times New Roman"/>
                <w:b w:val="0"/>
                <w:bCs w:val="0"/>
                <w:color w:val="auto"/>
                <w:kern w:val="0"/>
                <w:sz w:val="18"/>
                <w:szCs w:val="18"/>
                <w:lang w:bidi="ar"/>
              </w:rPr>
              <w:t>目标</w:t>
            </w:r>
          </w:p>
        </w:tc>
        <w:tc>
          <w:tcPr>
            <w:tcW w:w="211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jc w:val="center"/>
              <w:textAlignment w:val="center"/>
              <w:rPr>
                <w:rFonts w:hint="default" w:ascii="Times New Roman" w:hAnsi="Times New Roman" w:eastAsia="方正黑体_GBK" w:cs="Times New Roman"/>
                <w:b w:val="0"/>
                <w:bCs w:val="0"/>
                <w:color w:val="auto"/>
                <w:sz w:val="18"/>
                <w:szCs w:val="18"/>
              </w:rPr>
            </w:pPr>
            <w:r>
              <w:rPr>
                <w:rFonts w:hint="default" w:ascii="Times New Roman" w:hAnsi="Times New Roman" w:eastAsia="方正黑体_GBK" w:cs="Times New Roman"/>
                <w:b w:val="0"/>
                <w:bCs w:val="0"/>
                <w:color w:val="auto"/>
                <w:kern w:val="0"/>
                <w:sz w:val="18"/>
                <w:szCs w:val="18"/>
                <w:lang w:bidi="ar"/>
              </w:rPr>
              <w:t>年初绩效目标</w:t>
            </w:r>
          </w:p>
        </w:tc>
        <w:tc>
          <w:tcPr>
            <w:tcW w:w="842"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jc w:val="center"/>
              <w:textAlignment w:val="center"/>
              <w:rPr>
                <w:rFonts w:hint="default" w:ascii="Times New Roman" w:hAnsi="Times New Roman" w:eastAsia="方正黑体_GBK" w:cs="Times New Roman"/>
                <w:b w:val="0"/>
                <w:bCs w:val="0"/>
                <w:color w:val="auto"/>
                <w:sz w:val="18"/>
                <w:szCs w:val="18"/>
              </w:rPr>
            </w:pPr>
            <w:r>
              <w:rPr>
                <w:rFonts w:hint="default" w:ascii="Times New Roman" w:hAnsi="Times New Roman" w:eastAsia="方正黑体_GBK" w:cs="Times New Roman"/>
                <w:b w:val="0"/>
                <w:bCs w:val="0"/>
                <w:color w:val="auto"/>
                <w:kern w:val="0"/>
                <w:sz w:val="18"/>
                <w:szCs w:val="18"/>
                <w:lang w:bidi="ar"/>
              </w:rPr>
              <w:t>全年（调整）绩效目标</w:t>
            </w:r>
          </w:p>
        </w:tc>
        <w:tc>
          <w:tcPr>
            <w:tcW w:w="1654"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jc w:val="center"/>
              <w:textAlignment w:val="center"/>
              <w:rPr>
                <w:rFonts w:hint="default" w:ascii="Times New Roman" w:hAnsi="Times New Roman" w:eastAsia="方正黑体_GBK" w:cs="Times New Roman"/>
                <w:b w:val="0"/>
                <w:bCs w:val="0"/>
                <w:color w:val="auto"/>
                <w:sz w:val="18"/>
                <w:szCs w:val="18"/>
              </w:rPr>
            </w:pPr>
            <w:r>
              <w:rPr>
                <w:rFonts w:hint="default" w:ascii="Times New Roman" w:hAnsi="Times New Roman" w:eastAsia="方正黑体_GBK" w:cs="Times New Roman"/>
                <w:b w:val="0"/>
                <w:bCs w:val="0"/>
                <w:color w:val="auto"/>
                <w:kern w:val="0"/>
                <w:sz w:val="18"/>
                <w:szCs w:val="18"/>
                <w:lang w:bidi="ar"/>
              </w:rPr>
              <w:t>全年目标实际完成情况</w:t>
            </w:r>
          </w:p>
        </w:tc>
      </w:tr>
      <w:tr>
        <w:tblPrEx>
          <w:tblCellMar>
            <w:top w:w="0" w:type="dxa"/>
            <w:left w:w="108" w:type="dxa"/>
            <w:bottom w:w="0" w:type="dxa"/>
            <w:right w:w="108" w:type="dxa"/>
          </w:tblCellMar>
        </w:tblPrEx>
        <w:trPr>
          <w:trHeight w:val="7856" w:hRule="atLeast"/>
        </w:trPr>
        <w:tc>
          <w:tcPr>
            <w:tcW w:w="38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eastAsia="方正仿宋_GBK" w:cs="Times New Roman"/>
                <w:b w:val="0"/>
                <w:bCs w:val="0"/>
                <w:color w:val="auto"/>
                <w:sz w:val="18"/>
                <w:szCs w:val="18"/>
              </w:rPr>
            </w:pPr>
          </w:p>
        </w:tc>
        <w:tc>
          <w:tcPr>
            <w:tcW w:w="211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jc w:val="left"/>
              <w:rPr>
                <w:rFonts w:hint="default" w:ascii="Times New Roman" w:hAnsi="Times New Roman" w:eastAsia="方正仿宋_GBK" w:cs="Times New Roman"/>
                <w:b w:val="0"/>
                <w:bCs w:val="0"/>
                <w:color w:val="auto"/>
                <w:sz w:val="18"/>
                <w:szCs w:val="18"/>
              </w:rPr>
            </w:pPr>
            <w:r>
              <w:rPr>
                <w:rFonts w:hint="eastAsia" w:ascii="Times New Roman" w:hAnsi="Times New Roman" w:eastAsia="方正楷体_GBK" w:cs="方正楷体_GBK"/>
                <w:b w:val="0"/>
                <w:bCs w:val="0"/>
                <w:color w:val="auto"/>
                <w:sz w:val="18"/>
                <w:szCs w:val="18"/>
              </w:rPr>
              <w:t>按照区委区政府统一部署，统筹抓好疫情防控和经济社会发展，做好“六稳”工作，落实“六保”任务，推动全区经济继续保持稳中向好势头。实施重大战略规划成效明显，推进一批重大项目取得重要进展，制定务实有效政策举措，统筹区域协调发展。进一步加快融入成渝地区双城经济圈建设，牵头带动万达开川渝统筹发展示范区建设，引领驱动万开云同城化发展，示范推动“一区两群”对口协同发展。</w:t>
            </w:r>
          </w:p>
        </w:tc>
        <w:tc>
          <w:tcPr>
            <w:tcW w:w="842"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eastAsia="方正仿宋_GBK" w:cs="Times New Roman"/>
                <w:b w:val="0"/>
                <w:bCs w:val="0"/>
                <w:color w:val="auto"/>
                <w:sz w:val="18"/>
                <w:szCs w:val="18"/>
              </w:rPr>
            </w:pPr>
          </w:p>
        </w:tc>
        <w:tc>
          <w:tcPr>
            <w:tcW w:w="1654"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jc w:val="left"/>
              <w:rPr>
                <w:rFonts w:hint="default" w:ascii="Times New Roman" w:hAnsi="Times New Roman" w:eastAsia="方正仿宋_GBK" w:cs="Times New Roman"/>
                <w:b w:val="0"/>
                <w:bCs w:val="0"/>
                <w:color w:val="auto"/>
                <w:sz w:val="18"/>
                <w:szCs w:val="18"/>
              </w:rPr>
            </w:pPr>
            <w:r>
              <w:rPr>
                <w:rFonts w:hint="eastAsia" w:ascii="Times New Roman" w:hAnsi="Times New Roman" w:eastAsia="方正楷体_GBK" w:cs="方正楷体_GBK"/>
                <w:b w:val="0"/>
                <w:bCs w:val="0"/>
                <w:color w:val="auto"/>
                <w:sz w:val="18"/>
                <w:szCs w:val="18"/>
              </w:rPr>
              <w:t>一是推动经济运行稳中向好</w:t>
            </w:r>
            <w:r>
              <w:rPr>
                <w:rFonts w:hint="eastAsia" w:ascii="Times New Roman" w:hAnsi="Times New Roman" w:eastAsia="方正楷体_GBK" w:cs="方正楷体_GBK"/>
                <w:b w:val="0"/>
                <w:bCs w:val="0"/>
                <w:color w:val="auto"/>
                <w:sz w:val="18"/>
                <w:szCs w:val="18"/>
                <w:lang w:eastAsia="zh-CN"/>
              </w:rPr>
              <w:t>，</w:t>
            </w:r>
            <w:r>
              <w:rPr>
                <w:rFonts w:hint="eastAsia" w:ascii="Times New Roman" w:hAnsi="Times New Roman" w:eastAsia="方正楷体_GBK" w:cs="方正楷体_GBK"/>
                <w:b w:val="0"/>
                <w:bCs w:val="0"/>
                <w:color w:val="auto"/>
                <w:sz w:val="18"/>
                <w:szCs w:val="18"/>
                <w:lang w:val="en-US" w:eastAsia="zh-CN"/>
              </w:rPr>
              <w:t>2023年全区地区生产总值1179.4亿元，增长6.9%，</w:t>
            </w:r>
            <w:r>
              <w:rPr>
                <w:rFonts w:hint="eastAsia" w:ascii="Times New Roman" w:hAnsi="Times New Roman" w:eastAsia="方正楷体_GBK" w:cs="方正楷体_GBK"/>
                <w:b w:val="0"/>
                <w:bCs w:val="0"/>
                <w:color w:val="auto"/>
                <w:sz w:val="18"/>
                <w:szCs w:val="18"/>
              </w:rPr>
              <w:t>增速</w:t>
            </w:r>
            <w:r>
              <w:rPr>
                <w:rFonts w:hint="eastAsia" w:ascii="Times New Roman" w:hAnsi="Times New Roman" w:eastAsia="方正楷体_GBK" w:cs="方正楷体_GBK"/>
                <w:b w:val="0"/>
                <w:bCs w:val="0"/>
                <w:color w:val="auto"/>
                <w:sz w:val="18"/>
                <w:szCs w:val="18"/>
                <w:lang w:val="en-US" w:eastAsia="zh-CN"/>
              </w:rPr>
              <w:t>回归全市前10、渝东北第1</w:t>
            </w:r>
            <w:r>
              <w:rPr>
                <w:rFonts w:hint="eastAsia" w:ascii="Times New Roman" w:hAnsi="Times New Roman" w:eastAsia="方正楷体_GBK" w:cs="方正楷体_GBK"/>
                <w:b w:val="0"/>
                <w:bCs w:val="0"/>
                <w:color w:val="auto"/>
                <w:sz w:val="18"/>
                <w:szCs w:val="18"/>
              </w:rPr>
              <w:t>。二是深入开展项目策划研究，建立五类项目库，储备各类项目400余个。三是全力争取上级支持，争取中央预算内资金</w:t>
            </w:r>
            <w:r>
              <w:rPr>
                <w:rFonts w:hint="eastAsia" w:ascii="Times New Roman" w:hAnsi="Times New Roman" w:eastAsia="方正楷体_GBK" w:cs="方正楷体_GBK"/>
                <w:b w:val="0"/>
                <w:bCs w:val="0"/>
                <w:color w:val="auto"/>
                <w:sz w:val="18"/>
                <w:szCs w:val="18"/>
                <w:lang w:eastAsia="zh-CN"/>
              </w:rPr>
              <w:t>、</w:t>
            </w:r>
            <w:r>
              <w:rPr>
                <w:rFonts w:hint="eastAsia" w:ascii="Times New Roman" w:hAnsi="Times New Roman" w:eastAsia="方正楷体_GBK" w:cs="方正楷体_GBK"/>
                <w:b w:val="0"/>
                <w:bCs w:val="0"/>
                <w:color w:val="auto"/>
                <w:sz w:val="18"/>
                <w:szCs w:val="18"/>
                <w:lang w:val="en-US" w:eastAsia="zh-CN"/>
              </w:rPr>
              <w:t>国债资金</w:t>
            </w:r>
            <w:r>
              <w:rPr>
                <w:rFonts w:hint="eastAsia" w:ascii="Times New Roman" w:hAnsi="Times New Roman" w:eastAsia="方正楷体_GBK" w:cs="方正楷体_GBK"/>
                <w:b w:val="0"/>
                <w:bCs w:val="0"/>
                <w:color w:val="auto"/>
                <w:sz w:val="18"/>
                <w:szCs w:val="18"/>
              </w:rPr>
              <w:t>和市级专项资金</w:t>
            </w:r>
            <w:r>
              <w:rPr>
                <w:rFonts w:hint="eastAsia" w:ascii="Times New Roman" w:hAnsi="Times New Roman" w:eastAsia="方正楷体_GBK" w:cs="方正楷体_GBK"/>
                <w:b w:val="0"/>
                <w:bCs w:val="0"/>
                <w:color w:val="auto"/>
                <w:sz w:val="18"/>
                <w:szCs w:val="18"/>
                <w:lang w:val="en-US" w:eastAsia="zh-CN"/>
              </w:rPr>
              <w:t>13.92</w:t>
            </w:r>
            <w:r>
              <w:rPr>
                <w:rFonts w:hint="eastAsia" w:ascii="Times New Roman" w:hAnsi="Times New Roman" w:eastAsia="方正楷体_GBK" w:cs="方正楷体_GBK"/>
                <w:b w:val="0"/>
                <w:bCs w:val="0"/>
                <w:color w:val="auto"/>
                <w:sz w:val="18"/>
                <w:szCs w:val="18"/>
              </w:rPr>
              <w:t>亿元，</w:t>
            </w:r>
            <w:r>
              <w:rPr>
                <w:rFonts w:hint="eastAsia" w:ascii="Times New Roman" w:hAnsi="Times New Roman" w:eastAsia="方正楷体_GBK" w:cs="方正楷体_GBK"/>
                <w:b w:val="0"/>
                <w:bCs w:val="0"/>
                <w:color w:val="auto"/>
                <w:sz w:val="18"/>
                <w:szCs w:val="18"/>
                <w:lang w:val="en-US" w:eastAsia="zh-CN"/>
              </w:rPr>
              <w:t>增长65.5%。</w:t>
            </w:r>
            <w:r>
              <w:rPr>
                <w:rFonts w:hint="eastAsia" w:ascii="Times New Roman" w:hAnsi="Times New Roman" w:eastAsia="方正楷体_GBK" w:cs="方正楷体_GBK"/>
                <w:b w:val="0"/>
                <w:bCs w:val="0"/>
                <w:color w:val="auto"/>
                <w:sz w:val="18"/>
                <w:szCs w:val="18"/>
              </w:rPr>
              <w:t>落实</w:t>
            </w:r>
            <w:r>
              <w:rPr>
                <w:rFonts w:hint="eastAsia" w:ascii="Times New Roman" w:hAnsi="Times New Roman" w:eastAsia="方正楷体_GBK" w:cs="方正楷体_GBK"/>
                <w:b w:val="0"/>
                <w:bCs w:val="0"/>
                <w:color w:val="auto"/>
                <w:sz w:val="18"/>
                <w:szCs w:val="18"/>
                <w:lang w:val="en-US" w:eastAsia="zh-CN"/>
              </w:rPr>
              <w:t>地方</w:t>
            </w:r>
            <w:r>
              <w:rPr>
                <w:rFonts w:hint="eastAsia" w:ascii="Times New Roman" w:hAnsi="Times New Roman" w:eastAsia="方正楷体_GBK" w:cs="方正楷体_GBK"/>
                <w:b w:val="0"/>
                <w:bCs w:val="0"/>
                <w:color w:val="auto"/>
                <w:sz w:val="18"/>
                <w:szCs w:val="18"/>
              </w:rPr>
              <w:t>债券资金50亿元。四是完成年度投资任务，53个市级重点项目完成投资71.9</w:t>
            </w:r>
            <w:r>
              <w:rPr>
                <w:rFonts w:hint="eastAsia" w:ascii="Times New Roman" w:hAnsi="Times New Roman" w:eastAsia="方正楷体_GBK" w:cs="方正楷体_GBK"/>
                <w:b w:val="0"/>
                <w:bCs w:val="0"/>
                <w:color w:val="auto"/>
                <w:sz w:val="18"/>
                <w:szCs w:val="18"/>
                <w:lang w:val="en-US" w:eastAsia="zh-CN"/>
              </w:rPr>
              <w:t>1</w:t>
            </w:r>
            <w:r>
              <w:rPr>
                <w:rFonts w:hint="eastAsia" w:ascii="Times New Roman" w:hAnsi="Times New Roman" w:eastAsia="方正楷体_GBK" w:cs="方正楷体_GBK"/>
                <w:b w:val="0"/>
                <w:bCs w:val="0"/>
                <w:color w:val="auto"/>
                <w:sz w:val="18"/>
                <w:szCs w:val="18"/>
              </w:rPr>
              <w:t>亿元，182个</w:t>
            </w:r>
            <w:r>
              <w:rPr>
                <w:rFonts w:hint="eastAsia" w:ascii="Times New Roman" w:hAnsi="Times New Roman" w:eastAsia="方正楷体_GBK" w:cs="方正楷体_GBK"/>
                <w:b w:val="0"/>
                <w:bCs w:val="0"/>
                <w:color w:val="auto"/>
                <w:sz w:val="18"/>
                <w:szCs w:val="18"/>
                <w:lang w:val="en-US" w:eastAsia="zh-CN"/>
              </w:rPr>
              <w:t>区级重点项目</w:t>
            </w:r>
            <w:r>
              <w:rPr>
                <w:rFonts w:hint="eastAsia" w:ascii="Times New Roman" w:hAnsi="Times New Roman" w:eastAsia="方正楷体_GBK" w:cs="方正楷体_GBK"/>
                <w:b w:val="0"/>
                <w:bCs w:val="0"/>
                <w:color w:val="auto"/>
                <w:sz w:val="18"/>
                <w:szCs w:val="18"/>
              </w:rPr>
              <w:t>完成投资160.7亿元</w:t>
            </w:r>
            <w:r>
              <w:rPr>
                <w:rFonts w:hint="eastAsia" w:ascii="Times New Roman" w:hAnsi="Times New Roman" w:eastAsia="方正楷体_GBK" w:cs="方正楷体_GBK"/>
                <w:b w:val="0"/>
                <w:bCs w:val="0"/>
                <w:color w:val="auto"/>
                <w:sz w:val="18"/>
                <w:szCs w:val="18"/>
                <w:lang w:val="en-US" w:eastAsia="zh-CN"/>
              </w:rPr>
              <w:t>；在重点项目支撑下，推动固定资产投资256.9亿元，同比增长11.6%，较全市高出7.3个百分点。</w:t>
            </w:r>
            <w:r>
              <w:rPr>
                <w:rFonts w:hint="eastAsia" w:ascii="Times New Roman" w:hAnsi="Times New Roman" w:eastAsia="方正楷体_GBK" w:cs="方正楷体_GBK"/>
                <w:b w:val="0"/>
                <w:bCs w:val="0"/>
                <w:color w:val="auto"/>
                <w:sz w:val="18"/>
                <w:szCs w:val="18"/>
              </w:rPr>
              <w:t>五是深化区域合作协作，《推动川渝万达开地区统筹发展总体方案》获国家发展改革委批复并由川渝两省市政府联合印发。六是增进社会民生福祉，20件重点民生实事和14件主题教育民生事项全面完成。七是推动绿色转型发展，制定全市首个转型金融支持目录，建成全市首个转型金融项目库和企业碳账户平台，指导6个企业落实首批“碳挂钩”金融产品4.13亿元，全区清洁能源装机规模占比达到12%。八是优化营商环境，出台2023年优化营商环境3.0版举措，出台全市首个领导干部违规插手干预工程招标投标办法，提出降低工业用水用气成本7条措施建议，“先诊疗.后付费”信用就医服务获评2023年度重庆政务信用应用优秀案例”十佳场景“。九是推动重点领域改革，牵头实施综合经济体制改革项目17个，获得全国性肯定评价3项、全市肯定推广22项。牵头实施社会民生领域重大改革项目17个，获得全国性肯定评价5项、全市推广17项。十是提升安全发展能力，完成区级储备粮轮换任务及政策粮油检验任务。</w:t>
            </w:r>
          </w:p>
        </w:tc>
      </w:tr>
      <w:tr>
        <w:tblPrEx>
          <w:tblCellMar>
            <w:top w:w="0" w:type="dxa"/>
            <w:left w:w="108" w:type="dxa"/>
            <w:bottom w:w="0" w:type="dxa"/>
            <w:right w:w="108" w:type="dxa"/>
          </w:tblCellMar>
        </w:tblPrEx>
        <w:trPr>
          <w:trHeight w:val="878" w:hRule="atLeast"/>
        </w:trPr>
        <w:tc>
          <w:tcPr>
            <w:tcW w:w="385" w:type="pct"/>
            <w:vMerge w:val="restart"/>
            <w:tcBorders>
              <w:top w:val="single" w:color="000000" w:sz="4" w:space="0"/>
              <w:left w:val="single" w:color="000000" w:sz="4" w:space="0"/>
              <w:right w:val="single" w:color="000000" w:sz="4" w:space="0"/>
            </w:tcBorders>
            <w:noWrap w:val="0"/>
            <w:textDirection w:val="tbRlV"/>
            <w:vAlign w:val="center"/>
          </w:tcPr>
          <w:p>
            <w:pPr>
              <w:keepNext w:val="0"/>
              <w:keepLines w:val="0"/>
              <w:pageBreakBefore w:val="0"/>
              <w:widowControl w:val="0"/>
              <w:kinsoku/>
              <w:overflowPunct/>
              <w:topLinePunct w:val="0"/>
              <w:autoSpaceDN/>
              <w:bidi w:val="0"/>
              <w:adjustRightInd/>
              <w:spacing w:beforeAutospacing="0" w:afterAutospacing="0"/>
              <w:jc w:val="center"/>
              <w:textAlignment w:val="center"/>
              <w:rPr>
                <w:rFonts w:hint="default" w:ascii="Times New Roman" w:hAnsi="Times New Roman" w:eastAsia="方正仿宋_GBK" w:cs="Times New Roman"/>
                <w:b w:val="0"/>
                <w:bCs w:val="0"/>
                <w:color w:val="auto"/>
                <w:sz w:val="18"/>
                <w:szCs w:val="18"/>
              </w:rPr>
            </w:pPr>
            <w:r>
              <w:rPr>
                <w:rFonts w:hint="default" w:ascii="Times New Roman" w:hAnsi="Times New Roman" w:eastAsia="方正黑体_GBK" w:cs="Times New Roman"/>
                <w:b w:val="0"/>
                <w:bCs w:val="0"/>
                <w:color w:val="auto"/>
                <w:kern w:val="0"/>
                <w:sz w:val="18"/>
                <w:szCs w:val="18"/>
                <w:lang w:bidi="ar"/>
              </w:rPr>
              <w:t>绩效指标</w:t>
            </w:r>
          </w:p>
        </w:tc>
        <w:tc>
          <w:tcPr>
            <w:tcW w:w="15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jc w:val="center"/>
              <w:textAlignment w:val="center"/>
              <w:rPr>
                <w:rFonts w:hint="default" w:ascii="Times New Roman" w:hAnsi="Times New Roman" w:eastAsia="方正黑体_GBK" w:cs="Times New Roman"/>
                <w:b w:val="0"/>
                <w:bCs w:val="0"/>
                <w:color w:val="auto"/>
                <w:sz w:val="18"/>
                <w:szCs w:val="18"/>
              </w:rPr>
            </w:pPr>
            <w:r>
              <w:rPr>
                <w:rFonts w:hint="default" w:ascii="Times New Roman" w:hAnsi="Times New Roman" w:eastAsia="方正黑体_GBK" w:cs="Times New Roman"/>
                <w:b w:val="0"/>
                <w:bCs w:val="0"/>
                <w:color w:val="auto"/>
                <w:kern w:val="0"/>
                <w:sz w:val="18"/>
                <w:szCs w:val="18"/>
                <w:lang w:bidi="ar"/>
              </w:rPr>
              <w:t>指标名称</w:t>
            </w:r>
          </w:p>
        </w:tc>
        <w:tc>
          <w:tcPr>
            <w:tcW w:w="5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jc w:val="center"/>
              <w:textAlignment w:val="center"/>
              <w:rPr>
                <w:rFonts w:hint="default" w:ascii="Times New Roman" w:hAnsi="Times New Roman" w:eastAsia="方正黑体_GBK" w:cs="Times New Roman"/>
                <w:b w:val="0"/>
                <w:bCs w:val="0"/>
                <w:color w:val="auto"/>
                <w:sz w:val="18"/>
                <w:szCs w:val="18"/>
              </w:rPr>
            </w:pPr>
            <w:r>
              <w:rPr>
                <w:rFonts w:hint="default" w:ascii="Times New Roman" w:hAnsi="Times New Roman" w:eastAsia="方正黑体_GBK" w:cs="Times New Roman"/>
                <w:b w:val="0"/>
                <w:bCs w:val="0"/>
                <w:color w:val="auto"/>
                <w:kern w:val="0"/>
                <w:sz w:val="18"/>
                <w:szCs w:val="18"/>
                <w:lang w:bidi="ar"/>
              </w:rPr>
              <w:t>计量</w:t>
            </w:r>
            <w:r>
              <w:rPr>
                <w:rFonts w:hint="default" w:ascii="Times New Roman" w:hAnsi="Times New Roman" w:eastAsia="方正黑体_GBK" w:cs="Times New Roman"/>
                <w:b w:val="0"/>
                <w:bCs w:val="0"/>
                <w:color w:val="auto"/>
                <w:kern w:val="0"/>
                <w:sz w:val="18"/>
                <w:szCs w:val="18"/>
                <w:lang w:bidi="ar"/>
              </w:rPr>
              <w:br w:type="textWrapping"/>
            </w:r>
            <w:r>
              <w:rPr>
                <w:rFonts w:hint="default" w:ascii="Times New Roman" w:hAnsi="Times New Roman" w:eastAsia="方正黑体_GBK" w:cs="Times New Roman"/>
                <w:b w:val="0"/>
                <w:bCs w:val="0"/>
                <w:color w:val="auto"/>
                <w:kern w:val="0"/>
                <w:sz w:val="18"/>
                <w:szCs w:val="18"/>
                <w:lang w:bidi="ar"/>
              </w:rPr>
              <w:t>单位</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jc w:val="center"/>
              <w:textAlignment w:val="center"/>
              <w:rPr>
                <w:rFonts w:hint="default" w:ascii="Times New Roman" w:hAnsi="Times New Roman" w:eastAsia="方正黑体_GBK" w:cs="Times New Roman"/>
                <w:b w:val="0"/>
                <w:bCs w:val="0"/>
                <w:color w:val="auto"/>
                <w:sz w:val="18"/>
                <w:szCs w:val="18"/>
              </w:rPr>
            </w:pPr>
            <w:r>
              <w:rPr>
                <w:rFonts w:hint="default" w:ascii="Times New Roman" w:hAnsi="Times New Roman" w:eastAsia="方正黑体_GBK" w:cs="Times New Roman"/>
                <w:b w:val="0"/>
                <w:bCs w:val="0"/>
                <w:color w:val="auto"/>
                <w:kern w:val="0"/>
                <w:sz w:val="18"/>
                <w:szCs w:val="18"/>
                <w:lang w:bidi="ar"/>
              </w:rPr>
              <w:t>指标</w:t>
            </w:r>
            <w:r>
              <w:rPr>
                <w:rFonts w:hint="default" w:ascii="Times New Roman" w:hAnsi="Times New Roman" w:eastAsia="方正黑体_GBK" w:cs="Times New Roman"/>
                <w:b w:val="0"/>
                <w:bCs w:val="0"/>
                <w:color w:val="auto"/>
                <w:kern w:val="0"/>
                <w:sz w:val="18"/>
                <w:szCs w:val="18"/>
                <w:lang w:bidi="ar"/>
              </w:rPr>
              <w:br w:type="textWrapping"/>
            </w:r>
            <w:r>
              <w:rPr>
                <w:rFonts w:hint="default" w:ascii="Times New Roman" w:hAnsi="Times New Roman" w:eastAsia="方正黑体_GBK" w:cs="Times New Roman"/>
                <w:b w:val="0"/>
                <w:bCs w:val="0"/>
                <w:color w:val="auto"/>
                <w:kern w:val="0"/>
                <w:sz w:val="18"/>
                <w:szCs w:val="18"/>
                <w:lang w:bidi="ar"/>
              </w:rPr>
              <w:t>性质</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jc w:val="center"/>
              <w:textAlignment w:val="center"/>
              <w:rPr>
                <w:rFonts w:hint="default" w:ascii="Times New Roman" w:hAnsi="Times New Roman" w:eastAsia="方正黑体_GBK" w:cs="Times New Roman"/>
                <w:b w:val="0"/>
                <w:bCs w:val="0"/>
                <w:color w:val="auto"/>
                <w:sz w:val="18"/>
                <w:szCs w:val="18"/>
              </w:rPr>
            </w:pPr>
            <w:r>
              <w:rPr>
                <w:rFonts w:hint="default" w:ascii="Times New Roman" w:hAnsi="Times New Roman" w:eastAsia="方正黑体_GBK" w:cs="Times New Roman"/>
                <w:b w:val="0"/>
                <w:bCs w:val="0"/>
                <w:color w:val="auto"/>
                <w:kern w:val="0"/>
                <w:sz w:val="18"/>
                <w:szCs w:val="18"/>
                <w:lang w:bidi="ar"/>
              </w:rPr>
              <w:t>指标值</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jc w:val="center"/>
              <w:textAlignment w:val="center"/>
              <w:rPr>
                <w:rFonts w:hint="default" w:ascii="Times New Roman" w:hAnsi="Times New Roman" w:eastAsia="方正黑体_GBK" w:cs="Times New Roman"/>
                <w:b w:val="0"/>
                <w:bCs w:val="0"/>
                <w:color w:val="auto"/>
                <w:kern w:val="0"/>
                <w:sz w:val="18"/>
                <w:szCs w:val="18"/>
                <w:lang w:bidi="ar"/>
              </w:rPr>
            </w:pPr>
            <w:r>
              <w:rPr>
                <w:rFonts w:hint="default" w:ascii="Times New Roman" w:hAnsi="Times New Roman" w:eastAsia="方正黑体_GBK" w:cs="Times New Roman"/>
                <w:b w:val="0"/>
                <w:bCs w:val="0"/>
                <w:color w:val="auto"/>
                <w:kern w:val="0"/>
                <w:sz w:val="18"/>
                <w:szCs w:val="18"/>
                <w:lang w:bidi="ar"/>
              </w:rPr>
              <w:t>指标</w:t>
            </w:r>
          </w:p>
          <w:p>
            <w:pPr>
              <w:keepNext w:val="0"/>
              <w:keepLines w:val="0"/>
              <w:pageBreakBefore w:val="0"/>
              <w:widowControl w:val="0"/>
              <w:kinsoku/>
              <w:overflowPunct/>
              <w:topLinePunct w:val="0"/>
              <w:autoSpaceDN/>
              <w:bidi w:val="0"/>
              <w:adjustRightInd/>
              <w:spacing w:beforeAutospacing="0" w:afterAutospacing="0"/>
              <w:jc w:val="center"/>
              <w:textAlignment w:val="center"/>
              <w:rPr>
                <w:rFonts w:hint="default" w:ascii="Times New Roman" w:hAnsi="Times New Roman" w:eastAsia="方正黑体_GBK" w:cs="Times New Roman"/>
                <w:b w:val="0"/>
                <w:bCs w:val="0"/>
                <w:color w:val="auto"/>
                <w:sz w:val="18"/>
                <w:szCs w:val="18"/>
              </w:rPr>
            </w:pPr>
            <w:r>
              <w:rPr>
                <w:rFonts w:hint="default" w:ascii="Times New Roman" w:hAnsi="Times New Roman" w:eastAsia="方正黑体_GBK" w:cs="Times New Roman"/>
                <w:b w:val="0"/>
                <w:bCs w:val="0"/>
                <w:color w:val="auto"/>
                <w:kern w:val="0"/>
                <w:sz w:val="18"/>
                <w:szCs w:val="18"/>
                <w:lang w:bidi="ar"/>
              </w:rPr>
              <w:t>权重（分）</w:t>
            </w:r>
          </w:p>
        </w:tc>
        <w:tc>
          <w:tcPr>
            <w:tcW w:w="3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jc w:val="center"/>
              <w:textAlignment w:val="center"/>
              <w:rPr>
                <w:rFonts w:hint="default" w:ascii="Times New Roman" w:hAnsi="Times New Roman" w:eastAsia="方正黑体_GBK" w:cs="Times New Roman"/>
                <w:b w:val="0"/>
                <w:bCs w:val="0"/>
                <w:color w:val="auto"/>
                <w:sz w:val="18"/>
                <w:szCs w:val="18"/>
              </w:rPr>
            </w:pPr>
            <w:r>
              <w:rPr>
                <w:rFonts w:hint="default" w:ascii="Times New Roman" w:hAnsi="Times New Roman" w:eastAsia="方正黑体_GBK" w:cs="Times New Roman"/>
                <w:b w:val="0"/>
                <w:bCs w:val="0"/>
                <w:color w:val="auto"/>
                <w:kern w:val="0"/>
                <w:sz w:val="18"/>
                <w:szCs w:val="18"/>
                <w:lang w:bidi="ar"/>
              </w:rPr>
              <w:t>全年</w:t>
            </w:r>
            <w:r>
              <w:rPr>
                <w:rFonts w:hint="default" w:ascii="Times New Roman" w:hAnsi="Times New Roman" w:eastAsia="方正黑体_GBK" w:cs="Times New Roman"/>
                <w:b w:val="0"/>
                <w:bCs w:val="0"/>
                <w:color w:val="auto"/>
                <w:kern w:val="0"/>
                <w:sz w:val="18"/>
                <w:szCs w:val="18"/>
                <w:lang w:bidi="ar"/>
              </w:rPr>
              <w:br w:type="textWrapping"/>
            </w:r>
            <w:r>
              <w:rPr>
                <w:rFonts w:hint="default" w:ascii="Times New Roman" w:hAnsi="Times New Roman" w:eastAsia="方正黑体_GBK" w:cs="Times New Roman"/>
                <w:b w:val="0"/>
                <w:bCs w:val="0"/>
                <w:color w:val="auto"/>
                <w:kern w:val="0"/>
                <w:sz w:val="18"/>
                <w:szCs w:val="18"/>
                <w:lang w:bidi="ar"/>
              </w:rPr>
              <w:t>完成值</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jc w:val="center"/>
              <w:textAlignment w:val="center"/>
              <w:rPr>
                <w:rFonts w:hint="default" w:ascii="Times New Roman" w:hAnsi="Times New Roman" w:eastAsia="方正黑体_GBK" w:cs="Times New Roman"/>
                <w:b w:val="0"/>
                <w:bCs w:val="0"/>
                <w:color w:val="auto"/>
                <w:kern w:val="0"/>
                <w:sz w:val="18"/>
                <w:szCs w:val="18"/>
                <w:lang w:bidi="ar"/>
              </w:rPr>
            </w:pPr>
            <w:r>
              <w:rPr>
                <w:rFonts w:hint="default" w:ascii="Times New Roman" w:hAnsi="Times New Roman" w:eastAsia="方正黑体_GBK" w:cs="Times New Roman"/>
                <w:b w:val="0"/>
                <w:bCs w:val="0"/>
                <w:color w:val="auto"/>
                <w:kern w:val="0"/>
                <w:sz w:val="18"/>
                <w:szCs w:val="18"/>
                <w:lang w:bidi="ar"/>
              </w:rPr>
              <w:t>指标</w:t>
            </w:r>
          </w:p>
          <w:p>
            <w:pPr>
              <w:keepNext w:val="0"/>
              <w:keepLines w:val="0"/>
              <w:pageBreakBefore w:val="0"/>
              <w:widowControl w:val="0"/>
              <w:kinsoku/>
              <w:overflowPunct/>
              <w:topLinePunct w:val="0"/>
              <w:autoSpaceDN/>
              <w:bidi w:val="0"/>
              <w:adjustRightInd/>
              <w:spacing w:beforeAutospacing="0" w:afterAutospacing="0"/>
              <w:jc w:val="center"/>
              <w:textAlignment w:val="center"/>
              <w:rPr>
                <w:rFonts w:hint="default" w:ascii="Times New Roman" w:hAnsi="Times New Roman" w:eastAsia="方正黑体_GBK" w:cs="Times New Roman"/>
                <w:b w:val="0"/>
                <w:bCs w:val="0"/>
                <w:color w:val="auto"/>
                <w:sz w:val="18"/>
                <w:szCs w:val="18"/>
              </w:rPr>
            </w:pPr>
            <w:r>
              <w:rPr>
                <w:rFonts w:hint="default" w:ascii="Times New Roman" w:hAnsi="Times New Roman" w:eastAsia="方正黑体_GBK" w:cs="Times New Roman"/>
                <w:b w:val="0"/>
                <w:bCs w:val="0"/>
                <w:color w:val="auto"/>
                <w:kern w:val="0"/>
                <w:sz w:val="18"/>
                <w:szCs w:val="18"/>
                <w:lang w:bidi="ar"/>
              </w:rPr>
              <w:t>得分</w:t>
            </w:r>
            <w:r>
              <w:rPr>
                <w:rFonts w:hint="default" w:ascii="Times New Roman" w:hAnsi="Times New Roman" w:eastAsia="方正黑体_GBK" w:cs="Times New Roman"/>
                <w:b w:val="0"/>
                <w:bCs w:val="0"/>
                <w:color w:val="auto"/>
                <w:kern w:val="0"/>
                <w:sz w:val="18"/>
                <w:szCs w:val="18"/>
                <w:lang w:bidi="ar"/>
              </w:rPr>
              <w:br w:type="textWrapping"/>
            </w:r>
            <w:r>
              <w:rPr>
                <w:rFonts w:hint="default" w:ascii="Times New Roman" w:hAnsi="Times New Roman" w:eastAsia="方正黑体_GBK" w:cs="Times New Roman"/>
                <w:b w:val="0"/>
                <w:bCs w:val="0"/>
                <w:color w:val="auto"/>
                <w:kern w:val="0"/>
                <w:sz w:val="18"/>
                <w:szCs w:val="18"/>
                <w:lang w:bidi="ar"/>
              </w:rPr>
              <w:t>（分）</w:t>
            </w:r>
          </w:p>
        </w:tc>
        <w:tc>
          <w:tcPr>
            <w:tcW w:w="105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jc w:val="center"/>
              <w:textAlignment w:val="center"/>
              <w:rPr>
                <w:rFonts w:hint="default" w:ascii="Times New Roman" w:hAnsi="Times New Roman" w:eastAsia="方正黑体_GBK" w:cs="Times New Roman"/>
                <w:b w:val="0"/>
                <w:bCs w:val="0"/>
                <w:color w:val="auto"/>
                <w:sz w:val="18"/>
                <w:szCs w:val="18"/>
              </w:rPr>
            </w:pPr>
            <w:r>
              <w:rPr>
                <w:rFonts w:hint="default" w:ascii="Times New Roman" w:hAnsi="Times New Roman" w:eastAsia="方正黑体_GBK" w:cs="Times New Roman"/>
                <w:b w:val="0"/>
                <w:bCs w:val="0"/>
                <w:color w:val="auto"/>
                <w:kern w:val="0"/>
                <w:sz w:val="18"/>
                <w:szCs w:val="18"/>
                <w:lang w:bidi="ar"/>
              </w:rPr>
              <w:t>说明</w:t>
            </w:r>
          </w:p>
        </w:tc>
      </w:tr>
      <w:tr>
        <w:tblPrEx>
          <w:tblCellMar>
            <w:top w:w="0" w:type="dxa"/>
            <w:left w:w="108" w:type="dxa"/>
            <w:bottom w:w="0" w:type="dxa"/>
            <w:right w:w="108" w:type="dxa"/>
          </w:tblCellMar>
        </w:tblPrEx>
        <w:trPr>
          <w:trHeight w:val="680" w:hRule="atLeast"/>
        </w:trPr>
        <w:tc>
          <w:tcPr>
            <w:tcW w:w="385" w:type="pct"/>
            <w:vMerge w:val="continue"/>
            <w:tcBorders>
              <w:left w:val="single" w:color="000000" w:sz="4" w:space="0"/>
              <w:right w:val="single" w:color="000000" w:sz="4" w:space="0"/>
            </w:tcBorders>
            <w:noWrap w:val="0"/>
            <w:textDirection w:val="tbRlV"/>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eastAsia="方正楷体_GBK" w:cs="Times New Roman"/>
                <w:b w:val="0"/>
                <w:bCs w:val="0"/>
                <w:color w:val="auto"/>
                <w:sz w:val="18"/>
                <w:szCs w:val="18"/>
              </w:rPr>
            </w:pPr>
          </w:p>
        </w:tc>
        <w:tc>
          <w:tcPr>
            <w:tcW w:w="15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ind w:firstLine="0" w:firstLineChars="0"/>
              <w:jc w:val="left"/>
              <w:rPr>
                <w:rFonts w:hint="default" w:ascii="Times New Roman" w:hAnsi="Times New Roman" w:eastAsia="方正楷体_GBK" w:cs="Times New Roman"/>
                <w:b w:val="0"/>
                <w:bCs w:val="0"/>
                <w:color w:val="auto"/>
                <w:sz w:val="18"/>
                <w:szCs w:val="18"/>
                <w:lang w:val="en-US" w:eastAsia="zh-CN"/>
              </w:rPr>
            </w:pPr>
            <w:r>
              <w:rPr>
                <w:rFonts w:hint="default" w:ascii="Times New Roman" w:hAnsi="Times New Roman" w:eastAsia="方正楷体_GBK" w:cs="Times New Roman"/>
                <w:b w:val="0"/>
                <w:bCs w:val="0"/>
                <w:color w:val="auto"/>
                <w:sz w:val="18"/>
                <w:szCs w:val="18"/>
                <w:lang w:val="en-US" w:eastAsia="zh-CN"/>
              </w:rPr>
              <w:t>年度预算执行率</w:t>
            </w:r>
          </w:p>
        </w:tc>
        <w:tc>
          <w:tcPr>
            <w:tcW w:w="5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eastAsia="方正楷体_GBK" w:cs="Times New Roman"/>
                <w:b w:val="0"/>
                <w:bCs w:val="0"/>
                <w:color w:val="auto"/>
                <w:sz w:val="18"/>
                <w:szCs w:val="18"/>
                <w:lang w:val="en-US" w:eastAsia="zh-CN"/>
              </w:rPr>
            </w:pPr>
            <w:r>
              <w:rPr>
                <w:rFonts w:hint="default" w:ascii="Times New Roman" w:hAnsi="Times New Roman" w:eastAsia="方正楷体_GBK" w:cs="Times New Roman"/>
                <w:b w:val="0"/>
                <w:bCs w:val="0"/>
                <w:color w:val="auto"/>
                <w:sz w:val="18"/>
                <w:szCs w:val="18"/>
                <w:lang w:val="en-US" w:eastAsia="zh-CN"/>
              </w:rPr>
              <w:t>%</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eastAsia="方正楷体_GBK" w:cs="Times New Roman"/>
                <w:b w:val="0"/>
                <w:bCs w:val="0"/>
                <w:color w:val="auto"/>
                <w:sz w:val="18"/>
                <w:szCs w:val="18"/>
                <w:lang w:val="en-US" w:eastAsia="zh-CN"/>
              </w:rPr>
            </w:pPr>
            <w:r>
              <w:rPr>
                <w:rFonts w:hint="default" w:ascii="Times New Roman" w:hAnsi="Times New Roman" w:eastAsia="方正楷体_GBK" w:cs="Times New Roman"/>
                <w:b w:val="0"/>
                <w:bCs w:val="0"/>
                <w:color w:val="auto"/>
                <w:sz w:val="18"/>
                <w:szCs w:val="18"/>
                <w:lang w:val="en-US" w:eastAsia="zh-CN"/>
              </w:rPr>
              <w:t>=</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eastAsia="方正楷体_GBK" w:cs="Times New Roman"/>
                <w:b w:val="0"/>
                <w:bCs w:val="0"/>
                <w:color w:val="auto"/>
                <w:sz w:val="18"/>
                <w:szCs w:val="18"/>
                <w:lang w:val="en-US" w:eastAsia="zh-CN"/>
              </w:rPr>
            </w:pPr>
            <w:r>
              <w:rPr>
                <w:rFonts w:hint="default" w:ascii="Times New Roman" w:hAnsi="Times New Roman" w:eastAsia="方正楷体_GBK" w:cs="Times New Roman"/>
                <w:b w:val="0"/>
                <w:bCs w:val="0"/>
                <w:color w:val="auto"/>
                <w:sz w:val="18"/>
                <w:szCs w:val="18"/>
                <w:lang w:val="en-US" w:eastAsia="zh-CN"/>
              </w:rPr>
              <w:t>100%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eastAsia="方正楷体_GBK" w:cs="Times New Roman"/>
                <w:b w:val="0"/>
                <w:bCs w:val="0"/>
                <w:color w:val="auto"/>
                <w:sz w:val="18"/>
                <w:szCs w:val="18"/>
                <w:lang w:val="en-US" w:eastAsia="zh-CN"/>
              </w:rPr>
            </w:pPr>
            <w:r>
              <w:rPr>
                <w:rFonts w:hint="default" w:ascii="Times New Roman" w:hAnsi="Times New Roman" w:eastAsia="方正楷体_GBK" w:cs="Times New Roman"/>
                <w:b w:val="0"/>
                <w:bCs w:val="0"/>
                <w:color w:val="auto"/>
                <w:sz w:val="18"/>
                <w:szCs w:val="18"/>
                <w:lang w:val="en-US" w:eastAsia="zh-CN"/>
              </w:rPr>
              <w:t>10</w:t>
            </w:r>
          </w:p>
        </w:tc>
        <w:tc>
          <w:tcPr>
            <w:tcW w:w="3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eastAsia="方正楷体_GBK" w:cs="Times New Roman"/>
                <w:b w:val="0"/>
                <w:bCs w:val="0"/>
                <w:color w:val="auto"/>
                <w:sz w:val="18"/>
                <w:szCs w:val="18"/>
                <w:lang w:val="en-US" w:eastAsia="zh-CN"/>
              </w:rPr>
            </w:pPr>
            <w:r>
              <w:rPr>
                <w:rFonts w:hint="default" w:ascii="Times New Roman" w:hAnsi="Times New Roman" w:eastAsia="方正楷体_GBK" w:cs="Times New Roman"/>
                <w:b w:val="0"/>
                <w:bCs w:val="0"/>
                <w:color w:val="auto"/>
                <w:sz w:val="18"/>
                <w:szCs w:val="18"/>
                <w:lang w:val="en-US" w:eastAsia="zh-CN"/>
              </w:rPr>
              <w:t>96.02</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eastAsia="方正楷体_GBK" w:cs="Times New Roman"/>
                <w:b w:val="0"/>
                <w:bCs w:val="0"/>
                <w:color w:val="auto"/>
                <w:sz w:val="18"/>
                <w:szCs w:val="18"/>
                <w:lang w:val="en-US" w:eastAsia="zh-CN"/>
              </w:rPr>
            </w:pPr>
            <w:r>
              <w:rPr>
                <w:rFonts w:hint="default" w:ascii="Times New Roman" w:hAnsi="Times New Roman" w:eastAsia="方正楷体_GBK" w:cs="Times New Roman"/>
                <w:b w:val="0"/>
                <w:bCs w:val="0"/>
                <w:color w:val="auto"/>
                <w:sz w:val="18"/>
                <w:szCs w:val="18"/>
                <w:lang w:val="en-US" w:eastAsia="zh-CN"/>
              </w:rPr>
              <w:t>9.6</w:t>
            </w:r>
          </w:p>
        </w:tc>
        <w:tc>
          <w:tcPr>
            <w:tcW w:w="105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rPr>
                <w:rFonts w:hint="default" w:ascii="Times New Roman" w:hAnsi="Times New Roman" w:eastAsia="方正楷体_GBK" w:cs="Times New Roman"/>
                <w:b w:val="0"/>
                <w:bCs w:val="0"/>
                <w:color w:val="auto"/>
                <w:sz w:val="18"/>
                <w:szCs w:val="18"/>
              </w:rPr>
            </w:pPr>
          </w:p>
        </w:tc>
      </w:tr>
      <w:tr>
        <w:tblPrEx>
          <w:tblCellMar>
            <w:top w:w="0" w:type="dxa"/>
            <w:left w:w="108" w:type="dxa"/>
            <w:bottom w:w="0" w:type="dxa"/>
            <w:right w:w="108" w:type="dxa"/>
          </w:tblCellMar>
        </w:tblPrEx>
        <w:trPr>
          <w:trHeight w:val="680" w:hRule="atLeast"/>
        </w:trPr>
        <w:tc>
          <w:tcPr>
            <w:tcW w:w="385" w:type="pct"/>
            <w:vMerge w:val="continue"/>
            <w:tcBorders>
              <w:left w:val="single" w:color="000000" w:sz="4" w:space="0"/>
              <w:right w:val="single" w:color="000000" w:sz="4" w:space="0"/>
            </w:tcBorders>
            <w:noWrap w:val="0"/>
            <w:textDirection w:val="tbRlV"/>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eastAsia="方正楷体_GBK" w:cs="Times New Roman"/>
                <w:b w:val="0"/>
                <w:bCs w:val="0"/>
                <w:color w:val="auto"/>
                <w:sz w:val="18"/>
                <w:szCs w:val="18"/>
              </w:rPr>
            </w:pPr>
          </w:p>
        </w:tc>
        <w:tc>
          <w:tcPr>
            <w:tcW w:w="15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topLinePunct w:val="0"/>
              <w:autoSpaceDN/>
              <w:bidi w:val="0"/>
              <w:adjustRightInd/>
              <w:spacing w:beforeAutospacing="0" w:afterAutospacing="0"/>
              <w:ind w:firstLine="0" w:firstLineChars="0"/>
              <w:jc w:val="left"/>
              <w:textAlignment w:val="center"/>
              <w:rPr>
                <w:rFonts w:hint="default" w:ascii="Times New Roman" w:hAnsi="Times New Roman" w:eastAsia="方正楷体_GBK" w:cs="Times New Roman"/>
                <w:i w:val="0"/>
                <w:iCs w:val="0"/>
                <w:color w:val="auto"/>
                <w:sz w:val="18"/>
                <w:szCs w:val="18"/>
                <w:u w:val="none"/>
                <w:lang w:val="en-US" w:eastAsia="zh-CN" w:bidi="ar-SA"/>
              </w:rPr>
            </w:pPr>
            <w:r>
              <w:rPr>
                <w:rFonts w:hint="default" w:ascii="Times New Roman" w:hAnsi="Times New Roman" w:eastAsia="方正楷体_GBK" w:cs="Times New Roman"/>
                <w:i w:val="0"/>
                <w:iCs w:val="0"/>
                <w:color w:val="auto"/>
                <w:kern w:val="0"/>
                <w:sz w:val="18"/>
                <w:szCs w:val="18"/>
                <w:u w:val="none"/>
                <w:lang w:val="en-US" w:eastAsia="zh-CN" w:bidi="ar"/>
              </w:rPr>
              <w:t>全年争取中央内预算投资</w:t>
            </w:r>
          </w:p>
        </w:tc>
        <w:tc>
          <w:tcPr>
            <w:tcW w:w="5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topLinePunct w:val="0"/>
              <w:autoSpaceDN/>
              <w:bidi w:val="0"/>
              <w:adjustRightInd/>
              <w:spacing w:beforeAutospacing="0" w:afterAutospacing="0"/>
              <w:ind w:firstLine="0" w:firstLineChars="0"/>
              <w:jc w:val="center"/>
              <w:textAlignment w:val="center"/>
              <w:rPr>
                <w:rFonts w:hint="default" w:ascii="Times New Roman" w:hAnsi="Times New Roman" w:eastAsia="方正楷体_GBK" w:cs="Times New Roman"/>
                <w:i w:val="0"/>
                <w:iCs w:val="0"/>
                <w:color w:val="auto"/>
                <w:sz w:val="18"/>
                <w:szCs w:val="18"/>
                <w:u w:val="none"/>
                <w:lang w:val="en-US" w:eastAsia="zh-CN" w:bidi="ar-SA"/>
              </w:rPr>
            </w:pPr>
            <w:r>
              <w:rPr>
                <w:rFonts w:hint="default" w:ascii="Times New Roman" w:hAnsi="Times New Roman" w:eastAsia="方正楷体_GBK" w:cs="Times New Roman"/>
                <w:i w:val="0"/>
                <w:iCs w:val="0"/>
                <w:color w:val="auto"/>
                <w:kern w:val="0"/>
                <w:sz w:val="18"/>
                <w:szCs w:val="18"/>
                <w:u w:val="none"/>
                <w:lang w:val="en-US" w:eastAsia="zh-CN" w:bidi="ar"/>
              </w:rPr>
              <w:t>亿元</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topLinePunct w:val="0"/>
              <w:autoSpaceDN/>
              <w:bidi w:val="0"/>
              <w:adjustRightInd/>
              <w:spacing w:beforeAutospacing="0" w:afterAutospacing="0"/>
              <w:ind w:firstLine="0" w:firstLineChars="0"/>
              <w:jc w:val="center"/>
              <w:textAlignment w:val="center"/>
              <w:rPr>
                <w:rFonts w:hint="default" w:ascii="Times New Roman" w:hAnsi="Times New Roman" w:eastAsia="方正楷体_GBK" w:cs="Times New Roman"/>
                <w:i w:val="0"/>
                <w:iCs w:val="0"/>
                <w:color w:val="auto"/>
                <w:sz w:val="18"/>
                <w:szCs w:val="18"/>
                <w:u w:val="none"/>
                <w:lang w:val="en-US" w:eastAsia="zh-CN" w:bidi="ar-SA"/>
              </w:rPr>
            </w:pPr>
            <w:r>
              <w:rPr>
                <w:rFonts w:hint="default" w:ascii="Times New Roman" w:hAnsi="Times New Roman" w:eastAsia="方正楷体_GBK" w:cs="Times New Roman"/>
                <w:i w:val="0"/>
                <w:iCs w:val="0"/>
                <w:color w:val="auto"/>
                <w:kern w:val="0"/>
                <w:sz w:val="18"/>
                <w:szCs w:val="18"/>
                <w:u w:val="none"/>
                <w:lang w:val="en-US" w:eastAsia="zh-CN" w:bidi="ar"/>
              </w:rPr>
              <w:t>＞</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eastAsia="方正楷体_GBK" w:cs="Times New Roman"/>
                <w:b w:val="0"/>
                <w:bCs w:val="0"/>
                <w:color w:val="auto"/>
                <w:sz w:val="18"/>
                <w:szCs w:val="18"/>
                <w:lang w:val="en-US" w:eastAsia="zh-CN"/>
              </w:rPr>
            </w:pPr>
            <w:r>
              <w:rPr>
                <w:rFonts w:hint="default" w:ascii="Times New Roman" w:hAnsi="Times New Roman" w:eastAsia="方正楷体_GBK" w:cs="Times New Roman"/>
                <w:b w:val="0"/>
                <w:bCs w:val="0"/>
                <w:color w:val="auto"/>
                <w:sz w:val="18"/>
                <w:szCs w:val="18"/>
                <w:lang w:val="en-US" w:eastAsia="zh-CN"/>
              </w:rPr>
              <w:t>4</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eastAsia="方正楷体_GBK" w:cs="Times New Roman"/>
                <w:b w:val="0"/>
                <w:bCs w:val="0"/>
                <w:color w:val="auto"/>
                <w:sz w:val="18"/>
                <w:szCs w:val="18"/>
                <w:lang w:val="en-US" w:eastAsia="zh-CN"/>
              </w:rPr>
            </w:pPr>
            <w:r>
              <w:rPr>
                <w:rFonts w:hint="default" w:ascii="Times New Roman" w:hAnsi="Times New Roman" w:eastAsia="方正楷体_GBK" w:cs="Times New Roman"/>
                <w:b w:val="0"/>
                <w:bCs w:val="0"/>
                <w:color w:val="auto"/>
                <w:sz w:val="18"/>
                <w:szCs w:val="18"/>
                <w:lang w:val="en-US" w:eastAsia="zh-CN"/>
              </w:rPr>
              <w:t>10</w:t>
            </w:r>
          </w:p>
        </w:tc>
        <w:tc>
          <w:tcPr>
            <w:tcW w:w="3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eastAsia="方正楷体_GBK" w:cs="Times New Roman"/>
                <w:b w:val="0"/>
                <w:bCs w:val="0"/>
                <w:color w:val="auto"/>
                <w:sz w:val="18"/>
                <w:szCs w:val="18"/>
                <w:lang w:val="en-US" w:eastAsia="zh-CN"/>
              </w:rPr>
            </w:pPr>
            <w:r>
              <w:rPr>
                <w:rFonts w:hint="default" w:ascii="Times New Roman" w:hAnsi="Times New Roman" w:eastAsia="方正楷体_GBK" w:cs="Times New Roman"/>
                <w:b w:val="0"/>
                <w:bCs w:val="0"/>
                <w:color w:val="auto"/>
                <w:sz w:val="18"/>
                <w:szCs w:val="18"/>
                <w:lang w:val="en-US" w:eastAsia="zh-CN"/>
              </w:rPr>
              <w:t>4.21</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eastAsia="方正楷体_GBK" w:cs="Times New Roman"/>
                <w:b w:val="0"/>
                <w:bCs w:val="0"/>
                <w:color w:val="auto"/>
                <w:sz w:val="18"/>
                <w:szCs w:val="18"/>
                <w:lang w:val="en-US" w:eastAsia="zh-CN"/>
              </w:rPr>
            </w:pPr>
            <w:r>
              <w:rPr>
                <w:rFonts w:hint="default" w:ascii="Times New Roman" w:hAnsi="Times New Roman" w:eastAsia="方正楷体_GBK" w:cs="Times New Roman"/>
                <w:b w:val="0"/>
                <w:bCs w:val="0"/>
                <w:color w:val="auto"/>
                <w:sz w:val="18"/>
                <w:szCs w:val="18"/>
                <w:lang w:val="en-US" w:eastAsia="zh-CN"/>
              </w:rPr>
              <w:t>10</w:t>
            </w:r>
          </w:p>
        </w:tc>
        <w:tc>
          <w:tcPr>
            <w:tcW w:w="105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rPr>
                <w:rFonts w:hint="default" w:ascii="Times New Roman" w:hAnsi="Times New Roman" w:eastAsia="方正楷体_GBK" w:cs="Times New Roman"/>
                <w:b w:val="0"/>
                <w:bCs w:val="0"/>
                <w:color w:val="auto"/>
                <w:sz w:val="18"/>
                <w:szCs w:val="18"/>
              </w:rPr>
            </w:pPr>
          </w:p>
        </w:tc>
      </w:tr>
      <w:tr>
        <w:tblPrEx>
          <w:tblCellMar>
            <w:top w:w="0" w:type="dxa"/>
            <w:left w:w="108" w:type="dxa"/>
            <w:bottom w:w="0" w:type="dxa"/>
            <w:right w:w="108" w:type="dxa"/>
          </w:tblCellMar>
        </w:tblPrEx>
        <w:trPr>
          <w:trHeight w:val="680" w:hRule="atLeast"/>
        </w:trPr>
        <w:tc>
          <w:tcPr>
            <w:tcW w:w="385" w:type="pct"/>
            <w:vMerge w:val="continue"/>
            <w:tcBorders>
              <w:left w:val="single" w:color="000000" w:sz="4" w:space="0"/>
              <w:right w:val="single" w:color="000000" w:sz="4" w:space="0"/>
            </w:tcBorders>
            <w:noWrap w:val="0"/>
            <w:textDirection w:val="tbRlV"/>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eastAsia="方正楷体_GBK" w:cs="Times New Roman"/>
                <w:b w:val="0"/>
                <w:bCs w:val="0"/>
                <w:color w:val="auto"/>
                <w:sz w:val="18"/>
                <w:szCs w:val="18"/>
              </w:rPr>
            </w:pPr>
          </w:p>
        </w:tc>
        <w:tc>
          <w:tcPr>
            <w:tcW w:w="15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topLinePunct w:val="0"/>
              <w:autoSpaceDN/>
              <w:bidi w:val="0"/>
              <w:adjustRightInd/>
              <w:spacing w:beforeAutospacing="0" w:afterAutospacing="0"/>
              <w:ind w:firstLine="0" w:firstLineChars="0"/>
              <w:jc w:val="left"/>
              <w:textAlignment w:val="center"/>
              <w:rPr>
                <w:rFonts w:hint="default" w:ascii="Times New Roman" w:hAnsi="Times New Roman" w:eastAsia="方正楷体_GBK" w:cs="Times New Roman"/>
                <w:i w:val="0"/>
                <w:iCs w:val="0"/>
                <w:color w:val="auto"/>
                <w:sz w:val="18"/>
                <w:szCs w:val="18"/>
                <w:u w:val="none"/>
                <w:lang w:val="en-US" w:eastAsia="zh-CN" w:bidi="ar-SA"/>
              </w:rPr>
            </w:pPr>
            <w:r>
              <w:rPr>
                <w:rFonts w:hint="default" w:ascii="Times New Roman" w:hAnsi="Times New Roman" w:eastAsia="方正楷体_GBK" w:cs="Times New Roman"/>
                <w:i w:val="0"/>
                <w:iCs w:val="0"/>
                <w:color w:val="auto"/>
                <w:kern w:val="0"/>
                <w:sz w:val="18"/>
                <w:szCs w:val="18"/>
                <w:u w:val="none"/>
                <w:lang w:val="en-US" w:eastAsia="zh-CN" w:bidi="ar"/>
              </w:rPr>
              <w:t>市级重大项目完成投资</w:t>
            </w:r>
          </w:p>
        </w:tc>
        <w:tc>
          <w:tcPr>
            <w:tcW w:w="5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topLinePunct w:val="0"/>
              <w:autoSpaceDN/>
              <w:bidi w:val="0"/>
              <w:adjustRightInd/>
              <w:spacing w:beforeAutospacing="0" w:afterAutospacing="0"/>
              <w:ind w:firstLine="0" w:firstLineChars="0"/>
              <w:jc w:val="center"/>
              <w:textAlignment w:val="center"/>
              <w:rPr>
                <w:rFonts w:hint="default" w:ascii="Times New Roman" w:hAnsi="Times New Roman" w:eastAsia="方正楷体_GBK" w:cs="Times New Roman"/>
                <w:i w:val="0"/>
                <w:iCs w:val="0"/>
                <w:color w:val="auto"/>
                <w:sz w:val="18"/>
                <w:szCs w:val="18"/>
                <w:u w:val="none"/>
                <w:lang w:val="en-US" w:eastAsia="zh-CN" w:bidi="ar-SA"/>
              </w:rPr>
            </w:pPr>
            <w:r>
              <w:rPr>
                <w:rFonts w:hint="default" w:ascii="Times New Roman" w:hAnsi="Times New Roman" w:eastAsia="方正楷体_GBK" w:cs="Times New Roman"/>
                <w:i w:val="0"/>
                <w:iCs w:val="0"/>
                <w:color w:val="auto"/>
                <w:kern w:val="0"/>
                <w:sz w:val="18"/>
                <w:szCs w:val="18"/>
                <w:u w:val="none"/>
                <w:lang w:val="en-US" w:eastAsia="zh-CN" w:bidi="ar"/>
              </w:rPr>
              <w:t>亿元</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topLinePunct w:val="0"/>
              <w:autoSpaceDN/>
              <w:bidi w:val="0"/>
              <w:adjustRightInd/>
              <w:spacing w:beforeAutospacing="0" w:afterAutospacing="0"/>
              <w:ind w:firstLine="0" w:firstLineChars="0"/>
              <w:jc w:val="center"/>
              <w:textAlignment w:val="center"/>
              <w:rPr>
                <w:rFonts w:hint="default" w:ascii="Times New Roman" w:hAnsi="Times New Roman" w:eastAsia="方正楷体_GBK" w:cs="Times New Roman"/>
                <w:i w:val="0"/>
                <w:iCs w:val="0"/>
                <w:color w:val="auto"/>
                <w:sz w:val="18"/>
                <w:szCs w:val="18"/>
                <w:u w:val="none"/>
                <w:lang w:val="en-US" w:eastAsia="zh-CN" w:bidi="ar-SA"/>
              </w:rPr>
            </w:pPr>
            <w:r>
              <w:rPr>
                <w:rFonts w:hint="default" w:ascii="Times New Roman" w:hAnsi="Times New Roman" w:eastAsia="方正楷体_GBK" w:cs="Times New Roman"/>
                <w:i w:val="0"/>
                <w:iCs w:val="0"/>
                <w:color w:val="auto"/>
                <w:kern w:val="0"/>
                <w:sz w:val="18"/>
                <w:szCs w:val="18"/>
                <w:u w:val="none"/>
                <w:lang w:val="en-US" w:eastAsia="zh-CN" w:bidi="ar"/>
              </w:rPr>
              <w:t>≥</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eastAsia="方正楷体_GBK" w:cs="Times New Roman"/>
                <w:b w:val="0"/>
                <w:bCs w:val="0"/>
                <w:color w:val="auto"/>
                <w:sz w:val="18"/>
                <w:szCs w:val="18"/>
                <w:lang w:val="en-US" w:eastAsia="zh-CN"/>
              </w:rPr>
            </w:pPr>
            <w:r>
              <w:rPr>
                <w:rFonts w:hint="default" w:ascii="Times New Roman" w:hAnsi="Times New Roman" w:eastAsia="方正楷体_GBK" w:cs="Times New Roman"/>
                <w:b w:val="0"/>
                <w:bCs w:val="0"/>
                <w:color w:val="auto"/>
                <w:sz w:val="18"/>
                <w:szCs w:val="18"/>
                <w:lang w:val="en-US" w:eastAsia="zh-CN"/>
              </w:rPr>
              <w:t>61.6</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eastAsia="方正楷体_GBK" w:cs="Times New Roman"/>
                <w:b w:val="0"/>
                <w:bCs w:val="0"/>
                <w:color w:val="auto"/>
                <w:sz w:val="18"/>
                <w:szCs w:val="18"/>
                <w:lang w:val="en-US" w:eastAsia="zh-CN"/>
              </w:rPr>
            </w:pPr>
            <w:r>
              <w:rPr>
                <w:rFonts w:hint="default" w:ascii="Times New Roman" w:hAnsi="Times New Roman" w:eastAsia="方正楷体_GBK" w:cs="Times New Roman"/>
                <w:b w:val="0"/>
                <w:bCs w:val="0"/>
                <w:color w:val="auto"/>
                <w:sz w:val="18"/>
                <w:szCs w:val="18"/>
                <w:lang w:val="en-US" w:eastAsia="zh-CN"/>
              </w:rPr>
              <w:t>10</w:t>
            </w:r>
          </w:p>
        </w:tc>
        <w:tc>
          <w:tcPr>
            <w:tcW w:w="3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eastAsia="方正楷体_GBK" w:cs="Times New Roman"/>
                <w:b w:val="0"/>
                <w:bCs w:val="0"/>
                <w:color w:val="auto"/>
                <w:sz w:val="18"/>
                <w:szCs w:val="18"/>
                <w:lang w:val="en-US" w:eastAsia="zh-CN"/>
              </w:rPr>
            </w:pPr>
            <w:r>
              <w:rPr>
                <w:rFonts w:hint="default" w:ascii="Times New Roman" w:hAnsi="Times New Roman" w:eastAsia="方正楷体_GBK" w:cs="Times New Roman"/>
                <w:b w:val="0"/>
                <w:bCs w:val="0"/>
                <w:color w:val="auto"/>
                <w:sz w:val="18"/>
                <w:szCs w:val="18"/>
                <w:lang w:val="en-US" w:eastAsia="zh-CN"/>
              </w:rPr>
              <w:t>71.9</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eastAsia="方正楷体_GBK" w:cs="Times New Roman"/>
                <w:b w:val="0"/>
                <w:bCs w:val="0"/>
                <w:color w:val="auto"/>
                <w:sz w:val="18"/>
                <w:szCs w:val="18"/>
                <w:lang w:val="en-US" w:eastAsia="zh-CN"/>
              </w:rPr>
            </w:pPr>
            <w:r>
              <w:rPr>
                <w:rFonts w:hint="default" w:ascii="Times New Roman" w:hAnsi="Times New Roman" w:eastAsia="方正楷体_GBK" w:cs="Times New Roman"/>
                <w:b w:val="0"/>
                <w:bCs w:val="0"/>
                <w:color w:val="auto"/>
                <w:sz w:val="18"/>
                <w:szCs w:val="18"/>
                <w:lang w:val="en-US" w:eastAsia="zh-CN"/>
              </w:rPr>
              <w:t>10</w:t>
            </w:r>
          </w:p>
        </w:tc>
        <w:tc>
          <w:tcPr>
            <w:tcW w:w="105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rPr>
                <w:rFonts w:hint="default" w:ascii="Times New Roman" w:hAnsi="Times New Roman" w:eastAsia="方正楷体_GBK" w:cs="Times New Roman"/>
                <w:b w:val="0"/>
                <w:bCs w:val="0"/>
                <w:color w:val="auto"/>
                <w:sz w:val="18"/>
                <w:szCs w:val="18"/>
              </w:rPr>
            </w:pPr>
          </w:p>
        </w:tc>
      </w:tr>
      <w:tr>
        <w:tblPrEx>
          <w:tblCellMar>
            <w:top w:w="0" w:type="dxa"/>
            <w:left w:w="108" w:type="dxa"/>
            <w:bottom w:w="0" w:type="dxa"/>
            <w:right w:w="108" w:type="dxa"/>
          </w:tblCellMar>
        </w:tblPrEx>
        <w:trPr>
          <w:trHeight w:val="680" w:hRule="atLeast"/>
        </w:trPr>
        <w:tc>
          <w:tcPr>
            <w:tcW w:w="385" w:type="pct"/>
            <w:vMerge w:val="continue"/>
            <w:tcBorders>
              <w:left w:val="single" w:color="000000" w:sz="4" w:space="0"/>
              <w:right w:val="single" w:color="000000" w:sz="4" w:space="0"/>
            </w:tcBorders>
            <w:noWrap w:val="0"/>
            <w:textDirection w:val="tbRlV"/>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eastAsia="方正楷体_GBK" w:cs="Times New Roman"/>
                <w:b w:val="0"/>
                <w:bCs w:val="0"/>
                <w:color w:val="auto"/>
                <w:sz w:val="18"/>
                <w:szCs w:val="18"/>
              </w:rPr>
            </w:pPr>
          </w:p>
        </w:tc>
        <w:tc>
          <w:tcPr>
            <w:tcW w:w="15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topLinePunct w:val="0"/>
              <w:autoSpaceDN/>
              <w:bidi w:val="0"/>
              <w:adjustRightInd/>
              <w:spacing w:beforeAutospacing="0" w:afterAutospacing="0"/>
              <w:ind w:firstLine="0" w:firstLineChars="0"/>
              <w:jc w:val="left"/>
              <w:textAlignment w:val="center"/>
              <w:rPr>
                <w:rFonts w:hint="default" w:ascii="Times New Roman" w:hAnsi="Times New Roman" w:eastAsia="方正楷体_GBK" w:cs="Times New Roman"/>
                <w:i w:val="0"/>
                <w:iCs w:val="0"/>
                <w:color w:val="auto"/>
                <w:sz w:val="18"/>
                <w:szCs w:val="18"/>
                <w:u w:val="none"/>
                <w:lang w:val="en-US" w:eastAsia="zh-CN" w:bidi="ar-SA"/>
              </w:rPr>
            </w:pPr>
            <w:r>
              <w:rPr>
                <w:rFonts w:hint="default" w:ascii="Times New Roman" w:hAnsi="Times New Roman" w:eastAsia="方正楷体_GBK" w:cs="Times New Roman"/>
                <w:i w:val="0"/>
                <w:iCs w:val="0"/>
                <w:color w:val="auto"/>
                <w:kern w:val="0"/>
                <w:sz w:val="18"/>
                <w:szCs w:val="18"/>
                <w:u w:val="none"/>
                <w:lang w:val="en-US" w:eastAsia="zh-CN" w:bidi="ar"/>
              </w:rPr>
              <w:t>重点民生实事年度完成数</w:t>
            </w:r>
          </w:p>
        </w:tc>
        <w:tc>
          <w:tcPr>
            <w:tcW w:w="5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topLinePunct w:val="0"/>
              <w:autoSpaceDN/>
              <w:bidi w:val="0"/>
              <w:adjustRightInd/>
              <w:spacing w:beforeAutospacing="0" w:afterAutospacing="0"/>
              <w:ind w:firstLine="0" w:firstLineChars="0"/>
              <w:jc w:val="center"/>
              <w:textAlignment w:val="center"/>
              <w:rPr>
                <w:rFonts w:hint="default" w:ascii="Times New Roman" w:hAnsi="Times New Roman" w:eastAsia="方正楷体_GBK" w:cs="Times New Roman"/>
                <w:i w:val="0"/>
                <w:iCs w:val="0"/>
                <w:color w:val="auto"/>
                <w:sz w:val="18"/>
                <w:szCs w:val="18"/>
                <w:u w:val="none"/>
                <w:lang w:val="en-US" w:eastAsia="zh-CN" w:bidi="ar-SA"/>
              </w:rPr>
            </w:pPr>
            <w:r>
              <w:rPr>
                <w:rFonts w:hint="default" w:ascii="Times New Roman" w:hAnsi="Times New Roman" w:eastAsia="方正楷体_GBK" w:cs="Times New Roman"/>
                <w:i w:val="0"/>
                <w:iCs w:val="0"/>
                <w:color w:val="auto"/>
                <w:kern w:val="0"/>
                <w:sz w:val="18"/>
                <w:szCs w:val="18"/>
                <w:u w:val="none"/>
                <w:lang w:val="en-US" w:eastAsia="zh-CN" w:bidi="ar"/>
              </w:rPr>
              <w:t>件</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219"/>
              </w:tabs>
              <w:kinsoku/>
              <w:overflowPunct/>
              <w:topLinePunct w:val="0"/>
              <w:autoSpaceDN/>
              <w:bidi w:val="0"/>
              <w:adjustRightInd/>
              <w:spacing w:beforeAutospacing="0" w:afterAutospacing="0"/>
              <w:jc w:val="center"/>
              <w:rPr>
                <w:rFonts w:hint="default" w:ascii="Times New Roman" w:hAnsi="Times New Roman" w:eastAsia="方正楷体_GBK" w:cs="Times New Roman"/>
                <w:b w:val="0"/>
                <w:bCs w:val="0"/>
                <w:color w:val="auto"/>
                <w:sz w:val="18"/>
                <w:szCs w:val="18"/>
                <w:lang w:eastAsia="zh-CN"/>
              </w:rPr>
            </w:pPr>
            <w:r>
              <w:rPr>
                <w:rFonts w:hint="default" w:ascii="Times New Roman" w:hAnsi="Times New Roman" w:eastAsia="方正楷体_GBK" w:cs="Times New Roman"/>
                <w:i w:val="0"/>
                <w:iCs w:val="0"/>
                <w:color w:val="auto"/>
                <w:kern w:val="0"/>
                <w:sz w:val="18"/>
                <w:szCs w:val="18"/>
                <w:u w:val="none"/>
                <w:lang w:val="en-US" w:eastAsia="zh-CN" w:bidi="ar"/>
              </w:rPr>
              <w:t>＞</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eastAsia="方正楷体_GBK" w:cs="Times New Roman"/>
                <w:b w:val="0"/>
                <w:bCs w:val="0"/>
                <w:color w:val="auto"/>
                <w:sz w:val="18"/>
                <w:szCs w:val="18"/>
                <w:lang w:val="en-US" w:eastAsia="zh-CN"/>
              </w:rPr>
            </w:pPr>
            <w:r>
              <w:rPr>
                <w:rFonts w:hint="default" w:ascii="Times New Roman" w:hAnsi="Times New Roman" w:eastAsia="方正楷体_GBK" w:cs="Times New Roman"/>
                <w:b w:val="0"/>
                <w:bCs w:val="0"/>
                <w:color w:val="auto"/>
                <w:sz w:val="18"/>
                <w:szCs w:val="18"/>
                <w:lang w:val="en-US" w:eastAsia="zh-CN"/>
              </w:rPr>
              <w:t>18</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eastAsia="方正楷体_GBK" w:cs="Times New Roman"/>
                <w:b w:val="0"/>
                <w:bCs w:val="0"/>
                <w:color w:val="auto"/>
                <w:sz w:val="18"/>
                <w:szCs w:val="18"/>
                <w:lang w:val="en-US" w:eastAsia="zh-CN"/>
              </w:rPr>
            </w:pPr>
            <w:r>
              <w:rPr>
                <w:rFonts w:hint="default" w:ascii="Times New Roman" w:hAnsi="Times New Roman" w:eastAsia="方正楷体_GBK" w:cs="Times New Roman"/>
                <w:b w:val="0"/>
                <w:bCs w:val="0"/>
                <w:color w:val="auto"/>
                <w:sz w:val="18"/>
                <w:szCs w:val="18"/>
                <w:lang w:val="en-US" w:eastAsia="zh-CN"/>
              </w:rPr>
              <w:t>10</w:t>
            </w:r>
          </w:p>
        </w:tc>
        <w:tc>
          <w:tcPr>
            <w:tcW w:w="3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eastAsia="方正楷体_GBK" w:cs="Times New Roman"/>
                <w:b w:val="0"/>
                <w:bCs w:val="0"/>
                <w:color w:val="auto"/>
                <w:sz w:val="18"/>
                <w:szCs w:val="18"/>
                <w:lang w:val="en-US" w:eastAsia="zh-CN"/>
              </w:rPr>
            </w:pPr>
            <w:r>
              <w:rPr>
                <w:rFonts w:hint="default" w:ascii="Times New Roman" w:hAnsi="Times New Roman" w:eastAsia="方正楷体_GBK" w:cs="Times New Roman"/>
                <w:b w:val="0"/>
                <w:bCs w:val="0"/>
                <w:color w:val="auto"/>
                <w:sz w:val="18"/>
                <w:szCs w:val="18"/>
                <w:lang w:val="en-US" w:eastAsia="zh-CN"/>
              </w:rPr>
              <w:t>20</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eastAsia="方正楷体_GBK" w:cs="Times New Roman"/>
                <w:b w:val="0"/>
                <w:bCs w:val="0"/>
                <w:color w:val="auto"/>
                <w:sz w:val="18"/>
                <w:szCs w:val="18"/>
                <w:lang w:val="en-US" w:eastAsia="zh-CN"/>
              </w:rPr>
            </w:pPr>
            <w:r>
              <w:rPr>
                <w:rFonts w:hint="default" w:ascii="Times New Roman" w:hAnsi="Times New Roman" w:eastAsia="方正楷体_GBK" w:cs="Times New Roman"/>
                <w:b w:val="0"/>
                <w:bCs w:val="0"/>
                <w:color w:val="auto"/>
                <w:sz w:val="18"/>
                <w:szCs w:val="18"/>
                <w:lang w:val="en-US" w:eastAsia="zh-CN"/>
              </w:rPr>
              <w:t>10</w:t>
            </w:r>
          </w:p>
        </w:tc>
        <w:tc>
          <w:tcPr>
            <w:tcW w:w="105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rPr>
                <w:rFonts w:hint="default" w:ascii="Times New Roman" w:hAnsi="Times New Roman" w:eastAsia="方正楷体_GBK" w:cs="Times New Roman"/>
                <w:b w:val="0"/>
                <w:bCs w:val="0"/>
                <w:color w:val="auto"/>
                <w:sz w:val="18"/>
                <w:szCs w:val="18"/>
              </w:rPr>
            </w:pPr>
          </w:p>
        </w:tc>
      </w:tr>
      <w:tr>
        <w:tblPrEx>
          <w:tblCellMar>
            <w:top w:w="0" w:type="dxa"/>
            <w:left w:w="108" w:type="dxa"/>
            <w:bottom w:w="0" w:type="dxa"/>
            <w:right w:w="108" w:type="dxa"/>
          </w:tblCellMar>
        </w:tblPrEx>
        <w:trPr>
          <w:trHeight w:val="680" w:hRule="atLeast"/>
        </w:trPr>
        <w:tc>
          <w:tcPr>
            <w:tcW w:w="385" w:type="pct"/>
            <w:vMerge w:val="continue"/>
            <w:tcBorders>
              <w:left w:val="single" w:color="000000" w:sz="4" w:space="0"/>
              <w:right w:val="single" w:color="000000" w:sz="4" w:space="0"/>
            </w:tcBorders>
            <w:noWrap w:val="0"/>
            <w:textDirection w:val="tbRlV"/>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eastAsia="方正楷体_GBK" w:cs="Times New Roman"/>
                <w:b w:val="0"/>
                <w:bCs w:val="0"/>
                <w:color w:val="auto"/>
                <w:sz w:val="18"/>
                <w:szCs w:val="18"/>
              </w:rPr>
            </w:pPr>
          </w:p>
        </w:tc>
        <w:tc>
          <w:tcPr>
            <w:tcW w:w="15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topLinePunct w:val="0"/>
              <w:autoSpaceDN/>
              <w:bidi w:val="0"/>
              <w:adjustRightInd/>
              <w:spacing w:beforeAutospacing="0" w:afterAutospacing="0"/>
              <w:ind w:firstLine="0" w:firstLineChars="0"/>
              <w:jc w:val="left"/>
              <w:textAlignment w:val="center"/>
              <w:rPr>
                <w:rFonts w:hint="default" w:ascii="Times New Roman" w:hAnsi="Times New Roman" w:eastAsia="方正楷体_GBK" w:cs="Times New Roman"/>
                <w:i w:val="0"/>
                <w:iCs w:val="0"/>
                <w:color w:val="auto"/>
                <w:sz w:val="18"/>
                <w:szCs w:val="18"/>
                <w:u w:val="none"/>
                <w:lang w:val="en-US" w:eastAsia="zh-CN" w:bidi="ar-SA"/>
              </w:rPr>
            </w:pPr>
            <w:r>
              <w:rPr>
                <w:rFonts w:hint="default" w:ascii="Times New Roman" w:hAnsi="Times New Roman" w:eastAsia="方正楷体_GBK" w:cs="Times New Roman"/>
                <w:i w:val="0"/>
                <w:iCs w:val="0"/>
                <w:color w:val="auto"/>
                <w:kern w:val="0"/>
                <w:sz w:val="18"/>
                <w:szCs w:val="18"/>
                <w:u w:val="none"/>
                <w:lang w:val="en-US" w:eastAsia="zh-CN" w:bidi="ar"/>
              </w:rPr>
              <w:t>抓重大项目促投资稳增长</w:t>
            </w:r>
            <w:r>
              <w:rPr>
                <w:rFonts w:hint="eastAsia" w:ascii="Times New Roman" w:hAnsi="Times New Roman" w:eastAsia="方正楷体_GBK" w:cs="Times New Roman"/>
                <w:i w:val="0"/>
                <w:iCs w:val="0"/>
                <w:color w:val="auto"/>
                <w:kern w:val="0"/>
                <w:sz w:val="18"/>
                <w:szCs w:val="18"/>
                <w:u w:val="none"/>
                <w:lang w:val="en-US" w:eastAsia="zh-CN" w:bidi="ar"/>
              </w:rPr>
              <w:t xml:space="preserve">率                </w:t>
            </w:r>
          </w:p>
        </w:tc>
        <w:tc>
          <w:tcPr>
            <w:tcW w:w="5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topLinePunct w:val="0"/>
              <w:autoSpaceDN/>
              <w:bidi w:val="0"/>
              <w:adjustRightInd/>
              <w:spacing w:beforeAutospacing="0" w:afterAutospacing="0"/>
              <w:ind w:firstLine="0" w:firstLineChars="0"/>
              <w:jc w:val="center"/>
              <w:textAlignment w:val="center"/>
              <w:rPr>
                <w:rFonts w:hint="default" w:ascii="Times New Roman" w:hAnsi="Times New Roman" w:eastAsia="方正楷体_GBK" w:cs="Times New Roman"/>
                <w:i w:val="0"/>
                <w:iCs w:val="0"/>
                <w:color w:val="auto"/>
                <w:sz w:val="18"/>
                <w:szCs w:val="18"/>
                <w:u w:val="none"/>
                <w:lang w:val="en-US" w:eastAsia="zh-CN" w:bidi="ar-SA"/>
              </w:rPr>
            </w:pPr>
            <w:r>
              <w:rPr>
                <w:rFonts w:hint="default" w:ascii="Times New Roman" w:hAnsi="Times New Roman" w:eastAsia="方正楷体_GBK" w:cs="Times New Roman"/>
                <w:i w:val="0"/>
                <w:iCs w:val="0"/>
                <w:color w:val="auto"/>
                <w:kern w:val="0"/>
                <w:sz w:val="18"/>
                <w:szCs w:val="18"/>
                <w:u w:val="none"/>
                <w:lang w:val="en-US" w:eastAsia="zh-CN" w:bidi="ar"/>
              </w:rPr>
              <w:t>亿元</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topLinePunct w:val="0"/>
              <w:autoSpaceDN/>
              <w:bidi w:val="0"/>
              <w:adjustRightInd/>
              <w:spacing w:beforeAutospacing="0" w:afterAutospacing="0"/>
              <w:ind w:firstLine="0" w:firstLineChars="0"/>
              <w:jc w:val="center"/>
              <w:textAlignment w:val="center"/>
              <w:rPr>
                <w:rFonts w:hint="default" w:ascii="Times New Roman" w:hAnsi="Times New Roman" w:eastAsia="方正楷体_GBK" w:cs="Times New Roman"/>
                <w:i w:val="0"/>
                <w:iCs w:val="0"/>
                <w:color w:val="auto"/>
                <w:sz w:val="18"/>
                <w:szCs w:val="18"/>
                <w:u w:val="none"/>
                <w:lang w:val="en-US" w:eastAsia="zh-CN" w:bidi="ar-SA"/>
              </w:rPr>
            </w:pPr>
            <w:r>
              <w:rPr>
                <w:rFonts w:hint="default" w:ascii="Times New Roman" w:hAnsi="Times New Roman" w:eastAsia="方正楷体_GBK" w:cs="Times New Roman"/>
                <w:i w:val="0"/>
                <w:iCs w:val="0"/>
                <w:color w:val="auto"/>
                <w:kern w:val="0"/>
                <w:sz w:val="18"/>
                <w:szCs w:val="18"/>
                <w:u w:val="none"/>
                <w:lang w:val="en-US" w:eastAsia="zh-CN" w:bidi="ar"/>
              </w:rPr>
              <w:t>≥</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eastAsia="方正楷体_GBK" w:cs="Times New Roman"/>
                <w:b w:val="0"/>
                <w:bCs w:val="0"/>
                <w:color w:val="auto"/>
                <w:sz w:val="18"/>
                <w:szCs w:val="18"/>
                <w:lang w:val="en-US" w:eastAsia="zh-CN"/>
              </w:rPr>
            </w:pPr>
            <w:r>
              <w:rPr>
                <w:rFonts w:hint="default" w:ascii="Times New Roman" w:hAnsi="Times New Roman" w:eastAsia="方正楷体_GBK" w:cs="Times New Roman"/>
                <w:b w:val="0"/>
                <w:bCs w:val="0"/>
                <w:color w:val="auto"/>
                <w:sz w:val="18"/>
                <w:szCs w:val="18"/>
                <w:lang w:val="en-US" w:eastAsia="zh-CN"/>
              </w:rPr>
              <w:t>140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eastAsia="方正楷体_GBK" w:cs="Times New Roman"/>
                <w:b w:val="0"/>
                <w:bCs w:val="0"/>
                <w:color w:val="auto"/>
                <w:sz w:val="18"/>
                <w:szCs w:val="18"/>
                <w:lang w:val="en-US" w:eastAsia="zh-CN"/>
              </w:rPr>
            </w:pPr>
            <w:r>
              <w:rPr>
                <w:rFonts w:hint="default" w:ascii="Times New Roman" w:hAnsi="Times New Roman" w:eastAsia="方正楷体_GBK" w:cs="Times New Roman"/>
                <w:b w:val="0"/>
                <w:bCs w:val="0"/>
                <w:color w:val="auto"/>
                <w:sz w:val="18"/>
                <w:szCs w:val="18"/>
                <w:lang w:val="en-US" w:eastAsia="zh-CN"/>
              </w:rPr>
              <w:t>10</w:t>
            </w:r>
          </w:p>
        </w:tc>
        <w:tc>
          <w:tcPr>
            <w:tcW w:w="3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eastAsia="方正楷体_GBK" w:cs="Times New Roman"/>
                <w:b w:val="0"/>
                <w:bCs w:val="0"/>
                <w:color w:val="auto"/>
                <w:sz w:val="18"/>
                <w:szCs w:val="18"/>
                <w:lang w:val="en-US" w:eastAsia="zh-CN"/>
              </w:rPr>
            </w:pPr>
            <w:r>
              <w:rPr>
                <w:rFonts w:hint="default" w:ascii="Times New Roman" w:hAnsi="Times New Roman" w:eastAsia="方正楷体_GBK" w:cs="Times New Roman"/>
                <w:b w:val="0"/>
                <w:bCs w:val="0"/>
                <w:color w:val="auto"/>
                <w:sz w:val="18"/>
                <w:szCs w:val="18"/>
                <w:lang w:val="en-US" w:eastAsia="zh-CN"/>
              </w:rPr>
              <w:t>160.7</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eastAsia="方正楷体_GBK" w:cs="Times New Roman"/>
                <w:b w:val="0"/>
                <w:bCs w:val="0"/>
                <w:color w:val="auto"/>
                <w:sz w:val="18"/>
                <w:szCs w:val="18"/>
                <w:lang w:val="en-US" w:eastAsia="zh-CN"/>
              </w:rPr>
            </w:pPr>
            <w:r>
              <w:rPr>
                <w:rFonts w:hint="default" w:ascii="Times New Roman" w:hAnsi="Times New Roman" w:eastAsia="方正楷体_GBK" w:cs="Times New Roman"/>
                <w:b w:val="0"/>
                <w:bCs w:val="0"/>
                <w:color w:val="auto"/>
                <w:sz w:val="18"/>
                <w:szCs w:val="18"/>
                <w:lang w:val="en-US" w:eastAsia="zh-CN"/>
              </w:rPr>
              <w:t>10</w:t>
            </w:r>
          </w:p>
        </w:tc>
        <w:tc>
          <w:tcPr>
            <w:tcW w:w="105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rPr>
                <w:rFonts w:hint="default" w:ascii="Times New Roman" w:hAnsi="Times New Roman" w:eastAsia="方正楷体_GBK" w:cs="Times New Roman"/>
                <w:b w:val="0"/>
                <w:bCs w:val="0"/>
                <w:color w:val="auto"/>
                <w:sz w:val="18"/>
                <w:szCs w:val="18"/>
              </w:rPr>
            </w:pPr>
          </w:p>
        </w:tc>
      </w:tr>
      <w:tr>
        <w:tblPrEx>
          <w:tblCellMar>
            <w:top w:w="0" w:type="dxa"/>
            <w:left w:w="108" w:type="dxa"/>
            <w:bottom w:w="0" w:type="dxa"/>
            <w:right w:w="108" w:type="dxa"/>
          </w:tblCellMar>
        </w:tblPrEx>
        <w:trPr>
          <w:trHeight w:val="680" w:hRule="atLeast"/>
        </w:trPr>
        <w:tc>
          <w:tcPr>
            <w:tcW w:w="385" w:type="pct"/>
            <w:vMerge w:val="continue"/>
            <w:tcBorders>
              <w:left w:val="single" w:color="000000" w:sz="4" w:space="0"/>
              <w:right w:val="single" w:color="000000" w:sz="4" w:space="0"/>
            </w:tcBorders>
            <w:noWrap w:val="0"/>
            <w:textDirection w:val="tbRlV"/>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eastAsia="方正楷体_GBK" w:cs="Times New Roman"/>
                <w:b w:val="0"/>
                <w:bCs w:val="0"/>
                <w:color w:val="auto"/>
                <w:sz w:val="18"/>
                <w:szCs w:val="18"/>
              </w:rPr>
            </w:pPr>
          </w:p>
        </w:tc>
        <w:tc>
          <w:tcPr>
            <w:tcW w:w="15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topLinePunct w:val="0"/>
              <w:autoSpaceDN/>
              <w:bidi w:val="0"/>
              <w:adjustRightInd/>
              <w:spacing w:beforeAutospacing="0" w:afterAutospacing="0"/>
              <w:ind w:firstLine="0" w:firstLineChars="0"/>
              <w:jc w:val="left"/>
              <w:textAlignment w:val="center"/>
              <w:rPr>
                <w:rFonts w:hint="default" w:ascii="Times New Roman" w:hAnsi="Times New Roman" w:eastAsia="方正楷体_GBK" w:cs="Times New Roman"/>
                <w:i w:val="0"/>
                <w:iCs w:val="0"/>
                <w:color w:val="auto"/>
                <w:sz w:val="18"/>
                <w:szCs w:val="18"/>
                <w:u w:val="none"/>
                <w:lang w:val="en-US" w:eastAsia="zh-CN" w:bidi="ar-SA"/>
              </w:rPr>
            </w:pPr>
            <w:r>
              <w:rPr>
                <w:rFonts w:hint="default" w:ascii="Times New Roman" w:hAnsi="Times New Roman" w:eastAsia="方正楷体_GBK" w:cs="Times New Roman"/>
                <w:i w:val="0"/>
                <w:iCs w:val="0"/>
                <w:color w:val="auto"/>
                <w:kern w:val="0"/>
                <w:sz w:val="18"/>
                <w:szCs w:val="18"/>
                <w:u w:val="none"/>
                <w:lang w:val="en-US" w:eastAsia="zh-CN" w:bidi="ar"/>
              </w:rPr>
              <w:t>政府投资项目概算审查个数</w:t>
            </w:r>
          </w:p>
        </w:tc>
        <w:tc>
          <w:tcPr>
            <w:tcW w:w="5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eastAsia="方正楷体_GBK" w:cs="Times New Roman"/>
                <w:b w:val="0"/>
                <w:bCs w:val="0"/>
                <w:color w:val="auto"/>
                <w:sz w:val="18"/>
                <w:szCs w:val="18"/>
                <w:lang w:val="en-US" w:eastAsia="zh-CN"/>
              </w:rPr>
            </w:pPr>
            <w:r>
              <w:rPr>
                <w:rFonts w:hint="default" w:ascii="Times New Roman" w:hAnsi="Times New Roman" w:eastAsia="方正楷体_GBK" w:cs="Times New Roman"/>
                <w:b w:val="0"/>
                <w:bCs w:val="0"/>
                <w:color w:val="auto"/>
                <w:sz w:val="18"/>
                <w:szCs w:val="18"/>
                <w:lang w:val="en-US" w:eastAsia="zh-CN"/>
              </w:rPr>
              <w:t>个</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eastAsia="方正楷体_GBK" w:cs="Times New Roman"/>
                <w:b w:val="0"/>
                <w:bCs w:val="0"/>
                <w:color w:val="auto"/>
                <w:sz w:val="18"/>
                <w:szCs w:val="18"/>
                <w:lang w:val="en-US" w:eastAsia="zh-CN"/>
              </w:rPr>
            </w:pPr>
            <w:r>
              <w:rPr>
                <w:rFonts w:hint="default" w:ascii="Times New Roman" w:hAnsi="Times New Roman" w:eastAsia="方正楷体_GBK" w:cs="Times New Roman"/>
                <w:i w:val="0"/>
                <w:iCs w:val="0"/>
                <w:color w:val="auto"/>
                <w:kern w:val="0"/>
                <w:sz w:val="18"/>
                <w:szCs w:val="18"/>
                <w:u w:val="none"/>
                <w:lang w:val="en-US" w:eastAsia="zh-CN" w:bidi="ar"/>
              </w:rPr>
              <w:t>＞</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eastAsia="方正楷体_GBK" w:cs="Times New Roman"/>
                <w:b w:val="0"/>
                <w:bCs w:val="0"/>
                <w:color w:val="auto"/>
                <w:sz w:val="18"/>
                <w:szCs w:val="18"/>
                <w:lang w:val="en-US" w:eastAsia="zh-CN"/>
              </w:rPr>
            </w:pPr>
            <w:r>
              <w:rPr>
                <w:rFonts w:hint="default" w:ascii="Times New Roman" w:hAnsi="Times New Roman" w:eastAsia="方正楷体_GBK" w:cs="Times New Roman"/>
                <w:b w:val="0"/>
                <w:bCs w:val="0"/>
                <w:color w:val="auto"/>
                <w:sz w:val="18"/>
                <w:szCs w:val="18"/>
                <w:lang w:val="en-US" w:eastAsia="zh-CN"/>
              </w:rPr>
              <w:t>90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eastAsia="方正楷体_GBK" w:cs="Times New Roman"/>
                <w:b w:val="0"/>
                <w:bCs w:val="0"/>
                <w:color w:val="auto"/>
                <w:sz w:val="18"/>
                <w:szCs w:val="18"/>
                <w:lang w:val="en-US" w:eastAsia="zh-CN"/>
              </w:rPr>
            </w:pPr>
            <w:r>
              <w:rPr>
                <w:rFonts w:hint="eastAsia" w:ascii="Times New Roman" w:hAnsi="Times New Roman" w:eastAsia="方正楷体_GBK" w:cs="Times New Roman"/>
                <w:b w:val="0"/>
                <w:bCs w:val="0"/>
                <w:color w:val="auto"/>
                <w:sz w:val="18"/>
                <w:szCs w:val="18"/>
                <w:lang w:val="en-US" w:eastAsia="zh-CN"/>
              </w:rPr>
              <w:t>5</w:t>
            </w:r>
          </w:p>
        </w:tc>
        <w:tc>
          <w:tcPr>
            <w:tcW w:w="3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eastAsia="方正楷体_GBK" w:cs="Times New Roman"/>
                <w:b w:val="0"/>
                <w:bCs w:val="0"/>
                <w:color w:val="auto"/>
                <w:sz w:val="18"/>
                <w:szCs w:val="18"/>
                <w:lang w:val="en-US" w:eastAsia="zh-CN"/>
              </w:rPr>
            </w:pPr>
            <w:r>
              <w:rPr>
                <w:rFonts w:hint="default" w:ascii="Times New Roman" w:hAnsi="Times New Roman" w:eastAsia="方正楷体_GBK" w:cs="Times New Roman"/>
                <w:b w:val="0"/>
                <w:bCs w:val="0"/>
                <w:color w:val="auto"/>
                <w:sz w:val="18"/>
                <w:szCs w:val="18"/>
                <w:lang w:val="en-US" w:eastAsia="zh-CN"/>
              </w:rPr>
              <w:t>91</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eastAsia="方正楷体_GBK" w:cs="Times New Roman"/>
                <w:b w:val="0"/>
                <w:bCs w:val="0"/>
                <w:color w:val="auto"/>
                <w:sz w:val="18"/>
                <w:szCs w:val="18"/>
                <w:lang w:val="en-US" w:eastAsia="zh-CN"/>
              </w:rPr>
            </w:pPr>
            <w:r>
              <w:rPr>
                <w:rFonts w:hint="eastAsia" w:ascii="Times New Roman" w:hAnsi="Times New Roman" w:eastAsia="方正楷体_GBK" w:cs="Times New Roman"/>
                <w:b w:val="0"/>
                <w:bCs w:val="0"/>
                <w:color w:val="auto"/>
                <w:sz w:val="18"/>
                <w:szCs w:val="18"/>
                <w:lang w:val="en-US" w:eastAsia="zh-CN"/>
              </w:rPr>
              <w:t>5</w:t>
            </w:r>
          </w:p>
        </w:tc>
        <w:tc>
          <w:tcPr>
            <w:tcW w:w="105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rPr>
                <w:rFonts w:hint="default" w:ascii="Times New Roman" w:hAnsi="Times New Roman" w:eastAsia="方正楷体_GBK" w:cs="Times New Roman"/>
                <w:b w:val="0"/>
                <w:bCs w:val="0"/>
                <w:color w:val="auto"/>
                <w:sz w:val="18"/>
                <w:szCs w:val="18"/>
              </w:rPr>
            </w:pPr>
          </w:p>
        </w:tc>
      </w:tr>
      <w:tr>
        <w:tblPrEx>
          <w:tblCellMar>
            <w:top w:w="0" w:type="dxa"/>
            <w:left w:w="108" w:type="dxa"/>
            <w:bottom w:w="0" w:type="dxa"/>
            <w:right w:w="108" w:type="dxa"/>
          </w:tblCellMar>
        </w:tblPrEx>
        <w:trPr>
          <w:trHeight w:val="680" w:hRule="atLeast"/>
        </w:trPr>
        <w:tc>
          <w:tcPr>
            <w:tcW w:w="385" w:type="pct"/>
            <w:vMerge w:val="continue"/>
            <w:tcBorders>
              <w:left w:val="single" w:color="000000" w:sz="4" w:space="0"/>
              <w:right w:val="single" w:color="000000" w:sz="4" w:space="0"/>
            </w:tcBorders>
            <w:noWrap w:val="0"/>
            <w:textDirection w:val="tbRlV"/>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eastAsia="方正楷体_GBK" w:cs="Times New Roman"/>
                <w:b w:val="0"/>
                <w:bCs w:val="0"/>
                <w:color w:val="auto"/>
                <w:sz w:val="18"/>
                <w:szCs w:val="18"/>
              </w:rPr>
            </w:pPr>
          </w:p>
        </w:tc>
        <w:tc>
          <w:tcPr>
            <w:tcW w:w="15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topLinePunct w:val="0"/>
              <w:autoSpaceDN/>
              <w:bidi w:val="0"/>
              <w:adjustRightInd/>
              <w:spacing w:beforeAutospacing="0" w:afterAutospacing="0"/>
              <w:ind w:firstLine="0" w:firstLineChars="0"/>
              <w:jc w:val="left"/>
              <w:textAlignment w:val="center"/>
              <w:rPr>
                <w:rFonts w:hint="default" w:ascii="Times New Roman" w:hAnsi="Times New Roman" w:eastAsia="方正楷体_GBK" w:cs="Times New Roman"/>
                <w:i w:val="0"/>
                <w:iCs w:val="0"/>
                <w:color w:val="auto"/>
                <w:sz w:val="18"/>
                <w:szCs w:val="18"/>
                <w:u w:val="none"/>
                <w:lang w:val="en-US" w:eastAsia="zh-CN" w:bidi="ar-SA"/>
              </w:rPr>
            </w:pPr>
            <w:r>
              <w:rPr>
                <w:rFonts w:hint="default" w:ascii="Times New Roman" w:hAnsi="Times New Roman" w:eastAsia="方正楷体_GBK" w:cs="Times New Roman"/>
                <w:i w:val="0"/>
                <w:iCs w:val="0"/>
                <w:color w:val="auto"/>
                <w:kern w:val="0"/>
                <w:sz w:val="18"/>
                <w:szCs w:val="18"/>
                <w:u w:val="none"/>
                <w:lang w:val="en-US" w:eastAsia="zh-CN" w:bidi="ar"/>
              </w:rPr>
              <w:t>经济形势监测及分析</w:t>
            </w:r>
          </w:p>
        </w:tc>
        <w:tc>
          <w:tcPr>
            <w:tcW w:w="5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topLinePunct w:val="0"/>
              <w:autoSpaceDN/>
              <w:bidi w:val="0"/>
              <w:adjustRightInd/>
              <w:spacing w:beforeAutospacing="0" w:afterAutospacing="0"/>
              <w:ind w:firstLine="0" w:firstLineChars="0"/>
              <w:jc w:val="center"/>
              <w:textAlignment w:val="center"/>
              <w:rPr>
                <w:rFonts w:hint="default" w:ascii="Times New Roman" w:hAnsi="Times New Roman" w:eastAsia="方正楷体_GBK" w:cs="Times New Roman"/>
                <w:i w:val="0"/>
                <w:iCs w:val="0"/>
                <w:color w:val="auto"/>
                <w:sz w:val="18"/>
                <w:szCs w:val="18"/>
                <w:u w:val="none"/>
                <w:lang w:val="en-US" w:eastAsia="zh-CN" w:bidi="ar-SA"/>
              </w:rPr>
            </w:pPr>
            <w:r>
              <w:rPr>
                <w:rFonts w:hint="default" w:ascii="Times New Roman" w:hAnsi="Times New Roman" w:eastAsia="方正楷体_GBK" w:cs="Times New Roman"/>
                <w:i w:val="0"/>
                <w:iCs w:val="0"/>
                <w:color w:val="auto"/>
                <w:kern w:val="0"/>
                <w:sz w:val="18"/>
                <w:szCs w:val="18"/>
                <w:u w:val="none"/>
                <w:lang w:val="en-US" w:eastAsia="zh-CN" w:bidi="ar"/>
              </w:rPr>
              <w:t>篇（部）</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topLinePunct w:val="0"/>
              <w:autoSpaceDN/>
              <w:bidi w:val="0"/>
              <w:adjustRightInd/>
              <w:spacing w:beforeAutospacing="0" w:afterAutospacing="0"/>
              <w:ind w:firstLine="0" w:firstLineChars="0"/>
              <w:jc w:val="center"/>
              <w:textAlignment w:val="center"/>
              <w:rPr>
                <w:rFonts w:hint="default" w:ascii="Times New Roman" w:hAnsi="Times New Roman" w:eastAsia="方正楷体_GBK" w:cs="Times New Roman"/>
                <w:i w:val="0"/>
                <w:iCs w:val="0"/>
                <w:color w:val="auto"/>
                <w:sz w:val="18"/>
                <w:szCs w:val="18"/>
                <w:u w:val="none"/>
                <w:lang w:val="en-US" w:eastAsia="zh-CN" w:bidi="ar-SA"/>
              </w:rPr>
            </w:pPr>
            <w:r>
              <w:rPr>
                <w:rFonts w:hint="default" w:ascii="Times New Roman" w:hAnsi="Times New Roman" w:eastAsia="方正楷体_GBK" w:cs="Times New Roman"/>
                <w:i w:val="0"/>
                <w:iCs w:val="0"/>
                <w:color w:val="auto"/>
                <w:kern w:val="0"/>
                <w:sz w:val="18"/>
                <w:szCs w:val="18"/>
                <w:u w:val="none"/>
                <w:lang w:val="en-US" w:eastAsia="zh-CN" w:bidi="ar"/>
              </w:rPr>
              <w:t>＞</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eastAsia="方正楷体_GBK" w:cs="Times New Roman"/>
                <w:b w:val="0"/>
                <w:bCs w:val="0"/>
                <w:color w:val="auto"/>
                <w:sz w:val="18"/>
                <w:szCs w:val="18"/>
                <w:lang w:val="en-US" w:eastAsia="zh-CN"/>
              </w:rPr>
            </w:pPr>
            <w:r>
              <w:rPr>
                <w:rFonts w:hint="default" w:ascii="Times New Roman" w:hAnsi="Times New Roman" w:eastAsia="方正楷体_GBK" w:cs="Times New Roman"/>
                <w:b w:val="0"/>
                <w:bCs w:val="0"/>
                <w:color w:val="auto"/>
                <w:sz w:val="18"/>
                <w:szCs w:val="18"/>
                <w:lang w:val="en-US" w:eastAsia="zh-CN"/>
              </w:rPr>
              <w:t>10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eastAsia="方正楷体_GBK" w:cs="Times New Roman"/>
                <w:b w:val="0"/>
                <w:bCs w:val="0"/>
                <w:color w:val="auto"/>
                <w:sz w:val="18"/>
                <w:szCs w:val="18"/>
                <w:lang w:val="en-US" w:eastAsia="zh-CN"/>
              </w:rPr>
            </w:pPr>
            <w:r>
              <w:rPr>
                <w:rFonts w:hint="eastAsia" w:ascii="Times New Roman" w:hAnsi="Times New Roman" w:eastAsia="方正楷体_GBK" w:cs="Times New Roman"/>
                <w:b w:val="0"/>
                <w:bCs w:val="0"/>
                <w:color w:val="auto"/>
                <w:sz w:val="18"/>
                <w:szCs w:val="18"/>
                <w:lang w:val="en-US" w:eastAsia="zh-CN"/>
              </w:rPr>
              <w:t>5</w:t>
            </w:r>
          </w:p>
        </w:tc>
        <w:tc>
          <w:tcPr>
            <w:tcW w:w="3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eastAsia="方正楷体_GBK" w:cs="Times New Roman"/>
                <w:b w:val="0"/>
                <w:bCs w:val="0"/>
                <w:color w:val="auto"/>
                <w:sz w:val="18"/>
                <w:szCs w:val="18"/>
                <w:lang w:val="en-US" w:eastAsia="zh-CN"/>
              </w:rPr>
            </w:pPr>
            <w:r>
              <w:rPr>
                <w:rFonts w:hint="default" w:ascii="Times New Roman" w:hAnsi="Times New Roman" w:eastAsia="方正楷体_GBK" w:cs="Times New Roman"/>
                <w:b w:val="0"/>
                <w:bCs w:val="0"/>
                <w:color w:val="auto"/>
                <w:sz w:val="18"/>
                <w:szCs w:val="18"/>
                <w:lang w:val="en-US" w:eastAsia="zh-CN"/>
              </w:rPr>
              <w:t>10</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eastAsia="方正楷体_GBK" w:cs="Times New Roman"/>
                <w:b w:val="0"/>
                <w:bCs w:val="0"/>
                <w:color w:val="auto"/>
                <w:sz w:val="18"/>
                <w:szCs w:val="18"/>
                <w:lang w:val="en-US" w:eastAsia="zh-CN"/>
              </w:rPr>
            </w:pPr>
            <w:r>
              <w:rPr>
                <w:rFonts w:hint="eastAsia" w:ascii="Times New Roman" w:hAnsi="Times New Roman" w:eastAsia="方正楷体_GBK" w:cs="Times New Roman"/>
                <w:b w:val="0"/>
                <w:bCs w:val="0"/>
                <w:color w:val="auto"/>
                <w:sz w:val="18"/>
                <w:szCs w:val="18"/>
                <w:lang w:val="en-US" w:eastAsia="zh-CN"/>
              </w:rPr>
              <w:t>5</w:t>
            </w:r>
          </w:p>
        </w:tc>
        <w:tc>
          <w:tcPr>
            <w:tcW w:w="105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rPr>
                <w:rFonts w:hint="default" w:ascii="Times New Roman" w:hAnsi="Times New Roman" w:eastAsia="方正楷体_GBK" w:cs="Times New Roman"/>
                <w:b w:val="0"/>
                <w:bCs w:val="0"/>
                <w:color w:val="auto"/>
                <w:sz w:val="18"/>
                <w:szCs w:val="18"/>
              </w:rPr>
            </w:pPr>
          </w:p>
        </w:tc>
      </w:tr>
      <w:tr>
        <w:tblPrEx>
          <w:tblCellMar>
            <w:top w:w="0" w:type="dxa"/>
            <w:left w:w="108" w:type="dxa"/>
            <w:bottom w:w="0" w:type="dxa"/>
            <w:right w:w="108" w:type="dxa"/>
          </w:tblCellMar>
        </w:tblPrEx>
        <w:trPr>
          <w:trHeight w:val="680" w:hRule="atLeast"/>
        </w:trPr>
        <w:tc>
          <w:tcPr>
            <w:tcW w:w="385" w:type="pct"/>
            <w:vMerge w:val="continue"/>
            <w:tcBorders>
              <w:left w:val="single" w:color="000000" w:sz="4" w:space="0"/>
              <w:right w:val="single" w:color="000000" w:sz="4" w:space="0"/>
            </w:tcBorders>
            <w:noWrap w:val="0"/>
            <w:textDirection w:val="tbRlV"/>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eastAsia="方正楷体_GBK" w:cs="Times New Roman"/>
                <w:b w:val="0"/>
                <w:bCs w:val="0"/>
                <w:color w:val="auto"/>
                <w:sz w:val="18"/>
                <w:szCs w:val="18"/>
              </w:rPr>
            </w:pPr>
          </w:p>
        </w:tc>
        <w:tc>
          <w:tcPr>
            <w:tcW w:w="15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topLinePunct w:val="0"/>
              <w:autoSpaceDN/>
              <w:bidi w:val="0"/>
              <w:adjustRightInd/>
              <w:spacing w:beforeAutospacing="0" w:afterAutospacing="0"/>
              <w:ind w:firstLine="0" w:firstLineChars="0"/>
              <w:jc w:val="left"/>
              <w:textAlignment w:val="center"/>
              <w:rPr>
                <w:rFonts w:hint="default" w:ascii="Times New Roman" w:hAnsi="Times New Roman" w:eastAsia="方正楷体_GBK" w:cs="Times New Roman"/>
                <w:i w:val="0"/>
                <w:iCs w:val="0"/>
                <w:color w:val="auto"/>
                <w:sz w:val="18"/>
                <w:szCs w:val="18"/>
                <w:u w:val="none"/>
                <w:lang w:val="en-US" w:eastAsia="zh-CN" w:bidi="ar-SA"/>
              </w:rPr>
            </w:pPr>
            <w:r>
              <w:rPr>
                <w:rFonts w:hint="default" w:ascii="Times New Roman" w:hAnsi="Times New Roman" w:eastAsia="方正楷体_GBK" w:cs="Times New Roman"/>
                <w:i w:val="0"/>
                <w:iCs w:val="0"/>
                <w:color w:val="auto"/>
                <w:kern w:val="0"/>
                <w:sz w:val="18"/>
                <w:szCs w:val="18"/>
                <w:u w:val="none"/>
                <w:lang w:val="en-US" w:eastAsia="zh-CN" w:bidi="ar"/>
              </w:rPr>
              <w:t>价格认定金额</w:t>
            </w:r>
          </w:p>
        </w:tc>
        <w:tc>
          <w:tcPr>
            <w:tcW w:w="5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eastAsia="方正楷体_GBK" w:cs="Times New Roman"/>
                <w:b w:val="0"/>
                <w:bCs w:val="0"/>
                <w:color w:val="auto"/>
                <w:sz w:val="18"/>
                <w:szCs w:val="18"/>
                <w:lang w:val="en-US" w:eastAsia="zh-CN"/>
              </w:rPr>
            </w:pPr>
            <w:r>
              <w:rPr>
                <w:rFonts w:hint="default" w:ascii="Times New Roman" w:hAnsi="Times New Roman" w:eastAsia="方正楷体_GBK" w:cs="Times New Roman"/>
                <w:b w:val="0"/>
                <w:bCs w:val="0"/>
                <w:color w:val="auto"/>
                <w:sz w:val="18"/>
                <w:szCs w:val="18"/>
                <w:lang w:val="en-US" w:eastAsia="zh-CN"/>
              </w:rPr>
              <w:t>万元</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topLinePunct w:val="0"/>
              <w:autoSpaceDN/>
              <w:bidi w:val="0"/>
              <w:adjustRightInd/>
              <w:spacing w:beforeAutospacing="0" w:afterAutospacing="0"/>
              <w:ind w:firstLine="0" w:firstLineChars="0"/>
              <w:jc w:val="center"/>
              <w:textAlignment w:val="center"/>
              <w:rPr>
                <w:rFonts w:hint="default" w:ascii="Times New Roman" w:hAnsi="Times New Roman" w:eastAsia="方正楷体_GBK" w:cs="Times New Roman"/>
                <w:i w:val="0"/>
                <w:iCs w:val="0"/>
                <w:color w:val="auto"/>
                <w:sz w:val="18"/>
                <w:szCs w:val="18"/>
                <w:u w:val="none"/>
                <w:lang w:val="en-US" w:eastAsia="zh-CN" w:bidi="ar-SA"/>
              </w:rPr>
            </w:pPr>
            <w:r>
              <w:rPr>
                <w:rFonts w:hint="default" w:ascii="Times New Roman" w:hAnsi="Times New Roman" w:eastAsia="方正楷体_GBK" w:cs="Times New Roman"/>
                <w:i w:val="0"/>
                <w:iCs w:val="0"/>
                <w:color w:val="auto"/>
                <w:kern w:val="0"/>
                <w:sz w:val="18"/>
                <w:szCs w:val="18"/>
                <w:u w:val="none"/>
                <w:lang w:val="en-US" w:eastAsia="zh-CN" w:bidi="ar"/>
              </w:rPr>
              <w:t>＞</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eastAsia="方正楷体_GBK" w:cs="Times New Roman"/>
                <w:b w:val="0"/>
                <w:bCs w:val="0"/>
                <w:color w:val="auto"/>
                <w:sz w:val="18"/>
                <w:szCs w:val="18"/>
                <w:lang w:val="en-US" w:eastAsia="zh-CN"/>
              </w:rPr>
            </w:pPr>
            <w:r>
              <w:rPr>
                <w:rFonts w:hint="default" w:ascii="Times New Roman" w:hAnsi="Times New Roman" w:eastAsia="方正楷体_GBK" w:cs="Times New Roman"/>
                <w:b w:val="0"/>
                <w:bCs w:val="0"/>
                <w:color w:val="auto"/>
                <w:sz w:val="18"/>
                <w:szCs w:val="18"/>
                <w:lang w:val="en-US" w:eastAsia="zh-CN"/>
              </w:rPr>
              <w:t>1700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eastAsia="方正楷体_GBK" w:cs="Times New Roman"/>
                <w:b w:val="0"/>
                <w:bCs w:val="0"/>
                <w:color w:val="auto"/>
                <w:sz w:val="18"/>
                <w:szCs w:val="18"/>
                <w:lang w:val="en-US" w:eastAsia="zh-CN"/>
              </w:rPr>
            </w:pPr>
            <w:r>
              <w:rPr>
                <w:rFonts w:hint="default" w:ascii="Times New Roman" w:hAnsi="Times New Roman" w:eastAsia="方正楷体_GBK" w:cs="Times New Roman"/>
                <w:b w:val="0"/>
                <w:bCs w:val="0"/>
                <w:color w:val="auto"/>
                <w:sz w:val="18"/>
                <w:szCs w:val="18"/>
                <w:lang w:val="en-US" w:eastAsia="zh-CN"/>
              </w:rPr>
              <w:t>5</w:t>
            </w:r>
          </w:p>
        </w:tc>
        <w:tc>
          <w:tcPr>
            <w:tcW w:w="3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topLinePunct w:val="0"/>
              <w:autoSpaceDN/>
              <w:bidi w:val="0"/>
              <w:adjustRightInd/>
              <w:spacing w:beforeAutospacing="0" w:afterAutospacing="0"/>
              <w:ind w:firstLine="180" w:firstLineChars="100"/>
              <w:jc w:val="center"/>
              <w:textAlignment w:val="center"/>
              <w:rPr>
                <w:rFonts w:hint="default" w:ascii="Times New Roman" w:hAnsi="Times New Roman" w:eastAsia="方正楷体_GBK" w:cs="Times New Roman"/>
                <w:i w:val="0"/>
                <w:iCs w:val="0"/>
                <w:color w:val="auto"/>
                <w:sz w:val="18"/>
                <w:szCs w:val="18"/>
                <w:u w:val="none"/>
                <w:lang w:val="en-US" w:eastAsia="zh-CN" w:bidi="ar-SA"/>
              </w:rPr>
            </w:pPr>
            <w:r>
              <w:rPr>
                <w:rFonts w:hint="default" w:ascii="Times New Roman" w:hAnsi="Times New Roman" w:eastAsia="方正楷体_GBK" w:cs="Times New Roman"/>
                <w:b w:val="0"/>
                <w:bCs w:val="0"/>
                <w:color w:val="auto"/>
                <w:sz w:val="18"/>
                <w:szCs w:val="18"/>
                <w:lang w:val="en-US" w:eastAsia="zh-CN"/>
              </w:rPr>
              <w:t>1937.27</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eastAsia="方正楷体_GBK" w:cs="Times New Roman"/>
                <w:b w:val="0"/>
                <w:bCs w:val="0"/>
                <w:color w:val="auto"/>
                <w:sz w:val="18"/>
                <w:szCs w:val="18"/>
                <w:lang w:val="en-US" w:eastAsia="zh-CN"/>
              </w:rPr>
            </w:pPr>
            <w:r>
              <w:rPr>
                <w:rFonts w:hint="default" w:ascii="Times New Roman" w:hAnsi="Times New Roman" w:eastAsia="方正楷体_GBK" w:cs="Times New Roman"/>
                <w:b w:val="0"/>
                <w:bCs w:val="0"/>
                <w:color w:val="auto"/>
                <w:sz w:val="18"/>
                <w:szCs w:val="18"/>
                <w:lang w:val="en-US" w:eastAsia="zh-CN"/>
              </w:rPr>
              <w:t>5</w:t>
            </w:r>
          </w:p>
        </w:tc>
        <w:tc>
          <w:tcPr>
            <w:tcW w:w="105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rPr>
                <w:rFonts w:hint="default" w:ascii="Times New Roman" w:hAnsi="Times New Roman" w:eastAsia="方正楷体_GBK" w:cs="Times New Roman"/>
                <w:b w:val="0"/>
                <w:bCs w:val="0"/>
                <w:color w:val="auto"/>
                <w:sz w:val="18"/>
                <w:szCs w:val="18"/>
              </w:rPr>
            </w:pPr>
          </w:p>
        </w:tc>
      </w:tr>
      <w:tr>
        <w:tblPrEx>
          <w:tblCellMar>
            <w:top w:w="0" w:type="dxa"/>
            <w:left w:w="108" w:type="dxa"/>
            <w:bottom w:w="0" w:type="dxa"/>
            <w:right w:w="108" w:type="dxa"/>
          </w:tblCellMar>
        </w:tblPrEx>
        <w:trPr>
          <w:trHeight w:val="680" w:hRule="atLeast"/>
        </w:trPr>
        <w:tc>
          <w:tcPr>
            <w:tcW w:w="385" w:type="pct"/>
            <w:vMerge w:val="continue"/>
            <w:tcBorders>
              <w:left w:val="single" w:color="000000" w:sz="4" w:space="0"/>
              <w:right w:val="single" w:color="000000" w:sz="4" w:space="0"/>
            </w:tcBorders>
            <w:noWrap w:val="0"/>
            <w:textDirection w:val="tbRlV"/>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eastAsia="方正楷体_GBK" w:cs="Times New Roman"/>
                <w:b w:val="0"/>
                <w:bCs w:val="0"/>
                <w:color w:val="auto"/>
                <w:sz w:val="18"/>
                <w:szCs w:val="18"/>
              </w:rPr>
            </w:pPr>
          </w:p>
        </w:tc>
        <w:tc>
          <w:tcPr>
            <w:tcW w:w="15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topLinePunct w:val="0"/>
              <w:autoSpaceDN/>
              <w:bidi w:val="0"/>
              <w:adjustRightInd/>
              <w:spacing w:beforeAutospacing="0" w:afterAutospacing="0"/>
              <w:ind w:firstLine="0" w:firstLineChars="0"/>
              <w:jc w:val="left"/>
              <w:textAlignment w:val="center"/>
              <w:rPr>
                <w:rFonts w:hint="default" w:ascii="Times New Roman" w:hAnsi="Times New Roman" w:eastAsia="方正楷体_GBK" w:cs="Times New Roman"/>
                <w:i w:val="0"/>
                <w:iCs w:val="0"/>
                <w:color w:val="auto"/>
                <w:sz w:val="18"/>
                <w:szCs w:val="18"/>
                <w:u w:val="none"/>
                <w:lang w:val="en-US" w:eastAsia="zh-CN" w:bidi="ar-SA"/>
              </w:rPr>
            </w:pPr>
            <w:r>
              <w:rPr>
                <w:rFonts w:hint="default" w:ascii="Times New Roman" w:hAnsi="Times New Roman" w:eastAsia="方正楷体_GBK" w:cs="Times New Roman"/>
                <w:i w:val="0"/>
                <w:iCs w:val="0"/>
                <w:color w:val="auto"/>
                <w:kern w:val="0"/>
                <w:sz w:val="18"/>
                <w:szCs w:val="18"/>
                <w:u w:val="none"/>
                <w:lang w:val="en-US" w:eastAsia="zh-CN" w:bidi="ar"/>
              </w:rPr>
              <w:t>价格认定数量</w:t>
            </w:r>
          </w:p>
        </w:tc>
        <w:tc>
          <w:tcPr>
            <w:tcW w:w="5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eastAsia="方正楷体_GBK" w:cs="Times New Roman"/>
                <w:b w:val="0"/>
                <w:bCs w:val="0"/>
                <w:color w:val="auto"/>
                <w:sz w:val="18"/>
                <w:szCs w:val="18"/>
                <w:lang w:val="en-US" w:eastAsia="zh-CN"/>
              </w:rPr>
            </w:pPr>
            <w:r>
              <w:rPr>
                <w:rFonts w:hint="default" w:ascii="Times New Roman" w:hAnsi="Times New Roman" w:eastAsia="方正楷体_GBK" w:cs="Times New Roman"/>
                <w:b w:val="0"/>
                <w:bCs w:val="0"/>
                <w:color w:val="auto"/>
                <w:sz w:val="18"/>
                <w:szCs w:val="18"/>
                <w:lang w:val="en-US" w:eastAsia="zh-CN"/>
              </w:rPr>
              <w:t>件</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topLinePunct w:val="0"/>
              <w:autoSpaceDN/>
              <w:bidi w:val="0"/>
              <w:adjustRightInd/>
              <w:spacing w:beforeAutospacing="0" w:afterAutospacing="0"/>
              <w:ind w:firstLine="0" w:firstLineChars="0"/>
              <w:jc w:val="center"/>
              <w:textAlignment w:val="center"/>
              <w:rPr>
                <w:rFonts w:hint="default" w:ascii="Times New Roman" w:hAnsi="Times New Roman" w:eastAsia="方正楷体_GBK" w:cs="Times New Roman"/>
                <w:i w:val="0"/>
                <w:iCs w:val="0"/>
                <w:color w:val="auto"/>
                <w:sz w:val="18"/>
                <w:szCs w:val="18"/>
                <w:u w:val="none"/>
                <w:lang w:val="en-US" w:eastAsia="zh-CN" w:bidi="ar-SA"/>
              </w:rPr>
            </w:pPr>
            <w:r>
              <w:rPr>
                <w:rFonts w:hint="default" w:ascii="Times New Roman" w:hAnsi="Times New Roman" w:eastAsia="方正楷体_GBK" w:cs="Times New Roman"/>
                <w:i w:val="0"/>
                <w:iCs w:val="0"/>
                <w:color w:val="auto"/>
                <w:kern w:val="0"/>
                <w:sz w:val="18"/>
                <w:szCs w:val="18"/>
                <w:u w:val="none"/>
                <w:lang w:val="en-US" w:eastAsia="zh-CN" w:bidi="ar"/>
              </w:rPr>
              <w:t>＞</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eastAsia="方正楷体_GBK" w:cs="Times New Roman"/>
                <w:b w:val="0"/>
                <w:bCs w:val="0"/>
                <w:color w:val="auto"/>
                <w:sz w:val="18"/>
                <w:szCs w:val="18"/>
                <w:lang w:val="en-US" w:eastAsia="zh-CN"/>
              </w:rPr>
            </w:pPr>
            <w:r>
              <w:rPr>
                <w:rFonts w:hint="default" w:ascii="Times New Roman" w:hAnsi="Times New Roman" w:eastAsia="方正楷体_GBK" w:cs="Times New Roman"/>
                <w:b w:val="0"/>
                <w:bCs w:val="0"/>
                <w:color w:val="auto"/>
                <w:sz w:val="18"/>
                <w:szCs w:val="18"/>
                <w:lang w:val="en-US" w:eastAsia="zh-CN"/>
              </w:rPr>
              <w:t>260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eastAsia="方正楷体_GBK" w:cs="Times New Roman"/>
                <w:b w:val="0"/>
                <w:bCs w:val="0"/>
                <w:color w:val="auto"/>
                <w:sz w:val="18"/>
                <w:szCs w:val="18"/>
                <w:lang w:val="en-US" w:eastAsia="zh-CN"/>
              </w:rPr>
            </w:pPr>
            <w:r>
              <w:rPr>
                <w:rFonts w:hint="default" w:ascii="Times New Roman" w:hAnsi="Times New Roman" w:eastAsia="方正楷体_GBK" w:cs="Times New Roman"/>
                <w:b w:val="0"/>
                <w:bCs w:val="0"/>
                <w:color w:val="auto"/>
                <w:sz w:val="18"/>
                <w:szCs w:val="18"/>
                <w:lang w:val="en-US" w:eastAsia="zh-CN"/>
              </w:rPr>
              <w:t>5</w:t>
            </w:r>
          </w:p>
        </w:tc>
        <w:tc>
          <w:tcPr>
            <w:tcW w:w="3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eastAsia="方正楷体_GBK" w:cs="Times New Roman"/>
                <w:b w:val="0"/>
                <w:bCs w:val="0"/>
                <w:color w:val="auto"/>
                <w:sz w:val="18"/>
                <w:szCs w:val="18"/>
                <w:lang w:val="en-US" w:eastAsia="zh-CN"/>
              </w:rPr>
            </w:pPr>
            <w:r>
              <w:rPr>
                <w:rFonts w:hint="default" w:ascii="Times New Roman" w:hAnsi="Times New Roman" w:eastAsia="方正楷体_GBK" w:cs="Times New Roman"/>
                <w:b w:val="0"/>
                <w:bCs w:val="0"/>
                <w:color w:val="auto"/>
                <w:sz w:val="18"/>
                <w:szCs w:val="18"/>
                <w:lang w:val="en-US" w:eastAsia="zh-CN"/>
              </w:rPr>
              <w:t>287</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eastAsia="方正楷体_GBK" w:cs="Times New Roman"/>
                <w:b w:val="0"/>
                <w:bCs w:val="0"/>
                <w:color w:val="auto"/>
                <w:sz w:val="18"/>
                <w:szCs w:val="18"/>
                <w:lang w:val="en-US" w:eastAsia="zh-CN"/>
              </w:rPr>
            </w:pPr>
            <w:r>
              <w:rPr>
                <w:rFonts w:hint="default" w:ascii="Times New Roman" w:hAnsi="Times New Roman" w:eastAsia="方正楷体_GBK" w:cs="Times New Roman"/>
                <w:b w:val="0"/>
                <w:bCs w:val="0"/>
                <w:color w:val="auto"/>
                <w:sz w:val="18"/>
                <w:szCs w:val="18"/>
                <w:lang w:val="en-US" w:eastAsia="zh-CN"/>
              </w:rPr>
              <w:t>5</w:t>
            </w:r>
          </w:p>
        </w:tc>
        <w:tc>
          <w:tcPr>
            <w:tcW w:w="105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rPr>
                <w:rFonts w:hint="default" w:ascii="Times New Roman" w:hAnsi="Times New Roman" w:eastAsia="方正楷体_GBK" w:cs="Times New Roman"/>
                <w:b w:val="0"/>
                <w:bCs w:val="0"/>
                <w:color w:val="auto"/>
                <w:sz w:val="18"/>
                <w:szCs w:val="18"/>
              </w:rPr>
            </w:pPr>
          </w:p>
        </w:tc>
      </w:tr>
      <w:tr>
        <w:tblPrEx>
          <w:tblCellMar>
            <w:top w:w="0" w:type="dxa"/>
            <w:left w:w="108" w:type="dxa"/>
            <w:bottom w:w="0" w:type="dxa"/>
            <w:right w:w="108" w:type="dxa"/>
          </w:tblCellMar>
        </w:tblPrEx>
        <w:trPr>
          <w:trHeight w:val="680" w:hRule="atLeast"/>
        </w:trPr>
        <w:tc>
          <w:tcPr>
            <w:tcW w:w="385" w:type="pct"/>
            <w:vMerge w:val="continue"/>
            <w:tcBorders>
              <w:left w:val="single" w:color="000000" w:sz="4" w:space="0"/>
              <w:right w:val="single" w:color="000000" w:sz="4" w:space="0"/>
            </w:tcBorders>
            <w:noWrap w:val="0"/>
            <w:textDirection w:val="tbRlV"/>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eastAsia="方正楷体_GBK" w:cs="Times New Roman"/>
                <w:b w:val="0"/>
                <w:bCs w:val="0"/>
                <w:color w:val="auto"/>
                <w:sz w:val="18"/>
                <w:szCs w:val="18"/>
              </w:rPr>
            </w:pPr>
          </w:p>
        </w:tc>
        <w:tc>
          <w:tcPr>
            <w:tcW w:w="15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topLinePunct w:val="0"/>
              <w:autoSpaceDN/>
              <w:bidi w:val="0"/>
              <w:adjustRightInd/>
              <w:spacing w:beforeAutospacing="0" w:afterAutospacing="0"/>
              <w:ind w:firstLine="0" w:firstLineChars="0"/>
              <w:jc w:val="left"/>
              <w:textAlignment w:val="center"/>
              <w:rPr>
                <w:rFonts w:hint="default" w:ascii="Times New Roman" w:hAnsi="Times New Roman" w:eastAsia="方正楷体_GBK" w:cs="Times New Roman"/>
                <w:i w:val="0"/>
                <w:iCs w:val="0"/>
                <w:color w:val="auto"/>
                <w:sz w:val="18"/>
                <w:szCs w:val="18"/>
                <w:u w:val="none"/>
                <w:lang w:val="en-US" w:eastAsia="zh-CN" w:bidi="ar-SA"/>
              </w:rPr>
            </w:pPr>
            <w:r>
              <w:rPr>
                <w:rFonts w:hint="default" w:ascii="Times New Roman" w:hAnsi="Times New Roman" w:eastAsia="方正楷体_GBK" w:cs="Times New Roman"/>
                <w:i w:val="0"/>
                <w:iCs w:val="0"/>
                <w:color w:val="auto"/>
                <w:kern w:val="0"/>
                <w:sz w:val="18"/>
                <w:szCs w:val="18"/>
                <w:u w:val="none"/>
                <w:lang w:val="en-US" w:eastAsia="zh-CN" w:bidi="ar"/>
              </w:rPr>
              <w:t>粮食储备到位率</w:t>
            </w:r>
          </w:p>
        </w:tc>
        <w:tc>
          <w:tcPr>
            <w:tcW w:w="5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eastAsia="方正楷体_GBK" w:cs="Times New Roman"/>
                <w:b w:val="0"/>
                <w:bCs w:val="0"/>
                <w:color w:val="auto"/>
                <w:sz w:val="18"/>
                <w:szCs w:val="18"/>
                <w:lang w:val="en-US" w:eastAsia="zh-CN" w:bidi="ar-SA"/>
              </w:rPr>
            </w:pPr>
            <w:r>
              <w:rPr>
                <w:rFonts w:hint="default" w:ascii="Times New Roman" w:hAnsi="Times New Roman" w:eastAsia="方正楷体_GBK" w:cs="Times New Roman"/>
                <w:b w:val="0"/>
                <w:bCs w:val="0"/>
                <w:color w:val="auto"/>
                <w:sz w:val="18"/>
                <w:szCs w:val="18"/>
                <w:lang w:val="en-US" w:eastAsia="zh-CN"/>
              </w:rPr>
              <w:t>%</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eastAsia="方正楷体_GBK" w:cs="Times New Roman"/>
                <w:b w:val="0"/>
                <w:bCs w:val="0"/>
                <w:color w:val="auto"/>
                <w:sz w:val="18"/>
                <w:szCs w:val="18"/>
                <w:lang w:val="en-US" w:eastAsia="zh-CN" w:bidi="ar-SA"/>
              </w:rPr>
            </w:pPr>
            <w:r>
              <w:rPr>
                <w:rFonts w:hint="default" w:ascii="Times New Roman" w:hAnsi="Times New Roman" w:eastAsia="方正楷体_GBK" w:cs="Times New Roman"/>
                <w:b w:val="0"/>
                <w:bCs w:val="0"/>
                <w:color w:val="auto"/>
                <w:sz w:val="18"/>
                <w:szCs w:val="18"/>
                <w:lang w:val="en-US" w:eastAsia="zh-CN"/>
              </w:rPr>
              <w:t>=</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eastAsia="方正楷体_GBK" w:cs="Times New Roman"/>
                <w:b w:val="0"/>
                <w:bCs w:val="0"/>
                <w:color w:val="auto"/>
                <w:sz w:val="18"/>
                <w:szCs w:val="18"/>
                <w:lang w:val="en-US" w:eastAsia="zh-CN" w:bidi="ar-SA"/>
              </w:rPr>
            </w:pPr>
            <w:r>
              <w:rPr>
                <w:rFonts w:hint="default" w:ascii="Times New Roman" w:hAnsi="Times New Roman" w:eastAsia="方正楷体_GBK" w:cs="Times New Roman"/>
                <w:b w:val="0"/>
                <w:bCs w:val="0"/>
                <w:color w:val="auto"/>
                <w:sz w:val="18"/>
                <w:szCs w:val="18"/>
                <w:lang w:val="en-US" w:eastAsia="zh-CN"/>
              </w:rPr>
              <w:t>100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eastAsia="方正楷体_GBK" w:cs="Times New Roman"/>
                <w:b w:val="0"/>
                <w:bCs w:val="0"/>
                <w:color w:val="auto"/>
                <w:sz w:val="18"/>
                <w:szCs w:val="18"/>
                <w:lang w:val="en-US" w:eastAsia="zh-CN" w:bidi="ar-SA"/>
              </w:rPr>
            </w:pPr>
            <w:r>
              <w:rPr>
                <w:rFonts w:hint="eastAsia" w:ascii="Times New Roman" w:hAnsi="Times New Roman" w:eastAsia="方正楷体_GBK" w:cs="Times New Roman"/>
                <w:b w:val="0"/>
                <w:bCs w:val="0"/>
                <w:color w:val="auto"/>
                <w:sz w:val="18"/>
                <w:szCs w:val="18"/>
                <w:lang w:val="en-US" w:eastAsia="zh-CN"/>
              </w:rPr>
              <w:t>5</w:t>
            </w:r>
          </w:p>
        </w:tc>
        <w:tc>
          <w:tcPr>
            <w:tcW w:w="3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eastAsia="方正楷体_GBK" w:cs="Times New Roman"/>
                <w:b w:val="0"/>
                <w:bCs w:val="0"/>
                <w:color w:val="auto"/>
                <w:sz w:val="18"/>
                <w:szCs w:val="18"/>
                <w:lang w:val="en-US" w:eastAsia="zh-CN" w:bidi="ar-SA"/>
              </w:rPr>
            </w:pPr>
            <w:r>
              <w:rPr>
                <w:rFonts w:hint="default" w:ascii="Times New Roman" w:hAnsi="Times New Roman" w:eastAsia="方正楷体_GBK" w:cs="Times New Roman"/>
                <w:b w:val="0"/>
                <w:bCs w:val="0"/>
                <w:color w:val="auto"/>
                <w:sz w:val="18"/>
                <w:szCs w:val="18"/>
                <w:lang w:val="en-US" w:eastAsia="zh-CN"/>
              </w:rPr>
              <w:t>100</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eastAsia="方正楷体_GBK" w:cs="Times New Roman"/>
                <w:b w:val="0"/>
                <w:bCs w:val="0"/>
                <w:color w:val="auto"/>
                <w:sz w:val="18"/>
                <w:szCs w:val="18"/>
                <w:lang w:val="en-US" w:eastAsia="zh-CN" w:bidi="ar-SA"/>
              </w:rPr>
            </w:pPr>
            <w:r>
              <w:rPr>
                <w:rFonts w:hint="eastAsia" w:ascii="Times New Roman" w:hAnsi="Times New Roman" w:eastAsia="方正楷体_GBK" w:cs="Times New Roman"/>
                <w:b w:val="0"/>
                <w:bCs w:val="0"/>
                <w:color w:val="auto"/>
                <w:sz w:val="18"/>
                <w:szCs w:val="18"/>
                <w:lang w:val="en-US" w:eastAsia="zh-CN"/>
              </w:rPr>
              <w:t>5</w:t>
            </w:r>
          </w:p>
        </w:tc>
        <w:tc>
          <w:tcPr>
            <w:tcW w:w="105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rPr>
                <w:rFonts w:hint="default" w:ascii="Times New Roman" w:hAnsi="Times New Roman" w:eastAsia="方正楷体_GBK" w:cs="Times New Roman"/>
                <w:b w:val="0"/>
                <w:bCs w:val="0"/>
                <w:color w:val="auto"/>
                <w:sz w:val="18"/>
                <w:szCs w:val="18"/>
              </w:rPr>
            </w:pPr>
          </w:p>
        </w:tc>
      </w:tr>
      <w:tr>
        <w:tblPrEx>
          <w:tblCellMar>
            <w:top w:w="0" w:type="dxa"/>
            <w:left w:w="108" w:type="dxa"/>
            <w:bottom w:w="0" w:type="dxa"/>
            <w:right w:w="108" w:type="dxa"/>
          </w:tblCellMar>
        </w:tblPrEx>
        <w:trPr>
          <w:trHeight w:val="680" w:hRule="atLeast"/>
        </w:trPr>
        <w:tc>
          <w:tcPr>
            <w:tcW w:w="385" w:type="pct"/>
            <w:vMerge w:val="continue"/>
            <w:tcBorders>
              <w:left w:val="single" w:color="000000" w:sz="4" w:space="0"/>
              <w:right w:val="single" w:color="000000" w:sz="4" w:space="0"/>
            </w:tcBorders>
            <w:noWrap w:val="0"/>
            <w:textDirection w:val="tbRlV"/>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eastAsia="方正楷体_GBK" w:cs="Times New Roman"/>
                <w:b w:val="0"/>
                <w:bCs w:val="0"/>
                <w:color w:val="auto"/>
                <w:sz w:val="18"/>
                <w:szCs w:val="18"/>
              </w:rPr>
            </w:pPr>
          </w:p>
        </w:tc>
        <w:tc>
          <w:tcPr>
            <w:tcW w:w="15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topLinePunct w:val="0"/>
              <w:autoSpaceDN/>
              <w:bidi w:val="0"/>
              <w:adjustRightInd/>
              <w:spacing w:beforeAutospacing="0" w:afterAutospacing="0"/>
              <w:ind w:firstLine="0" w:firstLineChars="0"/>
              <w:jc w:val="left"/>
              <w:textAlignment w:val="center"/>
              <w:rPr>
                <w:rFonts w:hint="default" w:ascii="Times New Roman" w:hAnsi="Times New Roman" w:eastAsia="方正楷体_GBK" w:cs="Times New Roman"/>
                <w:i w:val="0"/>
                <w:iCs w:val="0"/>
                <w:color w:val="auto"/>
                <w:sz w:val="18"/>
                <w:szCs w:val="18"/>
                <w:u w:val="none"/>
                <w:lang w:val="en-US" w:eastAsia="zh-CN" w:bidi="ar-SA"/>
              </w:rPr>
            </w:pPr>
            <w:r>
              <w:rPr>
                <w:rFonts w:hint="default" w:ascii="Times New Roman" w:hAnsi="Times New Roman" w:eastAsia="方正楷体_GBK" w:cs="Times New Roman"/>
                <w:i w:val="0"/>
                <w:iCs w:val="0"/>
                <w:color w:val="auto"/>
                <w:kern w:val="0"/>
                <w:sz w:val="18"/>
                <w:szCs w:val="18"/>
                <w:u w:val="none"/>
                <w:lang w:val="en-US" w:eastAsia="zh-CN" w:bidi="ar"/>
              </w:rPr>
              <w:t>储备粮质量标准</w:t>
            </w:r>
          </w:p>
        </w:tc>
        <w:tc>
          <w:tcPr>
            <w:tcW w:w="5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eastAsia="方正楷体_GBK" w:cs="Times New Roman"/>
                <w:b w:val="0"/>
                <w:bCs w:val="0"/>
                <w:color w:val="auto"/>
                <w:sz w:val="18"/>
                <w:szCs w:val="18"/>
                <w:lang w:val="en-US" w:eastAsia="zh-CN" w:bidi="ar-SA"/>
              </w:rPr>
            </w:pPr>
          </w:p>
        </w:tc>
        <w:tc>
          <w:tcPr>
            <w:tcW w:w="3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eastAsia="方正楷体_GBK" w:cs="Times New Roman"/>
                <w:b w:val="0"/>
                <w:bCs w:val="0"/>
                <w:color w:val="auto"/>
                <w:sz w:val="18"/>
                <w:szCs w:val="18"/>
                <w:lang w:val="en-US" w:eastAsia="zh-CN" w:bidi="ar-SA"/>
              </w:rPr>
            </w:pPr>
            <w:r>
              <w:rPr>
                <w:rFonts w:hint="default" w:ascii="Times New Roman" w:hAnsi="Times New Roman" w:eastAsia="方正楷体_GBK" w:cs="Times New Roman"/>
                <w:b w:val="0"/>
                <w:bCs w:val="0"/>
                <w:color w:val="auto"/>
                <w:sz w:val="18"/>
                <w:szCs w:val="18"/>
                <w:lang w:val="en-US" w:eastAsia="zh-CN"/>
              </w:rPr>
              <w:t>定性</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eastAsia="方正楷体_GBK" w:cs="Times New Roman"/>
                <w:b w:val="0"/>
                <w:bCs w:val="0"/>
                <w:color w:val="auto"/>
                <w:sz w:val="18"/>
                <w:szCs w:val="18"/>
                <w:lang w:val="en-US" w:eastAsia="zh-CN" w:bidi="ar-SA"/>
              </w:rPr>
            </w:pPr>
            <w:r>
              <w:rPr>
                <w:rFonts w:hint="default" w:ascii="Times New Roman" w:hAnsi="Times New Roman" w:eastAsia="方正楷体_GBK" w:cs="Times New Roman"/>
                <w:b w:val="0"/>
                <w:bCs w:val="0"/>
                <w:color w:val="auto"/>
                <w:sz w:val="18"/>
                <w:szCs w:val="18"/>
                <w:lang w:val="en-US" w:eastAsia="zh-CN"/>
              </w:rPr>
              <w:t>好</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eastAsia="方正楷体_GBK" w:cs="Times New Roman"/>
                <w:b w:val="0"/>
                <w:bCs w:val="0"/>
                <w:color w:val="auto"/>
                <w:sz w:val="18"/>
                <w:szCs w:val="18"/>
                <w:lang w:val="en-US" w:eastAsia="zh-CN" w:bidi="ar-SA"/>
              </w:rPr>
            </w:pPr>
            <w:r>
              <w:rPr>
                <w:rFonts w:hint="eastAsia" w:ascii="Times New Roman" w:hAnsi="Times New Roman" w:eastAsia="方正楷体_GBK" w:cs="Times New Roman"/>
                <w:b w:val="0"/>
                <w:bCs w:val="0"/>
                <w:color w:val="auto"/>
                <w:sz w:val="18"/>
                <w:szCs w:val="18"/>
                <w:lang w:val="en-US" w:eastAsia="zh-CN"/>
              </w:rPr>
              <w:t>5</w:t>
            </w:r>
          </w:p>
        </w:tc>
        <w:tc>
          <w:tcPr>
            <w:tcW w:w="3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eastAsia="方正楷体_GBK" w:cs="Times New Roman"/>
                <w:b w:val="0"/>
                <w:bCs w:val="0"/>
                <w:color w:val="auto"/>
                <w:sz w:val="18"/>
                <w:szCs w:val="18"/>
                <w:lang w:val="en-US" w:eastAsia="zh-CN" w:bidi="ar-SA"/>
              </w:rPr>
            </w:pPr>
            <w:r>
              <w:rPr>
                <w:rFonts w:hint="default" w:ascii="Times New Roman" w:hAnsi="Times New Roman" w:eastAsia="方正楷体_GBK" w:cs="Times New Roman"/>
                <w:b w:val="0"/>
                <w:bCs w:val="0"/>
                <w:color w:val="auto"/>
                <w:sz w:val="18"/>
                <w:szCs w:val="18"/>
                <w:lang w:val="en-US" w:eastAsia="zh-CN"/>
              </w:rPr>
              <w:t>1</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eastAsia="方正楷体_GBK" w:cs="Times New Roman"/>
                <w:b w:val="0"/>
                <w:bCs w:val="0"/>
                <w:color w:val="auto"/>
                <w:sz w:val="18"/>
                <w:szCs w:val="18"/>
                <w:lang w:val="en-US" w:eastAsia="zh-CN" w:bidi="ar-SA"/>
              </w:rPr>
            </w:pPr>
            <w:r>
              <w:rPr>
                <w:rFonts w:hint="eastAsia" w:ascii="Times New Roman" w:hAnsi="Times New Roman" w:eastAsia="方正楷体_GBK" w:cs="Times New Roman"/>
                <w:b w:val="0"/>
                <w:bCs w:val="0"/>
                <w:color w:val="auto"/>
                <w:sz w:val="18"/>
                <w:szCs w:val="18"/>
                <w:lang w:val="en-US" w:eastAsia="zh-CN"/>
              </w:rPr>
              <w:t>5</w:t>
            </w:r>
          </w:p>
        </w:tc>
        <w:tc>
          <w:tcPr>
            <w:tcW w:w="105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rPr>
                <w:rFonts w:hint="default" w:ascii="Times New Roman" w:hAnsi="Times New Roman" w:eastAsia="方正楷体_GBK" w:cs="Times New Roman"/>
                <w:b w:val="0"/>
                <w:bCs w:val="0"/>
                <w:color w:val="auto"/>
                <w:sz w:val="18"/>
                <w:szCs w:val="18"/>
              </w:rPr>
            </w:pPr>
          </w:p>
        </w:tc>
      </w:tr>
      <w:tr>
        <w:tblPrEx>
          <w:tblCellMar>
            <w:top w:w="0" w:type="dxa"/>
            <w:left w:w="108" w:type="dxa"/>
            <w:bottom w:w="0" w:type="dxa"/>
            <w:right w:w="108" w:type="dxa"/>
          </w:tblCellMar>
        </w:tblPrEx>
        <w:trPr>
          <w:trHeight w:val="680" w:hRule="atLeast"/>
        </w:trPr>
        <w:tc>
          <w:tcPr>
            <w:tcW w:w="385" w:type="pct"/>
            <w:vMerge w:val="continue"/>
            <w:tcBorders>
              <w:left w:val="single" w:color="000000" w:sz="4" w:space="0"/>
              <w:right w:val="single" w:color="000000" w:sz="4" w:space="0"/>
            </w:tcBorders>
            <w:noWrap w:val="0"/>
            <w:textDirection w:val="tbRlV"/>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eastAsia="方正楷体_GBK" w:cs="Times New Roman"/>
                <w:b w:val="0"/>
                <w:bCs w:val="0"/>
                <w:color w:val="auto"/>
                <w:sz w:val="18"/>
                <w:szCs w:val="18"/>
              </w:rPr>
            </w:pPr>
          </w:p>
        </w:tc>
        <w:tc>
          <w:tcPr>
            <w:tcW w:w="15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topLinePunct w:val="0"/>
              <w:autoSpaceDN/>
              <w:bidi w:val="0"/>
              <w:adjustRightInd/>
              <w:spacing w:beforeAutospacing="0" w:afterAutospacing="0"/>
              <w:ind w:firstLine="0" w:firstLineChars="0"/>
              <w:jc w:val="left"/>
              <w:textAlignment w:val="center"/>
              <w:rPr>
                <w:rFonts w:hint="default" w:ascii="Times New Roman" w:hAnsi="Times New Roman" w:eastAsia="方正楷体_GBK" w:cs="Times New Roman"/>
                <w:i w:val="0"/>
                <w:iCs w:val="0"/>
                <w:color w:val="auto"/>
                <w:sz w:val="18"/>
                <w:szCs w:val="18"/>
                <w:u w:val="none"/>
                <w:lang w:val="en-US" w:eastAsia="zh-CN" w:bidi="ar-SA"/>
              </w:rPr>
            </w:pPr>
            <w:r>
              <w:rPr>
                <w:rFonts w:hint="default" w:ascii="Times New Roman" w:hAnsi="Times New Roman" w:eastAsia="方正楷体_GBK" w:cs="Times New Roman"/>
                <w:i w:val="0"/>
                <w:iCs w:val="0"/>
                <w:color w:val="auto"/>
                <w:kern w:val="0"/>
                <w:sz w:val="18"/>
                <w:szCs w:val="18"/>
                <w:u w:val="none"/>
                <w:lang w:val="en-US" w:eastAsia="zh-CN" w:bidi="ar"/>
              </w:rPr>
              <w:t>确保不发生因粮食市场波动引起的粮食安全事件</w:t>
            </w:r>
          </w:p>
        </w:tc>
        <w:tc>
          <w:tcPr>
            <w:tcW w:w="5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eastAsia="方正楷体_GBK" w:cs="Times New Roman"/>
                <w:b w:val="0"/>
                <w:bCs w:val="0"/>
                <w:color w:val="auto"/>
                <w:sz w:val="18"/>
                <w:szCs w:val="18"/>
                <w:lang w:val="en-US" w:eastAsia="zh-CN" w:bidi="ar-SA"/>
              </w:rPr>
            </w:pPr>
          </w:p>
        </w:tc>
        <w:tc>
          <w:tcPr>
            <w:tcW w:w="3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topLinePunct w:val="0"/>
              <w:autoSpaceDN/>
              <w:bidi w:val="0"/>
              <w:adjustRightInd/>
              <w:spacing w:beforeAutospacing="0" w:afterAutospacing="0"/>
              <w:ind w:firstLine="0" w:firstLineChars="0"/>
              <w:jc w:val="center"/>
              <w:textAlignment w:val="center"/>
              <w:rPr>
                <w:rFonts w:hint="default" w:ascii="Times New Roman" w:hAnsi="Times New Roman" w:eastAsia="方正楷体_GBK" w:cs="Times New Roman"/>
                <w:i w:val="0"/>
                <w:iCs w:val="0"/>
                <w:color w:val="auto"/>
                <w:sz w:val="18"/>
                <w:szCs w:val="18"/>
                <w:u w:val="none"/>
                <w:lang w:val="en-US" w:eastAsia="zh-CN" w:bidi="ar-SA"/>
              </w:rPr>
            </w:pPr>
            <w:r>
              <w:rPr>
                <w:rFonts w:hint="default" w:ascii="Times New Roman" w:hAnsi="Times New Roman" w:eastAsia="方正楷体_GBK" w:cs="Times New Roman"/>
                <w:i w:val="0"/>
                <w:iCs w:val="0"/>
                <w:color w:val="auto"/>
                <w:kern w:val="0"/>
                <w:sz w:val="18"/>
                <w:szCs w:val="18"/>
                <w:u w:val="none"/>
                <w:lang w:val="en-US" w:eastAsia="zh-CN" w:bidi="ar"/>
              </w:rPr>
              <w:t>定性</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eastAsia="方正楷体_GBK" w:cs="Times New Roman"/>
                <w:b w:val="0"/>
                <w:bCs w:val="0"/>
                <w:color w:val="auto"/>
                <w:sz w:val="18"/>
                <w:szCs w:val="18"/>
                <w:lang w:val="en-US" w:eastAsia="zh-CN" w:bidi="ar-SA"/>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eastAsia="方正楷体_GBK" w:cs="Times New Roman"/>
                <w:b w:val="0"/>
                <w:bCs w:val="0"/>
                <w:color w:val="auto"/>
                <w:sz w:val="18"/>
                <w:szCs w:val="18"/>
                <w:lang w:val="en-US" w:eastAsia="zh-CN" w:bidi="ar-SA"/>
              </w:rPr>
            </w:pPr>
            <w:r>
              <w:rPr>
                <w:rFonts w:hint="default" w:ascii="Times New Roman" w:hAnsi="Times New Roman" w:eastAsia="方正楷体_GBK" w:cs="Times New Roman"/>
                <w:b w:val="0"/>
                <w:bCs w:val="0"/>
                <w:color w:val="auto"/>
                <w:sz w:val="18"/>
                <w:szCs w:val="18"/>
                <w:lang w:val="en-US" w:eastAsia="zh-CN"/>
              </w:rPr>
              <w:t>5</w:t>
            </w:r>
          </w:p>
        </w:tc>
        <w:tc>
          <w:tcPr>
            <w:tcW w:w="3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topLinePunct w:val="0"/>
              <w:autoSpaceDN/>
              <w:bidi w:val="0"/>
              <w:adjustRightInd/>
              <w:spacing w:beforeAutospacing="0" w:afterAutospacing="0"/>
              <w:jc w:val="center"/>
              <w:textAlignment w:val="center"/>
              <w:rPr>
                <w:rFonts w:hint="default" w:ascii="Times New Roman" w:hAnsi="Times New Roman" w:eastAsia="方正楷体_GBK" w:cs="Times New Roman"/>
                <w:i w:val="0"/>
                <w:iCs w:val="0"/>
                <w:color w:val="auto"/>
                <w:sz w:val="18"/>
                <w:szCs w:val="18"/>
                <w:u w:val="none"/>
                <w:lang w:val="en-US" w:eastAsia="zh-CN" w:bidi="ar-SA"/>
              </w:rPr>
            </w:pPr>
            <w:r>
              <w:rPr>
                <w:rFonts w:hint="eastAsia" w:ascii="Times New Roman" w:hAnsi="Times New Roman" w:eastAsia="方正楷体_GBK" w:cs="Times New Roman"/>
                <w:i w:val="0"/>
                <w:iCs w:val="0"/>
                <w:color w:val="auto"/>
                <w:sz w:val="18"/>
                <w:szCs w:val="18"/>
                <w:u w:val="none"/>
                <w:lang w:val="en-US" w:eastAsia="zh-CN" w:bidi="ar-SA"/>
              </w:rPr>
              <w:t>1</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eastAsia="方正楷体_GBK" w:cs="Times New Roman"/>
                <w:b w:val="0"/>
                <w:bCs w:val="0"/>
                <w:color w:val="auto"/>
                <w:sz w:val="18"/>
                <w:szCs w:val="18"/>
                <w:lang w:val="en-US" w:eastAsia="zh-CN" w:bidi="ar-SA"/>
              </w:rPr>
            </w:pPr>
            <w:r>
              <w:rPr>
                <w:rFonts w:hint="default" w:ascii="Times New Roman" w:hAnsi="Times New Roman" w:eastAsia="方正楷体_GBK" w:cs="Times New Roman"/>
                <w:b w:val="0"/>
                <w:bCs w:val="0"/>
                <w:color w:val="auto"/>
                <w:sz w:val="18"/>
                <w:szCs w:val="18"/>
                <w:lang w:val="en-US" w:eastAsia="zh-CN"/>
              </w:rPr>
              <w:t>5</w:t>
            </w:r>
          </w:p>
        </w:tc>
        <w:tc>
          <w:tcPr>
            <w:tcW w:w="105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rPr>
                <w:rFonts w:hint="default" w:ascii="Times New Roman" w:hAnsi="Times New Roman" w:eastAsia="方正楷体_GBK" w:cs="Times New Roman"/>
                <w:b w:val="0"/>
                <w:bCs w:val="0"/>
                <w:color w:val="auto"/>
                <w:sz w:val="18"/>
                <w:szCs w:val="18"/>
              </w:rPr>
            </w:pPr>
          </w:p>
        </w:tc>
      </w:tr>
      <w:tr>
        <w:tblPrEx>
          <w:tblCellMar>
            <w:top w:w="0" w:type="dxa"/>
            <w:left w:w="108" w:type="dxa"/>
            <w:bottom w:w="0" w:type="dxa"/>
            <w:right w:w="108" w:type="dxa"/>
          </w:tblCellMar>
        </w:tblPrEx>
        <w:trPr>
          <w:trHeight w:val="680" w:hRule="atLeast"/>
        </w:trPr>
        <w:tc>
          <w:tcPr>
            <w:tcW w:w="385" w:type="pct"/>
            <w:vMerge w:val="continue"/>
            <w:tcBorders>
              <w:left w:val="single" w:color="000000" w:sz="4" w:space="0"/>
              <w:bottom w:val="single" w:color="000000" w:sz="4" w:space="0"/>
              <w:right w:val="single" w:color="000000" w:sz="4" w:space="0"/>
            </w:tcBorders>
            <w:noWrap w:val="0"/>
            <w:textDirection w:val="tbRlV"/>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eastAsia="方正楷体_GBK" w:cs="Times New Roman"/>
                <w:b w:val="0"/>
                <w:bCs w:val="0"/>
                <w:color w:val="auto"/>
                <w:sz w:val="18"/>
                <w:szCs w:val="18"/>
              </w:rPr>
            </w:pPr>
          </w:p>
        </w:tc>
        <w:tc>
          <w:tcPr>
            <w:tcW w:w="15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topLinePunct w:val="0"/>
              <w:autoSpaceDN/>
              <w:bidi w:val="0"/>
              <w:adjustRightInd/>
              <w:spacing w:beforeAutospacing="0" w:afterAutospacing="0"/>
              <w:ind w:firstLine="0" w:firstLineChars="0"/>
              <w:jc w:val="left"/>
              <w:textAlignment w:val="center"/>
              <w:rPr>
                <w:rFonts w:hint="default" w:ascii="Times New Roman" w:hAnsi="Times New Roman" w:eastAsia="方正楷体_GBK" w:cs="Times New Roman"/>
                <w:i w:val="0"/>
                <w:iCs w:val="0"/>
                <w:color w:val="auto"/>
                <w:sz w:val="18"/>
                <w:szCs w:val="18"/>
                <w:u w:val="none"/>
                <w:lang w:val="en-US" w:eastAsia="zh-CN" w:bidi="ar-SA"/>
              </w:rPr>
            </w:pPr>
            <w:r>
              <w:rPr>
                <w:rFonts w:hint="default" w:ascii="Times New Roman" w:hAnsi="Times New Roman" w:eastAsia="方正楷体_GBK" w:cs="Times New Roman"/>
                <w:i w:val="0"/>
                <w:iCs w:val="0"/>
                <w:color w:val="auto"/>
                <w:kern w:val="0"/>
                <w:sz w:val="18"/>
                <w:szCs w:val="18"/>
                <w:u w:val="none"/>
                <w:lang w:val="en-US" w:eastAsia="zh-CN" w:bidi="ar"/>
              </w:rPr>
              <w:t>推动全区经济继续保持稳中向好</w:t>
            </w:r>
          </w:p>
        </w:tc>
        <w:tc>
          <w:tcPr>
            <w:tcW w:w="5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eastAsia="方正楷体_GBK" w:cs="Times New Roman"/>
                <w:b w:val="0"/>
                <w:bCs w:val="0"/>
                <w:color w:val="auto"/>
                <w:sz w:val="18"/>
                <w:szCs w:val="18"/>
                <w:lang w:val="en-US" w:eastAsia="zh-CN" w:bidi="ar-SA"/>
              </w:rPr>
            </w:pPr>
          </w:p>
        </w:tc>
        <w:tc>
          <w:tcPr>
            <w:tcW w:w="3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overflowPunct/>
              <w:topLinePunct w:val="0"/>
              <w:autoSpaceDN/>
              <w:bidi w:val="0"/>
              <w:adjustRightInd/>
              <w:spacing w:beforeAutospacing="0" w:afterAutospacing="0"/>
              <w:ind w:firstLine="0" w:firstLineChars="0"/>
              <w:jc w:val="center"/>
              <w:textAlignment w:val="center"/>
              <w:rPr>
                <w:rFonts w:hint="default" w:ascii="Times New Roman" w:hAnsi="Times New Roman" w:eastAsia="方正楷体_GBK" w:cs="Times New Roman"/>
                <w:i w:val="0"/>
                <w:iCs w:val="0"/>
                <w:color w:val="auto"/>
                <w:sz w:val="18"/>
                <w:szCs w:val="18"/>
                <w:u w:val="none"/>
                <w:lang w:val="en-US" w:eastAsia="zh-CN" w:bidi="ar-SA"/>
              </w:rPr>
            </w:pPr>
            <w:r>
              <w:rPr>
                <w:rFonts w:hint="default" w:ascii="Times New Roman" w:hAnsi="Times New Roman" w:eastAsia="方正楷体_GBK" w:cs="Times New Roman"/>
                <w:i w:val="0"/>
                <w:iCs w:val="0"/>
                <w:color w:val="auto"/>
                <w:kern w:val="0"/>
                <w:sz w:val="18"/>
                <w:szCs w:val="18"/>
                <w:u w:val="none"/>
                <w:lang w:val="en-US" w:eastAsia="zh-CN" w:bidi="ar"/>
              </w:rPr>
              <w:t>定性</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eastAsia="方正楷体_GBK" w:cs="Times New Roman"/>
                <w:b w:val="0"/>
                <w:bCs w:val="0"/>
                <w:color w:val="auto"/>
                <w:sz w:val="18"/>
                <w:szCs w:val="18"/>
                <w:lang w:val="en-US" w:eastAsia="zh-CN" w:bidi="ar-SA"/>
              </w:rPr>
            </w:pPr>
            <w:r>
              <w:rPr>
                <w:rFonts w:hint="default" w:ascii="Times New Roman" w:hAnsi="Times New Roman" w:eastAsia="方正楷体_GBK" w:cs="Times New Roman"/>
                <w:b w:val="0"/>
                <w:bCs w:val="0"/>
                <w:color w:val="auto"/>
                <w:sz w:val="18"/>
                <w:szCs w:val="18"/>
                <w:lang w:val="en-US" w:eastAsia="zh-CN"/>
              </w:rPr>
              <w:t>是</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eastAsia="方正楷体_GBK" w:cs="Times New Roman"/>
                <w:b w:val="0"/>
                <w:bCs w:val="0"/>
                <w:color w:val="auto"/>
                <w:sz w:val="18"/>
                <w:szCs w:val="18"/>
                <w:lang w:val="en-US" w:eastAsia="zh-CN" w:bidi="ar-SA"/>
              </w:rPr>
            </w:pPr>
            <w:r>
              <w:rPr>
                <w:rFonts w:hint="eastAsia" w:ascii="Times New Roman" w:hAnsi="Times New Roman" w:eastAsia="方正楷体_GBK" w:cs="Times New Roman"/>
                <w:b w:val="0"/>
                <w:bCs w:val="0"/>
                <w:color w:val="auto"/>
                <w:sz w:val="18"/>
                <w:szCs w:val="18"/>
                <w:lang w:val="en-US" w:eastAsia="zh-CN"/>
              </w:rPr>
              <w:t>15</w:t>
            </w:r>
          </w:p>
        </w:tc>
        <w:tc>
          <w:tcPr>
            <w:tcW w:w="3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eastAsia="方正楷体_GBK" w:cs="Times New Roman"/>
                <w:b w:val="0"/>
                <w:bCs w:val="0"/>
                <w:color w:val="auto"/>
                <w:sz w:val="18"/>
                <w:szCs w:val="18"/>
                <w:lang w:val="en-US" w:eastAsia="zh-CN" w:bidi="ar-SA"/>
              </w:rPr>
            </w:pPr>
            <w:r>
              <w:rPr>
                <w:rFonts w:hint="default" w:ascii="Times New Roman" w:hAnsi="Times New Roman" w:eastAsia="方正楷体_GBK" w:cs="Times New Roman"/>
                <w:b w:val="0"/>
                <w:bCs w:val="0"/>
                <w:color w:val="auto"/>
                <w:sz w:val="18"/>
                <w:szCs w:val="18"/>
                <w:lang w:val="en-US" w:eastAsia="zh-CN"/>
              </w:rPr>
              <w:t>1</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eastAsia="方正楷体_GBK" w:cs="Times New Roman"/>
                <w:b w:val="0"/>
                <w:bCs w:val="0"/>
                <w:color w:val="auto"/>
                <w:sz w:val="18"/>
                <w:szCs w:val="18"/>
                <w:lang w:val="en-US" w:eastAsia="zh-CN" w:bidi="ar-SA"/>
              </w:rPr>
            </w:pPr>
            <w:r>
              <w:rPr>
                <w:rFonts w:hint="eastAsia" w:ascii="Times New Roman" w:hAnsi="Times New Roman" w:eastAsia="方正楷体_GBK" w:cs="Times New Roman"/>
                <w:b w:val="0"/>
                <w:bCs w:val="0"/>
                <w:color w:val="auto"/>
                <w:sz w:val="18"/>
                <w:szCs w:val="18"/>
                <w:lang w:val="en-US" w:eastAsia="zh-CN"/>
              </w:rPr>
              <w:t>15</w:t>
            </w:r>
          </w:p>
        </w:tc>
        <w:tc>
          <w:tcPr>
            <w:tcW w:w="105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pacing w:beforeAutospacing="0" w:afterAutospacing="0"/>
              <w:rPr>
                <w:rFonts w:hint="default" w:ascii="Times New Roman" w:hAnsi="Times New Roman" w:eastAsia="方正楷体_GBK" w:cs="Times New Roman"/>
                <w:b w:val="0"/>
                <w:bCs w:val="0"/>
                <w:color w:val="auto"/>
                <w:sz w:val="18"/>
                <w:szCs w:val="18"/>
                <w:lang w:val="en-US" w:eastAsia="zh-CN"/>
              </w:rPr>
            </w:pPr>
          </w:p>
        </w:tc>
      </w:tr>
    </w:tbl>
    <w:p>
      <w:pPr>
        <w:pStyle w:val="18"/>
        <w:keepNext w:val="0"/>
        <w:keepLines w:val="0"/>
        <w:pageBreakBefore w:val="0"/>
        <w:widowControl w:val="0"/>
        <w:tabs>
          <w:tab w:val="center" w:pos="4153"/>
          <w:tab w:val="left" w:pos="7275"/>
        </w:tabs>
        <w:kinsoku/>
        <w:overflowPunct/>
        <w:topLinePunct w:val="0"/>
        <w:autoSpaceDN/>
        <w:bidi w:val="0"/>
        <w:adjustRightInd/>
        <w:spacing w:beforeAutospacing="0" w:afterAutospacing="0" w:line="596" w:lineRule="exact"/>
        <w:ind w:firstLine="640"/>
        <w:rPr>
          <w:rFonts w:hint="default" w:ascii="Times New Roman" w:hAnsi="Times New Roman" w:eastAsia="方正楷体_GBK" w:cs="Times New Roman"/>
          <w:b w:val="0"/>
          <w:bCs w:val="0"/>
          <w:color w:val="auto"/>
          <w:sz w:val="28"/>
          <w:szCs w:val="28"/>
          <w:shd w:val="clear" w:color="auto" w:fill="FFFFFF"/>
        </w:rPr>
      </w:pPr>
    </w:p>
    <w:p>
      <w:pPr>
        <w:pStyle w:val="13"/>
        <w:keepNext w:val="0"/>
        <w:keepLines w:val="0"/>
        <w:pageBreakBefore w:val="0"/>
        <w:widowControl w:val="0"/>
        <w:kinsoku/>
        <w:overflowPunct/>
        <w:topLinePunct w:val="0"/>
        <w:autoSpaceDE w:val="0"/>
        <w:autoSpaceDN/>
        <w:bidi w:val="0"/>
        <w:adjustRightInd/>
        <w:spacing w:beforeAutospacing="0" w:afterAutospacing="0"/>
        <w:ind w:firstLine="643"/>
        <w:rPr>
          <w:rFonts w:hint="default" w:ascii="Times New Roman" w:hAnsi="Times New Roman" w:eastAsia="楷体" w:cs="Times New Roman"/>
          <w:b w:val="0"/>
          <w:bCs w:val="0"/>
          <w:color w:val="auto"/>
          <w:sz w:val="32"/>
          <w:szCs w:val="32"/>
          <w:shd w:val="clear" w:color="auto" w:fill="FFFFFF"/>
        </w:rPr>
      </w:pPr>
    </w:p>
    <w:p>
      <w:pPr>
        <w:pStyle w:val="13"/>
        <w:keepNext w:val="0"/>
        <w:keepLines w:val="0"/>
        <w:pageBreakBefore w:val="0"/>
        <w:widowControl w:val="0"/>
        <w:kinsoku/>
        <w:overflowPunct/>
        <w:topLinePunct w:val="0"/>
        <w:autoSpaceDE w:val="0"/>
        <w:autoSpaceDN/>
        <w:bidi w:val="0"/>
        <w:adjustRightInd/>
        <w:spacing w:beforeAutospacing="0" w:afterAutospacing="0"/>
        <w:ind w:firstLine="643"/>
        <w:rPr>
          <w:rFonts w:hint="default" w:ascii="Times New Roman" w:hAnsi="Times New Roman" w:eastAsia="楷体" w:cs="Times New Roman"/>
          <w:b w:val="0"/>
          <w:bCs w:val="0"/>
          <w:color w:val="auto"/>
          <w:sz w:val="32"/>
          <w:szCs w:val="32"/>
          <w:shd w:val="clear" w:color="auto" w:fill="FFFFFF"/>
        </w:rPr>
      </w:pPr>
    </w:p>
    <w:tbl>
      <w:tblPr>
        <w:tblStyle w:val="9"/>
        <w:tblpPr w:leftFromText="180" w:rightFromText="180" w:vertAnchor="text" w:horzAnchor="page" w:tblpX="1499" w:tblpY="54"/>
        <w:tblOverlap w:val="never"/>
        <w:tblW w:w="13704" w:type="dxa"/>
        <w:tblInd w:w="0" w:type="dxa"/>
        <w:tblLayout w:type="fixed"/>
        <w:tblCellMar>
          <w:top w:w="0" w:type="dxa"/>
          <w:left w:w="108" w:type="dxa"/>
          <w:bottom w:w="0" w:type="dxa"/>
          <w:right w:w="108" w:type="dxa"/>
        </w:tblCellMar>
      </w:tblPr>
      <w:tblGrid>
        <w:gridCol w:w="732"/>
        <w:gridCol w:w="1248"/>
        <w:gridCol w:w="1992"/>
        <w:gridCol w:w="708"/>
        <w:gridCol w:w="900"/>
        <w:gridCol w:w="1104"/>
        <w:gridCol w:w="732"/>
        <w:gridCol w:w="1752"/>
        <w:gridCol w:w="1188"/>
        <w:gridCol w:w="1584"/>
        <w:gridCol w:w="1764"/>
      </w:tblGrid>
      <w:tr>
        <w:tblPrEx>
          <w:tblCellMar>
            <w:top w:w="0" w:type="dxa"/>
            <w:left w:w="108" w:type="dxa"/>
            <w:bottom w:w="0" w:type="dxa"/>
            <w:right w:w="108" w:type="dxa"/>
          </w:tblCellMar>
        </w:tblPrEx>
        <w:trPr>
          <w:trHeight w:val="780" w:hRule="atLeast"/>
        </w:trPr>
        <w:tc>
          <w:tcPr>
            <w:tcW w:w="13704" w:type="dxa"/>
            <w:gridSpan w:val="11"/>
            <w:tcBorders>
              <w:top w:val="nil"/>
              <w:left w:val="nil"/>
              <w:bottom w:val="single" w:color="000000" w:sz="4" w:space="0"/>
              <w:right w:val="nil"/>
            </w:tcBorders>
            <w:noWrap/>
            <w:vAlign w:val="center"/>
          </w:tcPr>
          <w:p>
            <w:pPr>
              <w:widowControl/>
              <w:jc w:val="center"/>
              <w:textAlignment w:val="center"/>
              <w:rPr>
                <w:rFonts w:hint="default" w:ascii="Times New Roman" w:hAnsi="Times New Roman" w:eastAsia="方正小标宋_GBK" w:cs="Times New Roman"/>
                <w:b w:val="0"/>
                <w:bCs w:val="0"/>
                <w:color w:val="auto"/>
                <w:sz w:val="36"/>
                <w:szCs w:val="36"/>
              </w:rPr>
            </w:pPr>
            <w:r>
              <w:rPr>
                <w:rFonts w:hint="eastAsia" w:ascii="Times New Roman" w:hAnsi="Times New Roman" w:eastAsia="方正小标宋_GBK" w:cs="Times New Roman"/>
                <w:b w:val="0"/>
                <w:bCs w:val="0"/>
                <w:color w:val="auto"/>
                <w:kern w:val="0"/>
                <w:sz w:val="32"/>
                <w:szCs w:val="32"/>
                <w:lang w:val="en-US" w:eastAsia="zh-CN" w:bidi="ar"/>
              </w:rPr>
              <w:t>重庆市万州区发展和改革委员会</w:t>
            </w:r>
            <w:r>
              <w:rPr>
                <w:rFonts w:hint="default" w:ascii="Times New Roman" w:hAnsi="Times New Roman" w:eastAsia="方正小标宋_GBK" w:cs="Times New Roman"/>
                <w:b w:val="0"/>
                <w:bCs w:val="0"/>
                <w:color w:val="auto"/>
                <w:kern w:val="0"/>
                <w:sz w:val="32"/>
                <w:szCs w:val="32"/>
                <w:lang w:bidi="ar"/>
              </w:rPr>
              <w:t>202</w:t>
            </w:r>
            <w:r>
              <w:rPr>
                <w:rFonts w:hint="default" w:ascii="Times New Roman" w:hAnsi="Times New Roman" w:eastAsia="方正小标宋_GBK" w:cs="Times New Roman"/>
                <w:b w:val="0"/>
                <w:bCs w:val="0"/>
                <w:color w:val="auto"/>
                <w:kern w:val="0"/>
                <w:sz w:val="32"/>
                <w:szCs w:val="32"/>
                <w:lang w:val="en-US" w:eastAsia="zh-CN" w:bidi="ar"/>
              </w:rPr>
              <w:t>3</w:t>
            </w:r>
            <w:r>
              <w:rPr>
                <w:rFonts w:hint="default" w:ascii="Times New Roman" w:hAnsi="Times New Roman" w:eastAsia="方正小标宋_GBK" w:cs="Times New Roman"/>
                <w:b w:val="0"/>
                <w:bCs w:val="0"/>
                <w:color w:val="auto"/>
                <w:kern w:val="0"/>
                <w:sz w:val="32"/>
                <w:szCs w:val="32"/>
                <w:lang w:bidi="ar"/>
              </w:rPr>
              <w:t>年度</w:t>
            </w:r>
            <w:r>
              <w:rPr>
                <w:rFonts w:hint="default" w:ascii="Times New Roman" w:hAnsi="Times New Roman" w:eastAsia="方正小标宋_GBK" w:cs="Times New Roman"/>
                <w:b w:val="0"/>
                <w:bCs w:val="0"/>
                <w:color w:val="auto"/>
                <w:kern w:val="0"/>
                <w:sz w:val="32"/>
                <w:szCs w:val="32"/>
                <w:lang w:eastAsia="zh-CN" w:bidi="ar"/>
              </w:rPr>
              <w:t>重点专项</w:t>
            </w:r>
            <w:r>
              <w:rPr>
                <w:rFonts w:hint="default" w:ascii="Times New Roman" w:hAnsi="Times New Roman" w:eastAsia="方正小标宋_GBK" w:cs="Times New Roman"/>
                <w:b w:val="0"/>
                <w:bCs w:val="0"/>
                <w:color w:val="auto"/>
                <w:kern w:val="0"/>
                <w:sz w:val="32"/>
                <w:szCs w:val="32"/>
                <w:lang w:bidi="ar"/>
              </w:rPr>
              <w:t>项目支出绩效自评表</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default" w:ascii="Times New Roman" w:hAnsi="Times New Roman" w:eastAsia="方正黑体_GBK" w:cs="Times New Roman"/>
                <w:b w:val="0"/>
                <w:bCs w:val="0"/>
                <w:color w:val="auto"/>
                <w:sz w:val="22"/>
              </w:rPr>
            </w:pPr>
            <w:r>
              <w:rPr>
                <w:rFonts w:hint="default" w:ascii="Times New Roman" w:hAnsi="Times New Roman" w:eastAsia="方正黑体_GBK" w:cs="Times New Roman"/>
                <w:b w:val="0"/>
                <w:bCs w:val="0"/>
                <w:color w:val="auto"/>
                <w:kern w:val="0"/>
                <w:sz w:val="22"/>
                <w:lang w:bidi="ar"/>
              </w:rPr>
              <w:t>序号</w:t>
            </w:r>
          </w:p>
        </w:tc>
        <w:tc>
          <w:tcPr>
            <w:tcW w:w="1248"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default" w:ascii="Times New Roman" w:hAnsi="Times New Roman" w:eastAsia="方正黑体_GBK" w:cs="Times New Roman"/>
                <w:b w:val="0"/>
                <w:bCs w:val="0"/>
                <w:color w:val="auto"/>
                <w:sz w:val="22"/>
              </w:rPr>
            </w:pPr>
            <w:r>
              <w:rPr>
                <w:rFonts w:hint="default" w:ascii="Times New Roman" w:hAnsi="Times New Roman" w:eastAsia="方正黑体_GBK" w:cs="Times New Roman"/>
                <w:b w:val="0"/>
                <w:bCs w:val="0"/>
                <w:color w:val="auto"/>
                <w:kern w:val="0"/>
                <w:sz w:val="22"/>
                <w:lang w:bidi="ar"/>
              </w:rPr>
              <w:t>项目名称</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黑体_GBK" w:cs="Times New Roman"/>
                <w:b w:val="0"/>
                <w:bCs w:val="0"/>
                <w:color w:val="auto"/>
                <w:sz w:val="22"/>
              </w:rPr>
            </w:pPr>
            <w:r>
              <w:rPr>
                <w:rFonts w:hint="default" w:ascii="Times New Roman" w:hAnsi="Times New Roman" w:eastAsia="方正黑体_GBK" w:cs="Times New Roman"/>
                <w:b w:val="0"/>
                <w:bCs w:val="0"/>
                <w:color w:val="auto"/>
                <w:kern w:val="0"/>
                <w:sz w:val="22"/>
                <w:lang w:bidi="ar"/>
              </w:rPr>
              <w:t>指标名称</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黑体_GBK" w:cs="Times New Roman"/>
                <w:b w:val="0"/>
                <w:bCs w:val="0"/>
                <w:color w:val="auto"/>
                <w:kern w:val="0"/>
                <w:sz w:val="22"/>
                <w:lang w:bidi="ar"/>
              </w:rPr>
            </w:pPr>
            <w:r>
              <w:rPr>
                <w:rFonts w:hint="default" w:ascii="Times New Roman" w:hAnsi="Times New Roman" w:eastAsia="方正黑体_GBK" w:cs="Times New Roman"/>
                <w:b w:val="0"/>
                <w:bCs w:val="0"/>
                <w:color w:val="auto"/>
                <w:kern w:val="0"/>
                <w:sz w:val="22"/>
                <w:lang w:bidi="ar"/>
              </w:rPr>
              <w:t>指标</w:t>
            </w:r>
          </w:p>
          <w:p>
            <w:pPr>
              <w:widowControl/>
              <w:jc w:val="center"/>
              <w:textAlignment w:val="center"/>
              <w:rPr>
                <w:rFonts w:hint="default" w:ascii="Times New Roman" w:hAnsi="Times New Roman" w:eastAsia="方正黑体_GBK" w:cs="Times New Roman"/>
                <w:b w:val="0"/>
                <w:bCs w:val="0"/>
                <w:color w:val="auto"/>
                <w:sz w:val="22"/>
              </w:rPr>
            </w:pPr>
            <w:r>
              <w:rPr>
                <w:rFonts w:hint="default" w:ascii="Times New Roman" w:hAnsi="Times New Roman" w:eastAsia="方正黑体_GBK" w:cs="Times New Roman"/>
                <w:b w:val="0"/>
                <w:bCs w:val="0"/>
                <w:color w:val="auto"/>
                <w:kern w:val="0"/>
                <w:sz w:val="22"/>
                <w:lang w:bidi="ar"/>
              </w:rPr>
              <w:t>性质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黑体_GBK" w:cs="Times New Roman"/>
                <w:b w:val="0"/>
                <w:bCs w:val="0"/>
                <w:color w:val="auto"/>
                <w:sz w:val="22"/>
              </w:rPr>
            </w:pPr>
            <w:r>
              <w:rPr>
                <w:rFonts w:hint="default" w:ascii="Times New Roman" w:hAnsi="Times New Roman" w:eastAsia="方正黑体_GBK" w:cs="Times New Roman"/>
                <w:b w:val="0"/>
                <w:bCs w:val="0"/>
                <w:color w:val="auto"/>
                <w:kern w:val="0"/>
                <w:sz w:val="22"/>
                <w:lang w:bidi="ar"/>
              </w:rPr>
              <w:t>指标值</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黑体_GBK" w:cs="Times New Roman"/>
                <w:b w:val="0"/>
                <w:bCs w:val="0"/>
                <w:color w:val="auto"/>
                <w:sz w:val="22"/>
              </w:rPr>
            </w:pPr>
            <w:r>
              <w:rPr>
                <w:rFonts w:hint="default" w:ascii="Times New Roman" w:hAnsi="Times New Roman" w:eastAsia="方正黑体_GBK" w:cs="Times New Roman"/>
                <w:b w:val="0"/>
                <w:bCs w:val="0"/>
                <w:color w:val="auto"/>
                <w:kern w:val="0"/>
                <w:sz w:val="22"/>
                <w:lang w:bidi="ar"/>
              </w:rPr>
              <w:t>计量单位</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黑体_GBK" w:cs="Times New Roman"/>
                <w:b w:val="0"/>
                <w:bCs w:val="0"/>
                <w:color w:val="auto"/>
                <w:sz w:val="22"/>
              </w:rPr>
            </w:pPr>
            <w:r>
              <w:rPr>
                <w:rFonts w:hint="default" w:ascii="Times New Roman" w:hAnsi="Times New Roman" w:eastAsia="方正黑体_GBK" w:cs="Times New Roman"/>
                <w:b w:val="0"/>
                <w:bCs w:val="0"/>
                <w:color w:val="auto"/>
                <w:kern w:val="0"/>
                <w:sz w:val="22"/>
                <w:lang w:bidi="ar"/>
              </w:rPr>
              <w:t>指标权重</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黑体_GBK" w:cs="Times New Roman"/>
                <w:b w:val="0"/>
                <w:bCs w:val="0"/>
                <w:color w:val="auto"/>
                <w:sz w:val="22"/>
              </w:rPr>
            </w:pPr>
            <w:r>
              <w:rPr>
                <w:rFonts w:hint="default" w:ascii="Times New Roman" w:hAnsi="Times New Roman" w:eastAsia="方正黑体_GBK" w:cs="Times New Roman"/>
                <w:b w:val="0"/>
                <w:bCs w:val="0"/>
                <w:color w:val="auto"/>
                <w:kern w:val="0"/>
                <w:sz w:val="22"/>
                <w:lang w:bidi="ar"/>
              </w:rPr>
              <w:t>全年完成值</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黑体_GBK" w:cs="Times New Roman"/>
                <w:b w:val="0"/>
                <w:bCs w:val="0"/>
                <w:color w:val="auto"/>
                <w:sz w:val="22"/>
              </w:rPr>
            </w:pPr>
            <w:r>
              <w:rPr>
                <w:rFonts w:hint="default" w:ascii="Times New Roman" w:hAnsi="Times New Roman" w:eastAsia="方正黑体_GBK" w:cs="Times New Roman"/>
                <w:b w:val="0"/>
                <w:bCs w:val="0"/>
                <w:color w:val="auto"/>
                <w:kern w:val="0"/>
                <w:sz w:val="22"/>
                <w:lang w:bidi="ar"/>
              </w:rPr>
              <w:t>指标得分</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黑体_GBK" w:cs="Times New Roman"/>
                <w:b w:val="0"/>
                <w:bCs w:val="0"/>
                <w:color w:val="auto"/>
                <w:sz w:val="22"/>
              </w:rPr>
            </w:pPr>
            <w:r>
              <w:rPr>
                <w:rFonts w:hint="default" w:ascii="Times New Roman" w:hAnsi="Times New Roman" w:eastAsia="方正黑体_GBK" w:cs="Times New Roman"/>
                <w:b w:val="0"/>
                <w:bCs w:val="0"/>
                <w:color w:val="auto"/>
                <w:kern w:val="0"/>
                <w:sz w:val="22"/>
                <w:lang w:bidi="ar"/>
              </w:rPr>
              <w:t>说明</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黑体_GBK" w:cs="Times New Roman"/>
                <w:b w:val="0"/>
                <w:bCs w:val="0"/>
                <w:color w:val="auto"/>
                <w:sz w:val="22"/>
              </w:rPr>
            </w:pPr>
            <w:r>
              <w:rPr>
                <w:rFonts w:hint="default" w:ascii="Times New Roman" w:hAnsi="Times New Roman" w:eastAsia="方正黑体_GBK" w:cs="Times New Roman"/>
                <w:b w:val="0"/>
                <w:bCs w:val="0"/>
                <w:color w:val="auto"/>
                <w:kern w:val="0"/>
                <w:sz w:val="22"/>
                <w:lang w:bidi="ar"/>
              </w:rPr>
              <w:t>自评得分</w:t>
            </w:r>
          </w:p>
        </w:tc>
      </w:tr>
      <w:tr>
        <w:tblPrEx>
          <w:tblCellMar>
            <w:top w:w="0" w:type="dxa"/>
            <w:left w:w="108" w:type="dxa"/>
            <w:bottom w:w="0" w:type="dxa"/>
            <w:right w:w="108" w:type="dxa"/>
          </w:tblCellMar>
        </w:tblPrEx>
        <w:trPr>
          <w:trHeight w:val="936" w:hRule="atLeast"/>
        </w:trPr>
        <w:tc>
          <w:tcPr>
            <w:tcW w:w="732" w:type="dxa"/>
            <w:vMerge w:val="restart"/>
            <w:tcBorders>
              <w:top w:val="single" w:color="auto" w:sz="4" w:space="0"/>
              <w:left w:val="single" w:color="auto" w:sz="4" w:space="0"/>
              <w:bottom w:val="single" w:color="auto" w:sz="4" w:space="0"/>
              <w:right w:val="single" w:color="000000" w:sz="4" w:space="0"/>
            </w:tcBorders>
            <w:noWrap/>
            <w:vAlign w:val="center"/>
          </w:tcPr>
          <w:p>
            <w:pPr>
              <w:jc w:val="center"/>
              <w:textAlignment w:val="center"/>
              <w:rPr>
                <w:rFonts w:hint="default" w:ascii="Times New Roman" w:hAnsi="Times New Roman" w:cs="Times New Roman"/>
                <w:b w:val="0"/>
                <w:bCs w:val="0"/>
                <w:color w:val="auto"/>
                <w:sz w:val="22"/>
              </w:rPr>
            </w:pPr>
            <w:r>
              <w:rPr>
                <w:rFonts w:hint="default" w:ascii="Times New Roman" w:hAnsi="Times New Roman" w:cs="Times New Roman"/>
                <w:b w:val="0"/>
                <w:bCs w:val="0"/>
                <w:color w:val="auto"/>
                <w:kern w:val="0"/>
                <w:sz w:val="22"/>
                <w:lang w:bidi="ar"/>
              </w:rPr>
              <w:t>1</w:t>
            </w:r>
          </w:p>
        </w:tc>
        <w:tc>
          <w:tcPr>
            <w:tcW w:w="1248" w:type="dxa"/>
            <w:vMerge w:val="restart"/>
            <w:tcBorders>
              <w:top w:val="single" w:color="auto" w:sz="4" w:space="0"/>
              <w:left w:val="single" w:color="000000" w:sz="4" w:space="0"/>
              <w:bottom w:val="single" w:color="auto" w:sz="4" w:space="0"/>
              <w:right w:val="single" w:color="auto" w:sz="4" w:space="0"/>
            </w:tcBorders>
            <w:noWrap/>
            <w:vAlign w:val="center"/>
          </w:tcPr>
          <w:p>
            <w:pPr>
              <w:jc w:val="center"/>
              <w:rPr>
                <w:rFonts w:hint="default" w:ascii="Times New Roman" w:hAnsi="Times New Roman" w:eastAsia="宋体" w:cs="Times New Roman"/>
                <w:b w:val="0"/>
                <w:bCs w:val="0"/>
                <w:color w:val="auto"/>
                <w:sz w:val="22"/>
                <w:lang w:val="en-US" w:eastAsia="zh-CN"/>
              </w:rPr>
            </w:pPr>
            <w:r>
              <w:rPr>
                <w:rFonts w:hint="eastAsia" w:ascii="Times New Roman" w:hAnsi="Times New Roman" w:eastAsia="方正黑体_GBK" w:cs="方正黑体_GBK"/>
                <w:b w:val="0"/>
                <w:bCs w:val="0"/>
                <w:color w:val="auto"/>
                <w:sz w:val="22"/>
                <w:lang w:val="en-US" w:eastAsia="zh-CN"/>
              </w:rPr>
              <w:t>万州区粮油储备运行费用</w:t>
            </w:r>
          </w:p>
        </w:tc>
        <w:tc>
          <w:tcPr>
            <w:tcW w:w="1992" w:type="dxa"/>
            <w:tcBorders>
              <w:top w:val="single" w:color="000000" w:sz="4" w:space="0"/>
              <w:left w:val="single" w:color="auto"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lang w:eastAsia="zh-CN"/>
              </w:rPr>
            </w:pPr>
            <w:r>
              <w:rPr>
                <w:rFonts w:hint="eastAsia" w:ascii="Times New Roman" w:hAnsi="Times New Roman" w:eastAsia="方正楷体_GBK" w:cs="方正楷体_GBK"/>
                <w:b w:val="0"/>
                <w:bCs w:val="0"/>
                <w:color w:val="auto"/>
                <w:sz w:val="22"/>
                <w:lang w:eastAsia="zh-CN"/>
              </w:rPr>
              <w:t>年度预算执行率</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lang w:val="en-US" w:eastAsia="zh-CN"/>
              </w:rPr>
            </w:pPr>
            <w:r>
              <w:rPr>
                <w:rFonts w:hint="eastAsia" w:ascii="Times New Roman" w:hAnsi="Times New Roman" w:eastAsia="方正楷体_GBK" w:cs="方正楷体_GBK"/>
                <w:b w:val="0"/>
                <w:bCs w:val="0"/>
                <w:color w:val="auto"/>
                <w:sz w:val="22"/>
                <w:lang w:val="en-US" w:eastAsia="zh-CN"/>
              </w:rPr>
              <w:t>=</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lang w:val="en-US" w:eastAsia="zh-CN"/>
              </w:rPr>
            </w:pPr>
            <w:r>
              <w:rPr>
                <w:rFonts w:hint="eastAsia" w:ascii="Times New Roman" w:hAnsi="Times New Roman" w:eastAsia="方正楷体_GBK" w:cs="方正楷体_GBK"/>
                <w:b w:val="0"/>
                <w:bCs w:val="0"/>
                <w:color w:val="auto"/>
                <w:sz w:val="22"/>
                <w:lang w:val="en-US" w:eastAsia="zh-CN"/>
              </w:rPr>
              <w:t>100</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lang w:val="en-US" w:eastAsia="zh-CN"/>
              </w:rPr>
            </w:pPr>
            <w:r>
              <w:rPr>
                <w:rFonts w:hint="eastAsia" w:ascii="Times New Roman" w:hAnsi="Times New Roman" w:eastAsia="方正楷体_GBK" w:cs="方正楷体_GBK"/>
                <w:b w:val="0"/>
                <w:bCs w:val="0"/>
                <w:color w:val="auto"/>
                <w:sz w:val="22"/>
                <w:lang w:val="en-US" w:eastAsia="zh-CN"/>
              </w:rPr>
              <w:t>%</w:t>
            </w:r>
          </w:p>
        </w:tc>
        <w:tc>
          <w:tcPr>
            <w:tcW w:w="7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lang w:val="en-US" w:eastAsia="zh-CN"/>
              </w:rPr>
            </w:pPr>
            <w:r>
              <w:rPr>
                <w:rFonts w:hint="eastAsia" w:ascii="Times New Roman" w:hAnsi="Times New Roman" w:eastAsia="方正楷体_GBK" w:cs="方正楷体_GBK"/>
                <w:b w:val="0"/>
                <w:bCs w:val="0"/>
                <w:color w:val="auto"/>
                <w:sz w:val="22"/>
                <w:lang w:val="en-US" w:eastAsia="zh-CN"/>
              </w:rPr>
              <w:t>10</w:t>
            </w:r>
          </w:p>
        </w:tc>
        <w:tc>
          <w:tcPr>
            <w:tcW w:w="175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lang w:val="en-US" w:eastAsia="zh-CN"/>
              </w:rPr>
            </w:pPr>
            <w:r>
              <w:rPr>
                <w:rFonts w:hint="eastAsia" w:ascii="Times New Roman" w:hAnsi="Times New Roman" w:eastAsia="方正楷体_GBK" w:cs="方正楷体_GBK"/>
                <w:b w:val="0"/>
                <w:bCs w:val="0"/>
                <w:color w:val="auto"/>
                <w:sz w:val="22"/>
                <w:lang w:val="en-US" w:eastAsia="zh-CN"/>
              </w:rPr>
              <w:t>100</w:t>
            </w:r>
          </w:p>
        </w:tc>
        <w:tc>
          <w:tcPr>
            <w:tcW w:w="11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lang w:val="en-US" w:eastAsia="zh-CN"/>
              </w:rPr>
            </w:pPr>
            <w:r>
              <w:rPr>
                <w:rFonts w:hint="eastAsia" w:ascii="Times New Roman" w:hAnsi="Times New Roman" w:eastAsia="方正楷体_GBK" w:cs="方正楷体_GBK"/>
                <w:b w:val="0"/>
                <w:bCs w:val="0"/>
                <w:color w:val="auto"/>
                <w:sz w:val="22"/>
                <w:lang w:val="en-US" w:eastAsia="zh-CN"/>
              </w:rPr>
              <w:t>10</w:t>
            </w:r>
          </w:p>
        </w:tc>
        <w:tc>
          <w:tcPr>
            <w:tcW w:w="15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imes New Roman" w:hAnsi="Times New Roman" w:eastAsia="方正楷体_GBK" w:cs="方正楷体_GBK"/>
                <w:b w:val="0"/>
                <w:bCs w:val="0"/>
                <w:color w:val="auto"/>
                <w:sz w:val="22"/>
              </w:rPr>
            </w:pPr>
          </w:p>
        </w:tc>
        <w:tc>
          <w:tcPr>
            <w:tcW w:w="1764"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b w:val="0"/>
                <w:bCs w:val="0"/>
                <w:color w:val="auto"/>
                <w:sz w:val="22"/>
                <w:lang w:val="en-US" w:eastAsia="zh-CN"/>
              </w:rPr>
            </w:pPr>
            <w:r>
              <w:rPr>
                <w:rFonts w:hint="eastAsia" w:ascii="Times New Roman" w:hAnsi="Times New Roman" w:cs="Times New Roman"/>
                <w:b w:val="0"/>
                <w:bCs w:val="0"/>
                <w:color w:val="auto"/>
                <w:sz w:val="22"/>
                <w:lang w:val="en-US" w:eastAsia="zh-CN"/>
              </w:rPr>
              <w:t>100</w:t>
            </w:r>
          </w:p>
        </w:tc>
      </w:tr>
      <w:tr>
        <w:trPr>
          <w:trHeight w:val="936" w:hRule="atLeast"/>
        </w:trPr>
        <w:tc>
          <w:tcPr>
            <w:tcW w:w="732" w:type="dxa"/>
            <w:vMerge w:val="continue"/>
            <w:tcBorders>
              <w:top w:val="single" w:color="auto" w:sz="4" w:space="0"/>
              <w:left w:val="single" w:color="auto" w:sz="4" w:space="0"/>
              <w:bottom w:val="single" w:color="auto" w:sz="4" w:space="0"/>
              <w:right w:val="single" w:color="000000" w:sz="4" w:space="0"/>
            </w:tcBorders>
            <w:noWrap/>
            <w:vAlign w:val="center"/>
          </w:tcPr>
          <w:p>
            <w:pPr>
              <w:jc w:val="center"/>
              <w:textAlignment w:val="center"/>
              <w:rPr>
                <w:rFonts w:hint="default" w:ascii="Times New Roman" w:hAnsi="Times New Roman" w:cs="Times New Roman"/>
                <w:b w:val="0"/>
                <w:bCs w:val="0"/>
                <w:color w:val="auto"/>
                <w:sz w:val="22"/>
              </w:rPr>
            </w:pPr>
          </w:p>
        </w:tc>
        <w:tc>
          <w:tcPr>
            <w:tcW w:w="1248" w:type="dxa"/>
            <w:vMerge w:val="continue"/>
            <w:tcBorders>
              <w:top w:val="single" w:color="auto" w:sz="4" w:space="0"/>
              <w:left w:val="single" w:color="000000" w:sz="4" w:space="0"/>
              <w:bottom w:val="single" w:color="auto" w:sz="4" w:space="0"/>
              <w:right w:val="single" w:color="auto" w:sz="4" w:space="0"/>
            </w:tcBorders>
            <w:noWrap/>
            <w:vAlign w:val="center"/>
          </w:tcPr>
          <w:p>
            <w:pPr>
              <w:jc w:val="center"/>
              <w:rPr>
                <w:rFonts w:hint="default" w:ascii="Times New Roman" w:hAnsi="Times New Roman" w:cs="Times New Roman"/>
                <w:b w:val="0"/>
                <w:bCs w:val="0"/>
                <w:color w:val="auto"/>
                <w:sz w:val="22"/>
              </w:rPr>
            </w:pPr>
          </w:p>
        </w:tc>
        <w:tc>
          <w:tcPr>
            <w:tcW w:w="1992" w:type="dxa"/>
            <w:tcBorders>
              <w:top w:val="single" w:color="000000" w:sz="4" w:space="0"/>
              <w:left w:val="single" w:color="auto"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lang w:val="en-US" w:eastAsia="zh-CN"/>
              </w:rPr>
            </w:pPr>
            <w:r>
              <w:rPr>
                <w:rFonts w:hint="eastAsia" w:ascii="Times New Roman" w:hAnsi="Times New Roman" w:eastAsia="方正楷体_GBK" w:cs="方正楷体_GBK"/>
                <w:b w:val="0"/>
                <w:bCs w:val="0"/>
                <w:color w:val="auto"/>
                <w:sz w:val="22"/>
                <w:lang w:val="en-US" w:eastAsia="zh-CN"/>
              </w:rPr>
              <w:t>粮食储备规模</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lang w:val="en-US" w:eastAsia="zh-CN"/>
              </w:rPr>
            </w:pPr>
            <w:r>
              <w:rPr>
                <w:rFonts w:hint="eastAsia" w:ascii="Times New Roman" w:hAnsi="Times New Roman" w:eastAsia="方正楷体_GBK" w:cs="方正楷体_GBK"/>
                <w:b w:val="0"/>
                <w:bCs w:val="0"/>
                <w:color w:val="auto"/>
                <w:sz w:val="22"/>
                <w:lang w:val="en-US" w:eastAsia="zh-CN"/>
              </w:rPr>
              <w:t>=</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lang w:val="en-US" w:eastAsia="zh-CN"/>
              </w:rPr>
            </w:pPr>
            <w:r>
              <w:rPr>
                <w:rFonts w:hint="eastAsia" w:ascii="Times New Roman" w:hAnsi="Times New Roman" w:eastAsia="方正楷体_GBK" w:cs="方正楷体_GBK"/>
                <w:b w:val="0"/>
                <w:bCs w:val="0"/>
                <w:color w:val="auto"/>
                <w:sz w:val="22"/>
                <w:lang w:val="en-US" w:eastAsia="zh-CN"/>
              </w:rPr>
              <w:t>100</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lang w:val="en-US" w:eastAsia="zh-CN"/>
              </w:rPr>
            </w:pPr>
            <w:r>
              <w:rPr>
                <w:rFonts w:hint="eastAsia" w:ascii="Times New Roman" w:hAnsi="Times New Roman" w:eastAsia="方正楷体_GBK" w:cs="方正楷体_GBK"/>
                <w:b w:val="0"/>
                <w:bCs w:val="0"/>
                <w:color w:val="auto"/>
                <w:sz w:val="22"/>
                <w:lang w:val="en-US" w:eastAsia="zh-CN"/>
              </w:rPr>
              <w:t>%</w:t>
            </w:r>
          </w:p>
        </w:tc>
        <w:tc>
          <w:tcPr>
            <w:tcW w:w="7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lang w:val="en-US" w:eastAsia="zh-CN"/>
              </w:rPr>
            </w:pPr>
            <w:r>
              <w:rPr>
                <w:rFonts w:hint="eastAsia" w:ascii="Times New Roman" w:hAnsi="Times New Roman" w:eastAsia="方正楷体_GBK" w:cs="方正楷体_GBK"/>
                <w:b w:val="0"/>
                <w:bCs w:val="0"/>
                <w:color w:val="auto"/>
                <w:sz w:val="22"/>
                <w:lang w:val="en-US" w:eastAsia="zh-CN"/>
              </w:rPr>
              <w:t>15</w:t>
            </w:r>
          </w:p>
        </w:tc>
        <w:tc>
          <w:tcPr>
            <w:tcW w:w="175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lang w:val="en-US" w:eastAsia="zh-CN"/>
              </w:rPr>
            </w:pPr>
            <w:r>
              <w:rPr>
                <w:rFonts w:hint="eastAsia" w:ascii="Times New Roman" w:hAnsi="Times New Roman" w:eastAsia="方正楷体_GBK" w:cs="方正楷体_GBK"/>
                <w:b w:val="0"/>
                <w:bCs w:val="0"/>
                <w:color w:val="auto"/>
                <w:sz w:val="22"/>
                <w:lang w:val="en-US" w:eastAsia="zh-CN"/>
              </w:rPr>
              <w:t>100</w:t>
            </w:r>
          </w:p>
        </w:tc>
        <w:tc>
          <w:tcPr>
            <w:tcW w:w="11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lang w:val="en-US" w:eastAsia="zh-CN"/>
              </w:rPr>
            </w:pPr>
            <w:r>
              <w:rPr>
                <w:rFonts w:hint="eastAsia" w:ascii="Times New Roman" w:hAnsi="Times New Roman" w:eastAsia="方正楷体_GBK" w:cs="方正楷体_GBK"/>
                <w:b w:val="0"/>
                <w:bCs w:val="0"/>
                <w:color w:val="auto"/>
                <w:sz w:val="22"/>
                <w:lang w:val="en-US" w:eastAsia="zh-CN"/>
              </w:rPr>
              <w:t>15</w:t>
            </w:r>
          </w:p>
        </w:tc>
        <w:tc>
          <w:tcPr>
            <w:tcW w:w="15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imes New Roman" w:hAnsi="Times New Roman" w:eastAsia="方正楷体_GBK" w:cs="方正楷体_GBK"/>
                <w:b w:val="0"/>
                <w:bCs w:val="0"/>
                <w:color w:val="auto"/>
                <w:sz w:val="22"/>
              </w:rPr>
            </w:pPr>
          </w:p>
        </w:tc>
        <w:tc>
          <w:tcPr>
            <w:tcW w:w="176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auto"/>
                <w:sz w:val="22"/>
              </w:rPr>
            </w:pPr>
          </w:p>
        </w:tc>
      </w:tr>
      <w:tr>
        <w:tblPrEx>
          <w:tblCellMar>
            <w:top w:w="0" w:type="dxa"/>
            <w:left w:w="108" w:type="dxa"/>
            <w:bottom w:w="0" w:type="dxa"/>
            <w:right w:w="108" w:type="dxa"/>
          </w:tblCellMar>
        </w:tblPrEx>
        <w:trPr>
          <w:trHeight w:val="936" w:hRule="atLeast"/>
        </w:trPr>
        <w:tc>
          <w:tcPr>
            <w:tcW w:w="732" w:type="dxa"/>
            <w:vMerge w:val="continue"/>
            <w:tcBorders>
              <w:top w:val="single" w:color="auto" w:sz="4" w:space="0"/>
              <w:left w:val="single" w:color="auto" w:sz="4" w:space="0"/>
              <w:bottom w:val="single" w:color="auto" w:sz="4" w:space="0"/>
              <w:right w:val="single" w:color="000000" w:sz="4" w:space="0"/>
            </w:tcBorders>
            <w:noWrap/>
            <w:vAlign w:val="center"/>
          </w:tcPr>
          <w:p>
            <w:pPr>
              <w:jc w:val="center"/>
              <w:textAlignment w:val="center"/>
              <w:rPr>
                <w:rFonts w:hint="default" w:ascii="Times New Roman" w:hAnsi="Times New Roman" w:cs="Times New Roman"/>
                <w:b w:val="0"/>
                <w:bCs w:val="0"/>
                <w:color w:val="auto"/>
                <w:sz w:val="22"/>
              </w:rPr>
            </w:pPr>
          </w:p>
        </w:tc>
        <w:tc>
          <w:tcPr>
            <w:tcW w:w="1248" w:type="dxa"/>
            <w:vMerge w:val="continue"/>
            <w:tcBorders>
              <w:top w:val="single" w:color="auto" w:sz="4" w:space="0"/>
              <w:left w:val="single" w:color="000000" w:sz="4" w:space="0"/>
              <w:bottom w:val="single" w:color="auto" w:sz="4" w:space="0"/>
              <w:right w:val="single" w:color="auto" w:sz="4" w:space="0"/>
            </w:tcBorders>
            <w:noWrap/>
            <w:vAlign w:val="center"/>
          </w:tcPr>
          <w:p>
            <w:pPr>
              <w:jc w:val="center"/>
              <w:rPr>
                <w:rFonts w:hint="default" w:ascii="Times New Roman" w:hAnsi="Times New Roman" w:cs="Times New Roman"/>
                <w:b w:val="0"/>
                <w:bCs w:val="0"/>
                <w:color w:val="auto"/>
                <w:sz w:val="22"/>
              </w:rPr>
            </w:pPr>
          </w:p>
        </w:tc>
        <w:tc>
          <w:tcPr>
            <w:tcW w:w="1992" w:type="dxa"/>
            <w:tcBorders>
              <w:top w:val="single" w:color="000000" w:sz="4" w:space="0"/>
              <w:left w:val="single" w:color="auto"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lang w:val="en-US" w:eastAsia="zh-CN"/>
              </w:rPr>
            </w:pPr>
            <w:r>
              <w:rPr>
                <w:rFonts w:hint="eastAsia" w:ascii="Times New Roman" w:hAnsi="Times New Roman" w:eastAsia="方正楷体_GBK" w:cs="方正楷体_GBK"/>
                <w:b w:val="0"/>
                <w:bCs w:val="0"/>
                <w:color w:val="auto"/>
                <w:sz w:val="22"/>
                <w:lang w:val="en-US" w:eastAsia="zh-CN"/>
              </w:rPr>
              <w:t>符合国家等级质量标准</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lang w:val="en-US" w:eastAsia="zh-CN"/>
              </w:rPr>
            </w:pPr>
            <w:r>
              <w:rPr>
                <w:rFonts w:hint="eastAsia" w:ascii="Times New Roman" w:hAnsi="Times New Roman" w:eastAsia="方正楷体_GBK" w:cs="方正楷体_GBK"/>
                <w:b w:val="0"/>
                <w:bCs w:val="0"/>
                <w:color w:val="auto"/>
                <w:sz w:val="22"/>
                <w:lang w:val="en-US" w:eastAsia="zh-CN"/>
              </w:rPr>
              <w:t>定性</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lang w:val="en-US" w:eastAsia="zh-CN"/>
              </w:rPr>
            </w:pPr>
            <w:r>
              <w:rPr>
                <w:rFonts w:hint="eastAsia" w:ascii="Times New Roman" w:hAnsi="Times New Roman" w:eastAsia="方正楷体_GBK" w:cs="方正楷体_GBK"/>
                <w:b w:val="0"/>
                <w:bCs w:val="0"/>
                <w:color w:val="auto"/>
                <w:sz w:val="22"/>
                <w:lang w:val="en-US" w:eastAsia="zh-CN"/>
              </w:rPr>
              <w:t>三级（含）以上</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rPr>
            </w:pPr>
          </w:p>
        </w:tc>
        <w:tc>
          <w:tcPr>
            <w:tcW w:w="7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lang w:val="en-US" w:eastAsia="zh-CN"/>
              </w:rPr>
            </w:pPr>
            <w:r>
              <w:rPr>
                <w:rFonts w:hint="eastAsia" w:ascii="Times New Roman" w:hAnsi="Times New Roman" w:eastAsia="方正楷体_GBK" w:cs="方正楷体_GBK"/>
                <w:b w:val="0"/>
                <w:bCs w:val="0"/>
                <w:color w:val="auto"/>
                <w:sz w:val="22"/>
                <w:lang w:val="en-US" w:eastAsia="zh-CN"/>
              </w:rPr>
              <w:t>15</w:t>
            </w:r>
          </w:p>
        </w:tc>
        <w:tc>
          <w:tcPr>
            <w:tcW w:w="175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lang w:val="en-US" w:eastAsia="zh-CN"/>
              </w:rPr>
            </w:pPr>
            <w:r>
              <w:rPr>
                <w:rFonts w:hint="eastAsia" w:ascii="Times New Roman" w:hAnsi="Times New Roman" w:eastAsia="方正楷体_GBK" w:cs="方正楷体_GBK"/>
                <w:b w:val="0"/>
                <w:bCs w:val="0"/>
                <w:color w:val="auto"/>
                <w:sz w:val="22"/>
                <w:lang w:val="en-US" w:eastAsia="zh-CN"/>
              </w:rPr>
              <w:t>完成</w:t>
            </w:r>
          </w:p>
        </w:tc>
        <w:tc>
          <w:tcPr>
            <w:tcW w:w="11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lang w:val="en-US" w:eastAsia="zh-CN"/>
              </w:rPr>
            </w:pPr>
            <w:r>
              <w:rPr>
                <w:rFonts w:hint="eastAsia" w:ascii="Times New Roman" w:hAnsi="Times New Roman" w:eastAsia="方正楷体_GBK" w:cs="方正楷体_GBK"/>
                <w:b w:val="0"/>
                <w:bCs w:val="0"/>
                <w:color w:val="auto"/>
                <w:sz w:val="22"/>
                <w:lang w:val="en-US" w:eastAsia="zh-CN"/>
              </w:rPr>
              <w:t>15</w:t>
            </w:r>
          </w:p>
        </w:tc>
        <w:tc>
          <w:tcPr>
            <w:tcW w:w="15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imes New Roman" w:hAnsi="Times New Roman" w:eastAsia="方正楷体_GBK" w:cs="方正楷体_GBK"/>
                <w:b w:val="0"/>
                <w:bCs w:val="0"/>
                <w:color w:val="auto"/>
                <w:sz w:val="22"/>
              </w:rPr>
            </w:pPr>
          </w:p>
        </w:tc>
        <w:tc>
          <w:tcPr>
            <w:tcW w:w="176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auto"/>
                <w:sz w:val="22"/>
              </w:rPr>
            </w:pPr>
          </w:p>
        </w:tc>
      </w:tr>
      <w:tr>
        <w:tblPrEx>
          <w:tblCellMar>
            <w:top w:w="0" w:type="dxa"/>
            <w:left w:w="108" w:type="dxa"/>
            <w:bottom w:w="0" w:type="dxa"/>
            <w:right w:w="108" w:type="dxa"/>
          </w:tblCellMar>
        </w:tblPrEx>
        <w:trPr>
          <w:trHeight w:val="936" w:hRule="atLeast"/>
        </w:trPr>
        <w:tc>
          <w:tcPr>
            <w:tcW w:w="732" w:type="dxa"/>
            <w:vMerge w:val="continue"/>
            <w:tcBorders>
              <w:top w:val="single" w:color="auto" w:sz="4" w:space="0"/>
              <w:left w:val="single" w:color="auto" w:sz="4" w:space="0"/>
              <w:bottom w:val="single" w:color="auto" w:sz="4" w:space="0"/>
              <w:right w:val="single" w:color="000000" w:sz="4" w:space="0"/>
            </w:tcBorders>
            <w:noWrap/>
            <w:vAlign w:val="center"/>
          </w:tcPr>
          <w:p>
            <w:pPr>
              <w:jc w:val="center"/>
              <w:textAlignment w:val="center"/>
              <w:rPr>
                <w:rFonts w:hint="default" w:ascii="Times New Roman" w:hAnsi="Times New Roman" w:cs="Times New Roman"/>
                <w:b w:val="0"/>
                <w:bCs w:val="0"/>
                <w:color w:val="auto"/>
                <w:sz w:val="22"/>
              </w:rPr>
            </w:pPr>
          </w:p>
        </w:tc>
        <w:tc>
          <w:tcPr>
            <w:tcW w:w="1248" w:type="dxa"/>
            <w:vMerge w:val="continue"/>
            <w:tcBorders>
              <w:top w:val="single" w:color="auto" w:sz="4" w:space="0"/>
              <w:left w:val="single" w:color="000000" w:sz="4" w:space="0"/>
              <w:bottom w:val="single" w:color="auto" w:sz="4" w:space="0"/>
              <w:right w:val="single" w:color="auto" w:sz="4" w:space="0"/>
            </w:tcBorders>
            <w:noWrap/>
            <w:vAlign w:val="center"/>
          </w:tcPr>
          <w:p>
            <w:pPr>
              <w:jc w:val="center"/>
              <w:rPr>
                <w:rFonts w:hint="default" w:ascii="Times New Roman" w:hAnsi="Times New Roman" w:cs="Times New Roman"/>
                <w:b w:val="0"/>
                <w:bCs w:val="0"/>
                <w:color w:val="auto"/>
                <w:sz w:val="22"/>
              </w:rPr>
            </w:pPr>
          </w:p>
        </w:tc>
        <w:tc>
          <w:tcPr>
            <w:tcW w:w="1992" w:type="dxa"/>
            <w:tcBorders>
              <w:top w:val="single" w:color="000000" w:sz="4" w:space="0"/>
              <w:left w:val="single" w:color="auto"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lang w:val="en-US" w:eastAsia="zh-CN"/>
              </w:rPr>
            </w:pPr>
            <w:r>
              <w:rPr>
                <w:rFonts w:hint="eastAsia" w:ascii="Times New Roman" w:hAnsi="Times New Roman" w:eastAsia="方正楷体_GBK" w:cs="方正楷体_GBK"/>
                <w:b w:val="0"/>
                <w:bCs w:val="0"/>
                <w:color w:val="auto"/>
                <w:sz w:val="22"/>
                <w:lang w:val="en-US" w:eastAsia="zh-CN"/>
              </w:rPr>
              <w:t xml:space="preserve">较大以上储粮事故 </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lang w:val="en-US" w:eastAsia="zh-CN"/>
              </w:rPr>
            </w:pPr>
            <w:r>
              <w:rPr>
                <w:rFonts w:hint="eastAsia" w:ascii="Times New Roman" w:hAnsi="Times New Roman" w:eastAsia="方正楷体_GBK" w:cs="方正楷体_GBK"/>
                <w:b w:val="0"/>
                <w:bCs w:val="0"/>
                <w:color w:val="auto"/>
                <w:sz w:val="22"/>
                <w:lang w:val="en-US" w:eastAsia="zh-CN"/>
              </w:rPr>
              <w:t>定性</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lang w:val="en-US" w:eastAsia="zh-CN"/>
              </w:rPr>
            </w:pPr>
            <w:r>
              <w:rPr>
                <w:rFonts w:hint="eastAsia" w:ascii="Times New Roman" w:hAnsi="Times New Roman" w:eastAsia="方正楷体_GBK" w:cs="方正楷体_GBK"/>
                <w:b w:val="0"/>
                <w:bCs w:val="0"/>
                <w:color w:val="auto"/>
                <w:sz w:val="22"/>
                <w:lang w:val="en-US" w:eastAsia="zh-CN"/>
              </w:rPr>
              <w:t>不发生</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rPr>
            </w:pPr>
          </w:p>
        </w:tc>
        <w:tc>
          <w:tcPr>
            <w:tcW w:w="7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lang w:val="en-US" w:eastAsia="zh-CN"/>
              </w:rPr>
            </w:pPr>
            <w:r>
              <w:rPr>
                <w:rFonts w:hint="eastAsia" w:ascii="Times New Roman" w:hAnsi="Times New Roman" w:eastAsia="方正楷体_GBK" w:cs="方正楷体_GBK"/>
                <w:b w:val="0"/>
                <w:bCs w:val="0"/>
                <w:color w:val="auto"/>
                <w:sz w:val="22"/>
                <w:lang w:val="en-US" w:eastAsia="zh-CN"/>
              </w:rPr>
              <w:t>30</w:t>
            </w:r>
          </w:p>
        </w:tc>
        <w:tc>
          <w:tcPr>
            <w:tcW w:w="175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lang w:val="en-US" w:eastAsia="zh-CN"/>
              </w:rPr>
            </w:pPr>
            <w:r>
              <w:rPr>
                <w:rFonts w:hint="eastAsia" w:ascii="Times New Roman" w:hAnsi="Times New Roman" w:eastAsia="方正楷体_GBK" w:cs="方正楷体_GBK"/>
                <w:b w:val="0"/>
                <w:bCs w:val="0"/>
                <w:color w:val="auto"/>
                <w:sz w:val="22"/>
                <w:lang w:val="en-US" w:eastAsia="zh-CN"/>
              </w:rPr>
              <w:t>完成</w:t>
            </w:r>
          </w:p>
        </w:tc>
        <w:tc>
          <w:tcPr>
            <w:tcW w:w="11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lang w:val="en-US" w:eastAsia="zh-CN"/>
              </w:rPr>
            </w:pPr>
            <w:r>
              <w:rPr>
                <w:rFonts w:hint="eastAsia" w:ascii="Times New Roman" w:hAnsi="Times New Roman" w:eastAsia="方正楷体_GBK" w:cs="方正楷体_GBK"/>
                <w:b w:val="0"/>
                <w:bCs w:val="0"/>
                <w:color w:val="auto"/>
                <w:sz w:val="22"/>
                <w:lang w:val="en-US" w:eastAsia="zh-CN"/>
              </w:rPr>
              <w:t>30</w:t>
            </w:r>
          </w:p>
        </w:tc>
        <w:tc>
          <w:tcPr>
            <w:tcW w:w="15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imes New Roman" w:hAnsi="Times New Roman" w:eastAsia="方正楷体_GBK" w:cs="方正楷体_GBK"/>
                <w:b w:val="0"/>
                <w:bCs w:val="0"/>
                <w:color w:val="auto"/>
                <w:sz w:val="22"/>
              </w:rPr>
            </w:pPr>
          </w:p>
        </w:tc>
        <w:tc>
          <w:tcPr>
            <w:tcW w:w="176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auto"/>
                <w:sz w:val="22"/>
              </w:rPr>
            </w:pPr>
          </w:p>
        </w:tc>
      </w:tr>
      <w:tr>
        <w:tblPrEx>
          <w:tblCellMar>
            <w:top w:w="0" w:type="dxa"/>
            <w:left w:w="108" w:type="dxa"/>
            <w:bottom w:w="0" w:type="dxa"/>
            <w:right w:w="108" w:type="dxa"/>
          </w:tblCellMar>
        </w:tblPrEx>
        <w:trPr>
          <w:trHeight w:val="936" w:hRule="atLeast"/>
        </w:trPr>
        <w:tc>
          <w:tcPr>
            <w:tcW w:w="732" w:type="dxa"/>
            <w:vMerge w:val="continue"/>
            <w:tcBorders>
              <w:top w:val="single" w:color="auto" w:sz="4" w:space="0"/>
              <w:left w:val="single" w:color="auto" w:sz="4" w:space="0"/>
              <w:bottom w:val="single" w:color="auto" w:sz="4" w:space="0"/>
              <w:right w:val="single" w:color="000000" w:sz="4" w:space="0"/>
            </w:tcBorders>
            <w:noWrap/>
            <w:vAlign w:val="center"/>
          </w:tcPr>
          <w:p>
            <w:pPr>
              <w:jc w:val="center"/>
              <w:textAlignment w:val="center"/>
              <w:rPr>
                <w:rFonts w:hint="default" w:ascii="Times New Roman" w:hAnsi="Times New Roman" w:cs="Times New Roman"/>
                <w:b w:val="0"/>
                <w:bCs w:val="0"/>
                <w:color w:val="auto"/>
                <w:sz w:val="22"/>
              </w:rPr>
            </w:pPr>
          </w:p>
        </w:tc>
        <w:tc>
          <w:tcPr>
            <w:tcW w:w="1248" w:type="dxa"/>
            <w:vMerge w:val="continue"/>
            <w:tcBorders>
              <w:top w:val="single" w:color="auto" w:sz="4" w:space="0"/>
              <w:left w:val="single" w:color="000000" w:sz="4" w:space="0"/>
              <w:bottom w:val="single" w:color="auto" w:sz="4" w:space="0"/>
              <w:right w:val="single" w:color="auto" w:sz="4" w:space="0"/>
            </w:tcBorders>
            <w:noWrap/>
            <w:vAlign w:val="center"/>
          </w:tcPr>
          <w:p>
            <w:pPr>
              <w:jc w:val="center"/>
              <w:rPr>
                <w:rFonts w:hint="default" w:ascii="Times New Roman" w:hAnsi="Times New Roman" w:cs="Times New Roman"/>
                <w:b w:val="0"/>
                <w:bCs w:val="0"/>
                <w:color w:val="auto"/>
                <w:sz w:val="22"/>
              </w:rPr>
            </w:pPr>
          </w:p>
        </w:tc>
        <w:tc>
          <w:tcPr>
            <w:tcW w:w="1992" w:type="dxa"/>
            <w:tcBorders>
              <w:top w:val="single" w:color="000000" w:sz="4" w:space="0"/>
              <w:left w:val="single" w:color="auto"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lang w:val="en-US" w:eastAsia="zh-CN"/>
              </w:rPr>
            </w:pPr>
            <w:r>
              <w:rPr>
                <w:rFonts w:hint="eastAsia" w:ascii="Times New Roman" w:hAnsi="Times New Roman" w:eastAsia="方正楷体_GBK" w:cs="方正楷体_GBK"/>
                <w:b w:val="0"/>
                <w:bCs w:val="0"/>
                <w:color w:val="auto"/>
                <w:sz w:val="22"/>
                <w:lang w:val="en-US" w:eastAsia="zh-CN"/>
              </w:rPr>
              <w:t>按期完成储备粮</w:t>
            </w:r>
          </w:p>
          <w:p>
            <w:pPr>
              <w:jc w:val="center"/>
              <w:rPr>
                <w:rFonts w:hint="eastAsia" w:ascii="Times New Roman" w:hAnsi="Times New Roman" w:eastAsia="方正楷体_GBK" w:cs="方正楷体_GBK"/>
                <w:b w:val="0"/>
                <w:bCs w:val="0"/>
                <w:color w:val="auto"/>
                <w:sz w:val="22"/>
                <w:lang w:val="en-US" w:eastAsia="zh-CN"/>
              </w:rPr>
            </w:pPr>
            <w:r>
              <w:rPr>
                <w:rFonts w:hint="eastAsia" w:ascii="Times New Roman" w:hAnsi="Times New Roman" w:eastAsia="方正楷体_GBK" w:cs="方正楷体_GBK"/>
                <w:b w:val="0"/>
                <w:bCs w:val="0"/>
                <w:color w:val="auto"/>
                <w:sz w:val="22"/>
                <w:lang w:val="en-US" w:eastAsia="zh-CN"/>
              </w:rPr>
              <w:t>轮换任务</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lang w:val="en-US" w:eastAsia="zh-CN"/>
              </w:rPr>
            </w:pPr>
            <w:r>
              <w:rPr>
                <w:rFonts w:hint="eastAsia" w:ascii="Times New Roman" w:hAnsi="Times New Roman" w:eastAsia="方正楷体_GBK" w:cs="方正楷体_GBK"/>
                <w:b w:val="0"/>
                <w:bCs w:val="0"/>
                <w:color w:val="auto"/>
                <w:sz w:val="22"/>
                <w:lang w:val="en-US" w:eastAsia="zh-CN"/>
              </w:rPr>
              <w:t>定性</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lang w:val="en-US" w:eastAsia="zh-CN"/>
              </w:rPr>
            </w:pPr>
            <w:r>
              <w:rPr>
                <w:rFonts w:hint="eastAsia" w:ascii="Times New Roman" w:hAnsi="Times New Roman" w:eastAsia="方正楷体_GBK" w:cs="方正楷体_GBK"/>
                <w:b w:val="0"/>
                <w:bCs w:val="0"/>
                <w:color w:val="auto"/>
                <w:sz w:val="22"/>
                <w:lang w:val="en-US" w:eastAsia="zh-CN"/>
              </w:rPr>
              <w:t>完成</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rPr>
            </w:pPr>
          </w:p>
        </w:tc>
        <w:tc>
          <w:tcPr>
            <w:tcW w:w="7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lang w:val="en-US" w:eastAsia="zh-CN"/>
              </w:rPr>
            </w:pPr>
            <w:r>
              <w:rPr>
                <w:rFonts w:hint="eastAsia" w:ascii="Times New Roman" w:hAnsi="Times New Roman" w:eastAsia="方正楷体_GBK" w:cs="方正楷体_GBK"/>
                <w:b w:val="0"/>
                <w:bCs w:val="0"/>
                <w:color w:val="auto"/>
                <w:sz w:val="22"/>
                <w:lang w:val="en-US" w:eastAsia="zh-CN"/>
              </w:rPr>
              <w:t>15</w:t>
            </w:r>
          </w:p>
        </w:tc>
        <w:tc>
          <w:tcPr>
            <w:tcW w:w="175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lang w:val="en-US" w:eastAsia="zh-CN"/>
              </w:rPr>
            </w:pPr>
            <w:r>
              <w:rPr>
                <w:rFonts w:hint="eastAsia" w:ascii="Times New Roman" w:hAnsi="Times New Roman" w:eastAsia="方正楷体_GBK" w:cs="方正楷体_GBK"/>
                <w:b w:val="0"/>
                <w:bCs w:val="0"/>
                <w:color w:val="auto"/>
                <w:sz w:val="22"/>
                <w:lang w:val="en-US" w:eastAsia="zh-CN"/>
              </w:rPr>
              <w:t>完成</w:t>
            </w:r>
          </w:p>
        </w:tc>
        <w:tc>
          <w:tcPr>
            <w:tcW w:w="11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lang w:val="en-US" w:eastAsia="zh-CN"/>
              </w:rPr>
            </w:pPr>
            <w:r>
              <w:rPr>
                <w:rFonts w:hint="eastAsia" w:ascii="Times New Roman" w:hAnsi="Times New Roman" w:eastAsia="方正楷体_GBK" w:cs="方正楷体_GBK"/>
                <w:b w:val="0"/>
                <w:bCs w:val="0"/>
                <w:color w:val="auto"/>
                <w:sz w:val="22"/>
                <w:lang w:val="en-US" w:eastAsia="zh-CN"/>
              </w:rPr>
              <w:t>15</w:t>
            </w:r>
          </w:p>
        </w:tc>
        <w:tc>
          <w:tcPr>
            <w:tcW w:w="15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imes New Roman" w:hAnsi="Times New Roman" w:eastAsia="方正楷体_GBK" w:cs="方正楷体_GBK"/>
                <w:b w:val="0"/>
                <w:bCs w:val="0"/>
                <w:color w:val="auto"/>
                <w:sz w:val="22"/>
              </w:rPr>
            </w:pPr>
          </w:p>
        </w:tc>
        <w:tc>
          <w:tcPr>
            <w:tcW w:w="176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auto"/>
                <w:sz w:val="22"/>
              </w:rPr>
            </w:pPr>
          </w:p>
        </w:tc>
      </w:tr>
      <w:tr>
        <w:trPr>
          <w:trHeight w:val="936" w:hRule="atLeast"/>
        </w:trPr>
        <w:tc>
          <w:tcPr>
            <w:tcW w:w="732" w:type="dxa"/>
            <w:vMerge w:val="continue"/>
            <w:tcBorders>
              <w:top w:val="single" w:color="auto" w:sz="4" w:space="0"/>
              <w:left w:val="single" w:color="auto" w:sz="4" w:space="0"/>
              <w:bottom w:val="single" w:color="auto" w:sz="4" w:space="0"/>
              <w:right w:val="single" w:color="000000" w:sz="4" w:space="0"/>
            </w:tcBorders>
            <w:noWrap/>
            <w:vAlign w:val="center"/>
          </w:tcPr>
          <w:p>
            <w:pPr>
              <w:jc w:val="center"/>
              <w:textAlignment w:val="center"/>
              <w:rPr>
                <w:rFonts w:hint="default" w:ascii="Times New Roman" w:hAnsi="Times New Roman" w:cs="Times New Roman"/>
                <w:b w:val="0"/>
                <w:bCs w:val="0"/>
                <w:color w:val="auto"/>
                <w:sz w:val="22"/>
              </w:rPr>
            </w:pPr>
          </w:p>
        </w:tc>
        <w:tc>
          <w:tcPr>
            <w:tcW w:w="1248" w:type="dxa"/>
            <w:vMerge w:val="continue"/>
            <w:tcBorders>
              <w:top w:val="single" w:color="auto" w:sz="4" w:space="0"/>
              <w:left w:val="single" w:color="000000" w:sz="4" w:space="0"/>
              <w:bottom w:val="single" w:color="auto" w:sz="4" w:space="0"/>
              <w:right w:val="single" w:color="auto" w:sz="4" w:space="0"/>
            </w:tcBorders>
            <w:noWrap/>
            <w:vAlign w:val="center"/>
          </w:tcPr>
          <w:p>
            <w:pPr>
              <w:jc w:val="center"/>
              <w:rPr>
                <w:rFonts w:hint="default" w:ascii="Times New Roman" w:hAnsi="Times New Roman" w:cs="Times New Roman"/>
                <w:b w:val="0"/>
                <w:bCs w:val="0"/>
                <w:color w:val="auto"/>
                <w:sz w:val="22"/>
              </w:rPr>
            </w:pPr>
          </w:p>
        </w:tc>
        <w:tc>
          <w:tcPr>
            <w:tcW w:w="1992" w:type="dxa"/>
            <w:tcBorders>
              <w:top w:val="single" w:color="000000" w:sz="4" w:space="0"/>
              <w:left w:val="single" w:color="auto"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lang w:val="en-US" w:eastAsia="zh-CN"/>
              </w:rPr>
            </w:pPr>
            <w:r>
              <w:rPr>
                <w:rFonts w:hint="eastAsia" w:ascii="Times New Roman" w:hAnsi="Times New Roman" w:eastAsia="方正楷体_GBK" w:cs="方正楷体_GBK"/>
                <w:b w:val="0"/>
                <w:bCs w:val="0"/>
                <w:color w:val="auto"/>
                <w:sz w:val="22"/>
                <w:lang w:val="en-US" w:eastAsia="zh-CN"/>
              </w:rPr>
              <w:t>粮食库存真实率</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lang w:val="en-US" w:eastAsia="zh-CN"/>
              </w:rPr>
            </w:pPr>
            <w:r>
              <w:rPr>
                <w:rFonts w:hint="eastAsia" w:ascii="Times New Roman" w:hAnsi="Times New Roman" w:eastAsia="方正楷体_GBK" w:cs="方正楷体_GBK"/>
                <w:b w:val="0"/>
                <w:bCs w:val="0"/>
                <w:color w:val="auto"/>
                <w:sz w:val="22"/>
                <w:lang w:val="en-US" w:eastAsia="zh-CN"/>
              </w:rPr>
              <w:t>=</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lang w:val="en-US" w:eastAsia="zh-CN"/>
              </w:rPr>
            </w:pPr>
            <w:r>
              <w:rPr>
                <w:rFonts w:hint="eastAsia" w:ascii="Times New Roman" w:hAnsi="Times New Roman" w:eastAsia="方正楷体_GBK" w:cs="方正楷体_GBK"/>
                <w:b w:val="0"/>
                <w:bCs w:val="0"/>
                <w:color w:val="auto"/>
                <w:sz w:val="22"/>
                <w:lang w:val="en-US" w:eastAsia="zh-CN"/>
              </w:rPr>
              <w:t>100</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lang w:val="en-US" w:eastAsia="zh-CN"/>
              </w:rPr>
            </w:pPr>
            <w:r>
              <w:rPr>
                <w:rFonts w:hint="eastAsia" w:ascii="Times New Roman" w:hAnsi="Times New Roman" w:eastAsia="方正楷体_GBK" w:cs="方正楷体_GBK"/>
                <w:b w:val="0"/>
                <w:bCs w:val="0"/>
                <w:color w:val="auto"/>
                <w:sz w:val="22"/>
                <w:lang w:val="en-US" w:eastAsia="zh-CN"/>
              </w:rPr>
              <w:t>%</w:t>
            </w:r>
          </w:p>
        </w:tc>
        <w:tc>
          <w:tcPr>
            <w:tcW w:w="7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lang w:val="en-US" w:eastAsia="zh-CN"/>
              </w:rPr>
            </w:pPr>
            <w:r>
              <w:rPr>
                <w:rFonts w:hint="eastAsia" w:ascii="Times New Roman" w:hAnsi="Times New Roman" w:eastAsia="方正楷体_GBK" w:cs="方正楷体_GBK"/>
                <w:b w:val="0"/>
                <w:bCs w:val="0"/>
                <w:color w:val="auto"/>
                <w:sz w:val="22"/>
                <w:lang w:val="en-US" w:eastAsia="zh-CN"/>
              </w:rPr>
              <w:t>15</w:t>
            </w:r>
          </w:p>
        </w:tc>
        <w:tc>
          <w:tcPr>
            <w:tcW w:w="175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lang w:val="en-US" w:eastAsia="zh-CN"/>
              </w:rPr>
            </w:pPr>
            <w:r>
              <w:rPr>
                <w:rFonts w:hint="eastAsia" w:ascii="Times New Roman" w:hAnsi="Times New Roman" w:eastAsia="方正楷体_GBK" w:cs="方正楷体_GBK"/>
                <w:b w:val="0"/>
                <w:bCs w:val="0"/>
                <w:color w:val="auto"/>
                <w:sz w:val="22"/>
                <w:lang w:val="en-US" w:eastAsia="zh-CN"/>
              </w:rPr>
              <w:t>100</w:t>
            </w:r>
          </w:p>
        </w:tc>
        <w:tc>
          <w:tcPr>
            <w:tcW w:w="11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lang w:val="en-US" w:eastAsia="zh-CN"/>
              </w:rPr>
            </w:pPr>
            <w:r>
              <w:rPr>
                <w:rFonts w:hint="eastAsia" w:ascii="Times New Roman" w:hAnsi="Times New Roman" w:eastAsia="方正楷体_GBK" w:cs="方正楷体_GBK"/>
                <w:b w:val="0"/>
                <w:bCs w:val="0"/>
                <w:color w:val="auto"/>
                <w:sz w:val="22"/>
                <w:lang w:val="en-US" w:eastAsia="zh-CN"/>
              </w:rPr>
              <w:t>15</w:t>
            </w:r>
          </w:p>
        </w:tc>
        <w:tc>
          <w:tcPr>
            <w:tcW w:w="15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imes New Roman" w:hAnsi="Times New Roman" w:eastAsia="方正楷体_GBK" w:cs="方正楷体_GBK"/>
                <w:b w:val="0"/>
                <w:bCs w:val="0"/>
                <w:color w:val="auto"/>
                <w:sz w:val="22"/>
              </w:rPr>
            </w:pPr>
          </w:p>
        </w:tc>
        <w:tc>
          <w:tcPr>
            <w:tcW w:w="176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auto"/>
                <w:sz w:val="22"/>
              </w:rPr>
            </w:pPr>
          </w:p>
        </w:tc>
      </w:tr>
    </w:tbl>
    <w:p>
      <w:pPr>
        <w:pStyle w:val="13"/>
        <w:keepNext w:val="0"/>
        <w:keepLines w:val="0"/>
        <w:pageBreakBefore w:val="0"/>
        <w:widowControl w:val="0"/>
        <w:kinsoku/>
        <w:overflowPunct/>
        <w:topLinePunct w:val="0"/>
        <w:autoSpaceDE w:val="0"/>
        <w:autoSpaceDN/>
        <w:bidi w:val="0"/>
        <w:adjustRightInd/>
        <w:spacing w:beforeAutospacing="0" w:afterAutospacing="0"/>
        <w:ind w:firstLine="643"/>
        <w:rPr>
          <w:rFonts w:hint="default" w:ascii="Times New Roman" w:hAnsi="Times New Roman" w:eastAsia="楷体" w:cs="Times New Roman"/>
          <w:b w:val="0"/>
          <w:bCs w:val="0"/>
          <w:color w:val="auto"/>
          <w:sz w:val="32"/>
          <w:szCs w:val="32"/>
          <w:shd w:val="clear" w:color="auto" w:fill="FFFFFF"/>
        </w:rPr>
      </w:pPr>
    </w:p>
    <w:p>
      <w:pPr>
        <w:pStyle w:val="13"/>
        <w:keepNext w:val="0"/>
        <w:keepLines w:val="0"/>
        <w:pageBreakBefore w:val="0"/>
        <w:widowControl w:val="0"/>
        <w:kinsoku/>
        <w:overflowPunct/>
        <w:topLinePunct w:val="0"/>
        <w:autoSpaceDE w:val="0"/>
        <w:autoSpaceDN/>
        <w:bidi w:val="0"/>
        <w:adjustRightInd/>
        <w:spacing w:beforeAutospacing="0" w:afterAutospacing="0"/>
        <w:ind w:firstLine="643"/>
        <w:rPr>
          <w:rFonts w:hint="default" w:ascii="Times New Roman" w:hAnsi="Times New Roman" w:eastAsia="楷体" w:cs="Times New Roman"/>
          <w:b w:val="0"/>
          <w:bCs w:val="0"/>
          <w:color w:val="auto"/>
          <w:sz w:val="32"/>
          <w:szCs w:val="32"/>
          <w:shd w:val="clear" w:color="auto" w:fill="FFFFFF"/>
        </w:rPr>
      </w:pPr>
    </w:p>
    <w:p>
      <w:pPr>
        <w:pStyle w:val="13"/>
        <w:keepNext w:val="0"/>
        <w:keepLines w:val="0"/>
        <w:pageBreakBefore w:val="0"/>
        <w:widowControl w:val="0"/>
        <w:kinsoku/>
        <w:overflowPunct/>
        <w:topLinePunct w:val="0"/>
        <w:autoSpaceDE w:val="0"/>
        <w:autoSpaceDN/>
        <w:bidi w:val="0"/>
        <w:adjustRightInd/>
        <w:spacing w:beforeAutospacing="0" w:afterAutospacing="0"/>
        <w:ind w:firstLine="643"/>
        <w:rPr>
          <w:rFonts w:hint="default" w:ascii="Times New Roman" w:hAnsi="Times New Roman" w:eastAsia="楷体" w:cs="Times New Roman"/>
          <w:b w:val="0"/>
          <w:bCs w:val="0"/>
          <w:color w:val="auto"/>
          <w:sz w:val="32"/>
          <w:szCs w:val="32"/>
          <w:shd w:val="clear" w:color="auto" w:fill="FFFFFF"/>
        </w:rPr>
      </w:pPr>
    </w:p>
    <w:p>
      <w:pPr>
        <w:pStyle w:val="13"/>
        <w:keepNext w:val="0"/>
        <w:keepLines w:val="0"/>
        <w:pageBreakBefore w:val="0"/>
        <w:widowControl w:val="0"/>
        <w:kinsoku/>
        <w:overflowPunct/>
        <w:topLinePunct w:val="0"/>
        <w:autoSpaceDE w:val="0"/>
        <w:autoSpaceDN/>
        <w:bidi w:val="0"/>
        <w:adjustRightInd/>
        <w:spacing w:beforeAutospacing="0" w:afterAutospacing="0"/>
        <w:ind w:firstLine="643"/>
        <w:rPr>
          <w:rFonts w:hint="default" w:ascii="Times New Roman" w:hAnsi="Times New Roman" w:eastAsia="楷体" w:cs="Times New Roman"/>
          <w:b w:val="0"/>
          <w:bCs w:val="0"/>
          <w:color w:val="auto"/>
          <w:sz w:val="32"/>
          <w:szCs w:val="32"/>
          <w:shd w:val="clear" w:color="auto" w:fill="FFFFFF"/>
        </w:rPr>
      </w:pPr>
    </w:p>
    <w:p>
      <w:pPr>
        <w:pStyle w:val="13"/>
        <w:keepNext w:val="0"/>
        <w:keepLines w:val="0"/>
        <w:pageBreakBefore w:val="0"/>
        <w:widowControl w:val="0"/>
        <w:kinsoku/>
        <w:overflowPunct/>
        <w:topLinePunct w:val="0"/>
        <w:autoSpaceDE w:val="0"/>
        <w:autoSpaceDN/>
        <w:bidi w:val="0"/>
        <w:adjustRightInd/>
        <w:spacing w:beforeAutospacing="0" w:afterAutospacing="0"/>
        <w:ind w:firstLine="643"/>
        <w:rPr>
          <w:rFonts w:hint="default" w:ascii="Times New Roman" w:hAnsi="Times New Roman" w:eastAsia="楷体" w:cs="Times New Roman"/>
          <w:b w:val="0"/>
          <w:bCs w:val="0"/>
          <w:color w:val="auto"/>
          <w:sz w:val="32"/>
          <w:szCs w:val="32"/>
          <w:shd w:val="clear" w:color="auto" w:fill="FFFFFF"/>
        </w:rPr>
      </w:pPr>
    </w:p>
    <w:p>
      <w:pPr>
        <w:pStyle w:val="13"/>
        <w:keepNext w:val="0"/>
        <w:keepLines w:val="0"/>
        <w:pageBreakBefore w:val="0"/>
        <w:widowControl w:val="0"/>
        <w:kinsoku/>
        <w:overflowPunct/>
        <w:topLinePunct w:val="0"/>
        <w:autoSpaceDE w:val="0"/>
        <w:autoSpaceDN/>
        <w:bidi w:val="0"/>
        <w:adjustRightInd/>
        <w:spacing w:beforeAutospacing="0" w:afterAutospacing="0"/>
        <w:ind w:firstLine="643"/>
        <w:rPr>
          <w:rFonts w:hint="default" w:ascii="Times New Roman" w:hAnsi="Times New Roman" w:eastAsia="楷体" w:cs="Times New Roman"/>
          <w:b w:val="0"/>
          <w:bCs w:val="0"/>
          <w:color w:val="auto"/>
          <w:sz w:val="32"/>
          <w:szCs w:val="32"/>
          <w:shd w:val="clear" w:color="auto" w:fill="FFFFFF"/>
        </w:rPr>
      </w:pPr>
    </w:p>
    <w:p>
      <w:pPr>
        <w:pStyle w:val="13"/>
        <w:keepNext w:val="0"/>
        <w:keepLines w:val="0"/>
        <w:pageBreakBefore w:val="0"/>
        <w:widowControl w:val="0"/>
        <w:kinsoku/>
        <w:overflowPunct/>
        <w:topLinePunct w:val="0"/>
        <w:autoSpaceDE w:val="0"/>
        <w:autoSpaceDN/>
        <w:bidi w:val="0"/>
        <w:adjustRightInd/>
        <w:spacing w:beforeAutospacing="0" w:afterAutospacing="0"/>
        <w:ind w:firstLine="643"/>
        <w:rPr>
          <w:rFonts w:hint="default" w:ascii="Times New Roman" w:hAnsi="Times New Roman" w:eastAsia="楷体" w:cs="Times New Roman"/>
          <w:b w:val="0"/>
          <w:bCs w:val="0"/>
          <w:color w:val="auto"/>
          <w:sz w:val="32"/>
          <w:szCs w:val="32"/>
          <w:shd w:val="clear" w:color="auto" w:fill="FFFFFF"/>
        </w:rPr>
      </w:pPr>
    </w:p>
    <w:p>
      <w:pPr>
        <w:pStyle w:val="13"/>
        <w:keepNext w:val="0"/>
        <w:keepLines w:val="0"/>
        <w:pageBreakBefore w:val="0"/>
        <w:widowControl w:val="0"/>
        <w:kinsoku/>
        <w:overflowPunct/>
        <w:topLinePunct w:val="0"/>
        <w:autoSpaceDE w:val="0"/>
        <w:autoSpaceDN/>
        <w:bidi w:val="0"/>
        <w:adjustRightInd/>
        <w:spacing w:beforeAutospacing="0" w:afterAutospacing="0"/>
        <w:ind w:firstLine="643"/>
        <w:rPr>
          <w:rFonts w:hint="default" w:ascii="Times New Roman" w:hAnsi="Times New Roman" w:eastAsia="楷体" w:cs="Times New Roman"/>
          <w:b w:val="0"/>
          <w:bCs w:val="0"/>
          <w:color w:val="auto"/>
          <w:sz w:val="32"/>
          <w:szCs w:val="32"/>
          <w:shd w:val="clear" w:color="auto" w:fill="FFFFFF"/>
        </w:rPr>
      </w:pPr>
    </w:p>
    <w:p>
      <w:pPr>
        <w:pStyle w:val="13"/>
        <w:keepNext w:val="0"/>
        <w:keepLines w:val="0"/>
        <w:pageBreakBefore w:val="0"/>
        <w:widowControl w:val="0"/>
        <w:kinsoku/>
        <w:overflowPunct/>
        <w:topLinePunct w:val="0"/>
        <w:autoSpaceDE w:val="0"/>
        <w:autoSpaceDN/>
        <w:bidi w:val="0"/>
        <w:adjustRightInd/>
        <w:spacing w:beforeAutospacing="0" w:afterAutospacing="0"/>
        <w:ind w:firstLine="643"/>
        <w:rPr>
          <w:rFonts w:hint="default" w:ascii="Times New Roman" w:hAnsi="Times New Roman" w:eastAsia="楷体" w:cs="Times New Roman"/>
          <w:b w:val="0"/>
          <w:bCs w:val="0"/>
          <w:color w:val="auto"/>
          <w:sz w:val="32"/>
          <w:szCs w:val="32"/>
          <w:shd w:val="clear" w:color="auto" w:fill="FFFFFF"/>
        </w:rPr>
      </w:pPr>
    </w:p>
    <w:p>
      <w:pPr>
        <w:pStyle w:val="13"/>
        <w:keepNext w:val="0"/>
        <w:keepLines w:val="0"/>
        <w:pageBreakBefore w:val="0"/>
        <w:widowControl w:val="0"/>
        <w:kinsoku/>
        <w:overflowPunct/>
        <w:topLinePunct w:val="0"/>
        <w:autoSpaceDE w:val="0"/>
        <w:autoSpaceDN/>
        <w:bidi w:val="0"/>
        <w:adjustRightInd/>
        <w:spacing w:beforeAutospacing="0" w:afterAutospacing="0"/>
        <w:ind w:firstLine="643"/>
        <w:rPr>
          <w:rFonts w:hint="default" w:ascii="Times New Roman" w:hAnsi="Times New Roman" w:eastAsia="楷体" w:cs="Times New Roman"/>
          <w:b w:val="0"/>
          <w:bCs w:val="0"/>
          <w:color w:val="auto"/>
          <w:sz w:val="32"/>
          <w:szCs w:val="32"/>
          <w:shd w:val="clear" w:color="auto" w:fill="FFFFFF"/>
        </w:rPr>
      </w:pPr>
    </w:p>
    <w:p>
      <w:pPr>
        <w:pStyle w:val="13"/>
        <w:keepNext w:val="0"/>
        <w:keepLines w:val="0"/>
        <w:pageBreakBefore w:val="0"/>
        <w:widowControl w:val="0"/>
        <w:kinsoku/>
        <w:overflowPunct/>
        <w:topLinePunct w:val="0"/>
        <w:autoSpaceDE w:val="0"/>
        <w:autoSpaceDN/>
        <w:bidi w:val="0"/>
        <w:adjustRightInd/>
        <w:spacing w:beforeAutospacing="0" w:afterAutospacing="0"/>
        <w:ind w:firstLine="643"/>
        <w:rPr>
          <w:rFonts w:hint="default" w:ascii="Times New Roman" w:hAnsi="Times New Roman" w:eastAsia="楷体" w:cs="Times New Roman"/>
          <w:b w:val="0"/>
          <w:bCs w:val="0"/>
          <w:color w:val="auto"/>
          <w:sz w:val="32"/>
          <w:szCs w:val="32"/>
          <w:shd w:val="clear" w:color="auto" w:fill="FFFFFF"/>
        </w:rPr>
      </w:pPr>
    </w:p>
    <w:p>
      <w:pPr>
        <w:pStyle w:val="13"/>
        <w:keepNext w:val="0"/>
        <w:keepLines w:val="0"/>
        <w:pageBreakBefore w:val="0"/>
        <w:widowControl w:val="0"/>
        <w:kinsoku/>
        <w:overflowPunct/>
        <w:topLinePunct w:val="0"/>
        <w:autoSpaceDE w:val="0"/>
        <w:autoSpaceDN/>
        <w:bidi w:val="0"/>
        <w:adjustRightInd/>
        <w:spacing w:beforeAutospacing="0" w:afterAutospacing="0"/>
        <w:ind w:firstLine="643"/>
        <w:rPr>
          <w:rFonts w:hint="default" w:ascii="Times New Roman" w:hAnsi="Times New Roman" w:eastAsia="楷体" w:cs="Times New Roman"/>
          <w:b w:val="0"/>
          <w:bCs w:val="0"/>
          <w:color w:val="auto"/>
          <w:sz w:val="32"/>
          <w:szCs w:val="32"/>
          <w:shd w:val="clear" w:color="auto" w:fill="FFFFFF"/>
        </w:rPr>
      </w:pPr>
    </w:p>
    <w:p>
      <w:pPr>
        <w:pStyle w:val="13"/>
        <w:keepNext w:val="0"/>
        <w:keepLines w:val="0"/>
        <w:pageBreakBefore w:val="0"/>
        <w:widowControl w:val="0"/>
        <w:kinsoku/>
        <w:overflowPunct/>
        <w:topLinePunct w:val="0"/>
        <w:autoSpaceDE w:val="0"/>
        <w:autoSpaceDN/>
        <w:bidi w:val="0"/>
        <w:adjustRightInd/>
        <w:spacing w:beforeAutospacing="0" w:afterAutospacing="0"/>
        <w:ind w:firstLine="643"/>
        <w:rPr>
          <w:rFonts w:hint="default" w:ascii="Times New Roman" w:hAnsi="Times New Roman" w:eastAsia="楷体" w:cs="Times New Roman"/>
          <w:b w:val="0"/>
          <w:bCs w:val="0"/>
          <w:color w:val="auto"/>
          <w:sz w:val="32"/>
          <w:szCs w:val="32"/>
          <w:shd w:val="clear" w:color="auto" w:fill="FFFFFF"/>
        </w:rPr>
      </w:pPr>
    </w:p>
    <w:p>
      <w:pPr>
        <w:pStyle w:val="13"/>
        <w:keepNext w:val="0"/>
        <w:keepLines w:val="0"/>
        <w:pageBreakBefore w:val="0"/>
        <w:widowControl w:val="0"/>
        <w:kinsoku/>
        <w:overflowPunct/>
        <w:topLinePunct w:val="0"/>
        <w:autoSpaceDE w:val="0"/>
        <w:autoSpaceDN/>
        <w:bidi w:val="0"/>
        <w:adjustRightInd/>
        <w:spacing w:beforeAutospacing="0" w:afterAutospacing="0"/>
        <w:ind w:firstLine="643"/>
        <w:rPr>
          <w:rFonts w:hint="default" w:ascii="Times New Roman" w:hAnsi="Times New Roman" w:eastAsia="楷体" w:cs="Times New Roman"/>
          <w:b w:val="0"/>
          <w:bCs w:val="0"/>
          <w:color w:val="auto"/>
          <w:sz w:val="32"/>
          <w:szCs w:val="32"/>
          <w:shd w:val="clear" w:color="auto" w:fill="FFFFFF"/>
        </w:rPr>
      </w:pPr>
    </w:p>
    <w:p>
      <w:pPr>
        <w:pStyle w:val="13"/>
        <w:keepNext w:val="0"/>
        <w:keepLines w:val="0"/>
        <w:pageBreakBefore w:val="0"/>
        <w:widowControl w:val="0"/>
        <w:kinsoku/>
        <w:overflowPunct/>
        <w:topLinePunct w:val="0"/>
        <w:autoSpaceDE w:val="0"/>
        <w:autoSpaceDN/>
        <w:bidi w:val="0"/>
        <w:adjustRightInd/>
        <w:spacing w:beforeAutospacing="0" w:afterAutospacing="0"/>
        <w:ind w:firstLine="643"/>
        <w:rPr>
          <w:rFonts w:hint="default" w:ascii="Times New Roman" w:hAnsi="Times New Roman" w:eastAsia="楷体" w:cs="Times New Roman"/>
          <w:b w:val="0"/>
          <w:bCs w:val="0"/>
          <w:color w:val="auto"/>
          <w:sz w:val="32"/>
          <w:szCs w:val="32"/>
          <w:shd w:val="clear" w:color="auto" w:fill="FFFFFF"/>
        </w:rPr>
      </w:pPr>
    </w:p>
    <w:tbl>
      <w:tblPr>
        <w:tblStyle w:val="9"/>
        <w:tblpPr w:leftFromText="180" w:rightFromText="180" w:vertAnchor="text" w:horzAnchor="page" w:tblpX="1475" w:tblpY="-18"/>
        <w:tblOverlap w:val="never"/>
        <w:tblW w:w="141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0"/>
        <w:gridCol w:w="1308"/>
        <w:gridCol w:w="2443"/>
        <w:gridCol w:w="1320"/>
        <w:gridCol w:w="1092"/>
        <w:gridCol w:w="1400"/>
        <w:gridCol w:w="1108"/>
        <w:gridCol w:w="1516"/>
        <w:gridCol w:w="1254"/>
        <w:gridCol w:w="860"/>
        <w:gridCol w:w="11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4187" w:type="dxa"/>
            <w:gridSpan w:val="11"/>
            <w:tcBorders>
              <w:top w:val="nil"/>
              <w:left w:val="nil"/>
              <w:bottom w:val="single" w:color="000000" w:sz="4" w:space="0"/>
              <w:right w:val="nil"/>
            </w:tcBorders>
            <w:noWrap/>
            <w:vAlign w:val="center"/>
          </w:tcPr>
          <w:p>
            <w:pPr>
              <w:keepNext w:val="0"/>
              <w:keepLines w:val="0"/>
              <w:pageBreakBefore w:val="0"/>
              <w:widowControl/>
              <w:suppressLineNumbers w:val="0"/>
              <w:kinsoku/>
              <w:wordWrap/>
              <w:overflowPunct/>
              <w:topLinePunct w:val="0"/>
              <w:autoSpaceDE w:val="0"/>
              <w:autoSpaceDN/>
              <w:bidi w:val="0"/>
              <w:adjustRightInd/>
              <w:spacing w:afterAutospacing="0" w:line="600" w:lineRule="exact"/>
              <w:ind w:leftChars="0"/>
              <w:jc w:val="center"/>
              <w:textAlignment w:val="center"/>
              <w:rPr>
                <w:rFonts w:hint="default" w:ascii="Times New Roman" w:hAnsi="Times New Roman" w:eastAsia="方正小标宋_GBK" w:cs="Times New Roman"/>
                <w:color w:val="auto"/>
                <w:kern w:val="0"/>
                <w:sz w:val="36"/>
                <w:szCs w:val="36"/>
              </w:rPr>
            </w:pPr>
            <w:r>
              <w:rPr>
                <w:rFonts w:hint="default" w:ascii="Times New Roman" w:hAnsi="Times New Roman" w:eastAsia="方正小标宋_GBK" w:cs="Times New Roman"/>
                <w:color w:val="auto"/>
                <w:kern w:val="0"/>
                <w:sz w:val="32"/>
                <w:szCs w:val="32"/>
                <w:highlight w:val="none"/>
              </w:rPr>
              <w:t>重庆市万州区发展和改革委员会202</w:t>
            </w:r>
            <w:r>
              <w:rPr>
                <w:rFonts w:hint="eastAsia" w:ascii="Times New Roman" w:hAnsi="Times New Roman" w:eastAsia="方正小标宋_GBK" w:cs="Times New Roman"/>
                <w:color w:val="auto"/>
                <w:kern w:val="0"/>
                <w:sz w:val="32"/>
                <w:szCs w:val="32"/>
                <w:highlight w:val="none"/>
                <w:lang w:val="en-US" w:eastAsia="zh-CN"/>
              </w:rPr>
              <w:t>3</w:t>
            </w:r>
            <w:r>
              <w:rPr>
                <w:rFonts w:hint="eastAsia" w:ascii="Times New Roman" w:hAnsi="Times New Roman" w:eastAsia="方正小标宋_GBK" w:cs="方正小标宋_GBK"/>
                <w:color w:val="auto"/>
                <w:kern w:val="0"/>
                <w:sz w:val="32"/>
                <w:szCs w:val="32"/>
                <w:highlight w:val="none"/>
              </w:rPr>
              <w:t>年度一般性项目支出绩效自评表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9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bidi w:val="0"/>
              <w:adjustRightInd/>
              <w:snapToGrid/>
              <w:spacing w:afterAutospacing="0" w:line="300" w:lineRule="atLeast"/>
              <w:ind w:leftChars="0"/>
              <w:jc w:val="center"/>
              <w:textAlignment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序号</w:t>
            </w:r>
          </w:p>
        </w:tc>
        <w:tc>
          <w:tcPr>
            <w:tcW w:w="1308"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bidi w:val="0"/>
              <w:adjustRightInd/>
              <w:snapToGrid/>
              <w:spacing w:afterAutospacing="0" w:line="300" w:lineRule="atLeast"/>
              <w:ind w:leftChars="0"/>
              <w:jc w:val="center"/>
              <w:textAlignment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项目名称</w:t>
            </w:r>
          </w:p>
        </w:tc>
        <w:tc>
          <w:tcPr>
            <w:tcW w:w="2443"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bidi w:val="0"/>
              <w:adjustRightInd/>
              <w:snapToGrid/>
              <w:spacing w:afterAutospacing="0" w:line="300" w:lineRule="atLeast"/>
              <w:ind w:leftChars="0"/>
              <w:jc w:val="center"/>
              <w:textAlignment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指标名称</w:t>
            </w:r>
          </w:p>
        </w:tc>
        <w:tc>
          <w:tcPr>
            <w:tcW w:w="1320"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bidi w:val="0"/>
              <w:adjustRightInd/>
              <w:snapToGrid/>
              <w:spacing w:afterAutospacing="0" w:line="200" w:lineRule="atLeast"/>
              <w:ind w:leftChars="0"/>
              <w:jc w:val="center"/>
              <w:textAlignment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指标</w:t>
            </w:r>
            <w:r>
              <w:rPr>
                <w:rFonts w:hint="eastAsia" w:ascii="Times New Roman" w:hAnsi="Times New Roman" w:eastAsia="方正黑体_GBK" w:cs="Times New Roman"/>
                <w:color w:val="auto"/>
                <w:kern w:val="0"/>
                <w:sz w:val="22"/>
                <w:szCs w:val="22"/>
                <w:lang w:eastAsia="zh-CN"/>
              </w:rPr>
              <w:t>性</w:t>
            </w:r>
            <w:r>
              <w:rPr>
                <w:rFonts w:hint="default" w:ascii="Times New Roman" w:hAnsi="Times New Roman" w:eastAsia="方正黑体_GBK" w:cs="Times New Roman"/>
                <w:color w:val="auto"/>
                <w:kern w:val="0"/>
                <w:sz w:val="22"/>
                <w:szCs w:val="22"/>
              </w:rPr>
              <w:t>质</w:t>
            </w:r>
          </w:p>
        </w:tc>
        <w:tc>
          <w:tcPr>
            <w:tcW w:w="1092"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bidi w:val="0"/>
              <w:adjustRightInd/>
              <w:snapToGrid/>
              <w:spacing w:afterAutospacing="0" w:line="300" w:lineRule="atLeast"/>
              <w:ind w:leftChars="0"/>
              <w:jc w:val="center"/>
              <w:textAlignment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指标值</w:t>
            </w:r>
          </w:p>
        </w:tc>
        <w:tc>
          <w:tcPr>
            <w:tcW w:w="1400"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bidi w:val="0"/>
              <w:adjustRightInd/>
              <w:snapToGrid/>
              <w:spacing w:afterAutospacing="0" w:line="300" w:lineRule="atLeast"/>
              <w:ind w:leftChars="0"/>
              <w:jc w:val="center"/>
              <w:textAlignment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计量单位</w:t>
            </w:r>
          </w:p>
        </w:tc>
        <w:tc>
          <w:tcPr>
            <w:tcW w:w="1108"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bidi w:val="0"/>
              <w:adjustRightInd/>
              <w:snapToGrid/>
              <w:spacing w:afterAutospacing="0" w:line="300" w:lineRule="atLeast"/>
              <w:ind w:leftChars="0"/>
              <w:jc w:val="center"/>
              <w:textAlignment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指标权重</w:t>
            </w:r>
          </w:p>
        </w:tc>
        <w:tc>
          <w:tcPr>
            <w:tcW w:w="1516"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bidi w:val="0"/>
              <w:adjustRightInd/>
              <w:snapToGrid/>
              <w:spacing w:afterAutospacing="0" w:line="300" w:lineRule="atLeast"/>
              <w:ind w:leftChars="0"/>
              <w:jc w:val="center"/>
              <w:textAlignment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全年完成值</w:t>
            </w:r>
          </w:p>
        </w:tc>
        <w:tc>
          <w:tcPr>
            <w:tcW w:w="1254"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bidi w:val="0"/>
              <w:adjustRightInd/>
              <w:snapToGrid/>
              <w:spacing w:afterAutospacing="0" w:line="300" w:lineRule="atLeast"/>
              <w:ind w:leftChars="0"/>
              <w:jc w:val="center"/>
              <w:textAlignment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指标得分</w:t>
            </w:r>
          </w:p>
        </w:tc>
        <w:tc>
          <w:tcPr>
            <w:tcW w:w="860"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bidi w:val="0"/>
              <w:adjustRightInd/>
              <w:snapToGrid/>
              <w:spacing w:afterAutospacing="0" w:line="300" w:lineRule="atLeast"/>
              <w:ind w:leftChars="0"/>
              <w:jc w:val="center"/>
              <w:textAlignment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说明</w:t>
            </w:r>
          </w:p>
        </w:tc>
        <w:tc>
          <w:tcPr>
            <w:tcW w:w="119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bidi w:val="0"/>
              <w:adjustRightInd/>
              <w:snapToGrid/>
              <w:spacing w:afterAutospacing="0" w:line="300" w:lineRule="atLeast"/>
              <w:ind w:leftChars="0"/>
              <w:jc w:val="center"/>
              <w:textAlignment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0" w:type="dxa"/>
            <w:vMerge w:val="restart"/>
            <w:tcBorders>
              <w:top w:val="single" w:color="auto" w:sz="4" w:space="0"/>
              <w:left w:val="single" w:color="auto" w:sz="4" w:space="0"/>
              <w:bottom w:val="nil"/>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textAlignment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1</w:t>
            </w:r>
          </w:p>
        </w:tc>
        <w:tc>
          <w:tcPr>
            <w:tcW w:w="1308" w:type="dxa"/>
            <w:vMerge w:val="restart"/>
            <w:tcBorders>
              <w:top w:val="single" w:color="auto"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农产品成本调查及价格监测经费</w:t>
            </w:r>
          </w:p>
        </w:tc>
        <w:tc>
          <w:tcPr>
            <w:tcW w:w="2443" w:type="dxa"/>
            <w:tcBorders>
              <w:top w:val="single" w:color="auto"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textAlignment w:val="auto"/>
              <w:rPr>
                <w:rFonts w:hint="default" w:ascii="Times New Roman" w:hAnsi="Times New Roman" w:eastAsia="方正楷体_GBK" w:cs="Times New Roman"/>
                <w:color w:val="auto"/>
                <w:kern w:val="0"/>
                <w:sz w:val="22"/>
                <w:szCs w:val="22"/>
              </w:rPr>
            </w:pPr>
            <w:r>
              <w:rPr>
                <w:rFonts w:hint="eastAsia" w:ascii="Times New Roman" w:hAnsi="Times New Roman" w:eastAsia="方正楷体_GBK" w:cs="Times New Roman"/>
                <w:color w:val="auto"/>
                <w:kern w:val="0"/>
                <w:sz w:val="22"/>
                <w:szCs w:val="22"/>
                <w:lang w:val="en-US" w:eastAsia="zh-CN"/>
              </w:rPr>
              <w:t>年度</w:t>
            </w:r>
            <w:r>
              <w:rPr>
                <w:rFonts w:hint="default" w:ascii="Times New Roman" w:hAnsi="Times New Roman" w:eastAsia="方正楷体_GBK" w:cs="Times New Roman"/>
                <w:color w:val="auto"/>
                <w:kern w:val="0"/>
                <w:sz w:val="22"/>
                <w:szCs w:val="22"/>
              </w:rPr>
              <w:t>预算执行率</w:t>
            </w:r>
          </w:p>
        </w:tc>
        <w:tc>
          <w:tcPr>
            <w:tcW w:w="1320" w:type="dxa"/>
            <w:tcBorders>
              <w:top w:val="single" w:color="auto"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0" w:leftChars="0" w:right="0" w:rightChars="0"/>
              <w:jc w:val="center"/>
              <w:textAlignment w:val="auto"/>
              <w:rPr>
                <w:rFonts w:hint="default" w:ascii="Times New Roman" w:hAnsi="Times New Roman" w:eastAsia="方正楷体_GBK" w:cs="Times New Roman"/>
                <w:color w:val="auto"/>
                <w:kern w:val="0"/>
                <w:sz w:val="22"/>
                <w:szCs w:val="22"/>
              </w:rPr>
            </w:pPr>
            <w:r>
              <w:rPr>
                <w:rFonts w:hint="default" w:ascii="Times New Roman" w:hAnsi="Times New Roman" w:eastAsia="方正楷体_GBK" w:cs="Times New Roman"/>
                <w:color w:val="auto"/>
                <w:kern w:val="0"/>
                <w:sz w:val="22"/>
                <w:szCs w:val="22"/>
              </w:rPr>
              <w:t>=</w:t>
            </w:r>
          </w:p>
        </w:tc>
        <w:tc>
          <w:tcPr>
            <w:tcW w:w="1092" w:type="dxa"/>
            <w:tcBorders>
              <w:top w:val="single" w:color="auto"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0" w:leftChars="0" w:right="0" w:rightChars="0"/>
              <w:jc w:val="center"/>
              <w:textAlignment w:val="auto"/>
              <w:rPr>
                <w:rFonts w:hint="default" w:ascii="Times New Roman" w:hAnsi="Times New Roman" w:eastAsia="方正楷体_GBK" w:cs="Times New Roman"/>
                <w:color w:val="auto"/>
                <w:kern w:val="0"/>
                <w:sz w:val="22"/>
                <w:szCs w:val="22"/>
              </w:rPr>
            </w:pPr>
            <w:r>
              <w:rPr>
                <w:rFonts w:hint="default" w:ascii="Times New Roman" w:hAnsi="Times New Roman" w:eastAsia="方正楷体_GBK" w:cs="Times New Roman"/>
                <w:color w:val="auto"/>
                <w:kern w:val="0"/>
                <w:sz w:val="22"/>
                <w:szCs w:val="22"/>
              </w:rPr>
              <w:t>100</w:t>
            </w:r>
          </w:p>
        </w:tc>
        <w:tc>
          <w:tcPr>
            <w:tcW w:w="1400" w:type="dxa"/>
            <w:tcBorders>
              <w:top w:val="single" w:color="auto"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0" w:leftChars="0" w:right="0" w:rightChars="0"/>
              <w:jc w:val="center"/>
              <w:textAlignment w:val="auto"/>
              <w:rPr>
                <w:rFonts w:hint="default" w:ascii="Times New Roman" w:hAnsi="Times New Roman" w:eastAsia="方正楷体_GBK" w:cs="Times New Roman"/>
                <w:color w:val="auto"/>
                <w:kern w:val="0"/>
                <w:sz w:val="22"/>
                <w:szCs w:val="22"/>
              </w:rPr>
            </w:pPr>
            <w:r>
              <w:rPr>
                <w:rFonts w:hint="default" w:ascii="Times New Roman" w:hAnsi="Times New Roman" w:eastAsia="方正楷体_GBK" w:cs="Times New Roman"/>
                <w:color w:val="auto"/>
                <w:kern w:val="0"/>
                <w:sz w:val="22"/>
                <w:szCs w:val="22"/>
              </w:rPr>
              <w:t>%</w:t>
            </w:r>
          </w:p>
        </w:tc>
        <w:tc>
          <w:tcPr>
            <w:tcW w:w="1108" w:type="dxa"/>
            <w:tcBorders>
              <w:top w:val="single" w:color="auto"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0" w:leftChars="0" w:right="0" w:rightChars="0"/>
              <w:jc w:val="center"/>
              <w:textAlignment w:val="auto"/>
              <w:rPr>
                <w:rFonts w:hint="default" w:ascii="Times New Roman" w:hAnsi="Times New Roman" w:eastAsia="方正楷体_GBK" w:cs="Times New Roman"/>
                <w:color w:val="auto"/>
                <w:kern w:val="0"/>
                <w:sz w:val="22"/>
                <w:szCs w:val="22"/>
              </w:rPr>
            </w:pPr>
            <w:r>
              <w:rPr>
                <w:rFonts w:hint="default" w:ascii="Times New Roman" w:hAnsi="Times New Roman" w:eastAsia="方正楷体_GBK" w:cs="Times New Roman"/>
                <w:color w:val="auto"/>
                <w:kern w:val="0"/>
                <w:sz w:val="22"/>
                <w:szCs w:val="22"/>
              </w:rPr>
              <w:t>10</w:t>
            </w:r>
          </w:p>
        </w:tc>
        <w:tc>
          <w:tcPr>
            <w:tcW w:w="1516" w:type="dxa"/>
            <w:tcBorders>
              <w:top w:val="single" w:color="auto"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0" w:leftChars="0" w:right="0" w:rightChars="0"/>
              <w:jc w:val="center"/>
              <w:textAlignment w:val="auto"/>
              <w:rPr>
                <w:rFonts w:hint="default" w:ascii="Times New Roman" w:hAnsi="Times New Roman" w:eastAsia="方正楷体_GBK" w:cs="Times New Roman"/>
                <w:color w:val="auto"/>
                <w:kern w:val="0"/>
                <w:sz w:val="22"/>
                <w:szCs w:val="22"/>
              </w:rPr>
            </w:pPr>
            <w:r>
              <w:rPr>
                <w:rFonts w:hint="default" w:ascii="Times New Roman" w:hAnsi="Times New Roman" w:eastAsia="方正楷体_GBK" w:cs="Times New Roman"/>
                <w:color w:val="auto"/>
                <w:kern w:val="0"/>
                <w:sz w:val="22"/>
                <w:szCs w:val="22"/>
              </w:rPr>
              <w:t>100</w:t>
            </w:r>
          </w:p>
        </w:tc>
        <w:tc>
          <w:tcPr>
            <w:tcW w:w="1254" w:type="dxa"/>
            <w:tcBorders>
              <w:top w:val="single" w:color="auto"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0" w:leftChars="0" w:right="0" w:rightChars="0"/>
              <w:jc w:val="center"/>
              <w:textAlignment w:val="auto"/>
              <w:rPr>
                <w:rFonts w:hint="default" w:ascii="Times New Roman" w:hAnsi="Times New Roman" w:eastAsia="方正楷体_GBK" w:cs="Times New Roman"/>
                <w:color w:val="auto"/>
                <w:kern w:val="0"/>
                <w:sz w:val="22"/>
                <w:szCs w:val="22"/>
              </w:rPr>
            </w:pPr>
            <w:r>
              <w:rPr>
                <w:rFonts w:hint="default" w:ascii="Times New Roman" w:hAnsi="Times New Roman" w:eastAsia="方正楷体_GBK" w:cs="Times New Roman"/>
                <w:color w:val="auto"/>
                <w:kern w:val="0"/>
                <w:sz w:val="22"/>
                <w:szCs w:val="22"/>
              </w:rPr>
              <w:t>10</w:t>
            </w:r>
          </w:p>
        </w:tc>
        <w:tc>
          <w:tcPr>
            <w:tcW w:w="860" w:type="dxa"/>
            <w:tcBorders>
              <w:top w:val="single" w:color="auto" w:sz="4" w:space="0"/>
              <w:left w:val="nil"/>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textAlignment w:val="auto"/>
              <w:rPr>
                <w:rFonts w:hint="default" w:ascii="Times New Roman" w:hAnsi="Times New Roman" w:eastAsia="方正楷体_GBK" w:cs="Times New Roman"/>
                <w:color w:val="auto"/>
                <w:kern w:val="0"/>
                <w:sz w:val="22"/>
                <w:szCs w:val="22"/>
              </w:rPr>
            </w:pPr>
          </w:p>
        </w:tc>
        <w:tc>
          <w:tcPr>
            <w:tcW w:w="1196" w:type="dxa"/>
            <w:vMerge w:val="restart"/>
            <w:tcBorders>
              <w:top w:val="nil"/>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default" w:ascii="Times New Roman" w:hAnsi="Times New Roman" w:eastAsia="方正仿宋_GBK" w:cs="Times New Roman"/>
                <w:color w:val="auto"/>
                <w:kern w:val="0"/>
                <w:sz w:val="22"/>
                <w:szCs w:val="22"/>
                <w:lang w:val="en-US" w:eastAsia="zh-CN"/>
              </w:rPr>
            </w:pPr>
            <w:r>
              <w:rPr>
                <w:rFonts w:hint="eastAsia" w:ascii="Times New Roman" w:hAnsi="Times New Roman" w:cs="Times New Roman"/>
                <w:color w:val="auto"/>
                <w:kern w:val="0"/>
                <w:sz w:val="22"/>
                <w:szCs w:val="22"/>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0" w:type="dxa"/>
            <w:vMerge w:val="continue"/>
            <w:tcBorders>
              <w:top w:val="nil"/>
              <w:left w:val="single" w:color="auto" w:sz="4" w:space="0"/>
              <w:bottom w:val="nil"/>
              <w:right w:val="single" w:color="000000" w:sz="4" w:space="0"/>
            </w:tcBorders>
            <w:noWrap/>
            <w:vAlign w:val="center"/>
          </w:tcPr>
          <w:p>
            <w:pPr>
              <w:keepNext w:val="0"/>
              <w:keepLines w:val="0"/>
              <w:pageBreakBefore w:val="0"/>
              <w:widowControl/>
              <w:kinsoku/>
              <w:wordWrap/>
              <w:overflowPunct/>
              <w:topLinePunct w:val="0"/>
              <w:autoSpaceDN/>
              <w:bidi w:val="0"/>
              <w:adjustRightInd/>
              <w:snapToGrid/>
              <w:spacing w:after="0" w:afterAutospacing="0" w:line="300" w:lineRule="exact"/>
              <w:rPr>
                <w:rFonts w:hint="default" w:ascii="Times New Roman" w:hAnsi="Times New Roman" w:cs="Times New Roman"/>
                <w:color w:val="auto"/>
                <w:sz w:val="20"/>
                <w:szCs w:val="20"/>
              </w:rPr>
            </w:pPr>
          </w:p>
        </w:tc>
        <w:tc>
          <w:tcPr>
            <w:tcW w:w="1308" w:type="dxa"/>
            <w:vMerge w:val="continue"/>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N/>
              <w:bidi w:val="0"/>
              <w:adjustRightInd/>
              <w:snapToGrid/>
              <w:spacing w:after="0" w:afterAutospacing="0" w:line="300" w:lineRule="exact"/>
              <w:rPr>
                <w:rFonts w:hint="default" w:ascii="Times New Roman" w:hAnsi="Times New Roman" w:cs="Times New Roman"/>
                <w:color w:val="auto"/>
                <w:sz w:val="20"/>
                <w:szCs w:val="20"/>
              </w:rPr>
            </w:pPr>
          </w:p>
        </w:tc>
        <w:tc>
          <w:tcPr>
            <w:tcW w:w="2443"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textAlignment w:val="auto"/>
              <w:rPr>
                <w:rFonts w:hint="default" w:ascii="Times New Roman" w:hAnsi="Times New Roman" w:eastAsia="方正楷体_GBK" w:cs="Times New Roman"/>
                <w:color w:val="auto"/>
                <w:kern w:val="0"/>
                <w:sz w:val="22"/>
                <w:szCs w:val="22"/>
                <w:lang w:val="en-US" w:eastAsia="zh-CN"/>
              </w:rPr>
            </w:pPr>
            <w:r>
              <w:rPr>
                <w:rFonts w:hint="eastAsia" w:ascii="Times New Roman" w:hAnsi="Times New Roman" w:eastAsia="方正楷体_GBK" w:cs="Times New Roman"/>
                <w:color w:val="auto"/>
                <w:kern w:val="0"/>
                <w:sz w:val="22"/>
                <w:szCs w:val="22"/>
                <w:lang w:val="en-US" w:eastAsia="zh-CN"/>
              </w:rPr>
              <w:t>农产品成本调查品种</w:t>
            </w:r>
          </w:p>
        </w:tc>
        <w:tc>
          <w:tcPr>
            <w:tcW w:w="132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0" w:leftChars="0"/>
              <w:jc w:val="center"/>
              <w:rPr>
                <w:rFonts w:hint="default" w:ascii="Times New Roman" w:hAnsi="Times New Roman" w:eastAsia="方正楷体_GBK" w:cs="Times New Roman"/>
                <w:color w:val="auto"/>
                <w:kern w:val="0"/>
                <w:sz w:val="22"/>
                <w:szCs w:val="22"/>
                <w:lang w:val="en-US" w:eastAsia="zh-CN" w:bidi="ar-SA"/>
              </w:rPr>
            </w:pPr>
            <w:r>
              <w:rPr>
                <w:rFonts w:hint="default" w:ascii="Times New Roman" w:hAnsi="Times New Roman" w:eastAsia="方正楷体_GBK" w:cs="Times New Roman"/>
                <w:color w:val="auto"/>
                <w:kern w:val="0"/>
                <w:sz w:val="18"/>
                <w:szCs w:val="18"/>
              </w:rPr>
              <w:t>≥</w:t>
            </w:r>
          </w:p>
        </w:tc>
        <w:tc>
          <w:tcPr>
            <w:tcW w:w="1092"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textAlignment w:val="auto"/>
              <w:rPr>
                <w:rFonts w:hint="default" w:ascii="Times New Roman" w:hAnsi="Times New Roman" w:eastAsia="方正楷体_GBK" w:cs="Times New Roman"/>
                <w:color w:val="auto"/>
                <w:kern w:val="0"/>
                <w:sz w:val="22"/>
                <w:szCs w:val="22"/>
                <w:lang w:val="en-US" w:eastAsia="zh-CN"/>
              </w:rPr>
            </w:pPr>
            <w:r>
              <w:rPr>
                <w:rFonts w:hint="eastAsia" w:ascii="Times New Roman" w:hAnsi="Times New Roman" w:eastAsia="方正楷体_GBK" w:cs="Times New Roman"/>
                <w:color w:val="auto"/>
                <w:kern w:val="0"/>
                <w:sz w:val="22"/>
                <w:szCs w:val="22"/>
                <w:lang w:val="en-US" w:eastAsia="zh-CN"/>
              </w:rPr>
              <w:t>13</w:t>
            </w:r>
          </w:p>
        </w:tc>
        <w:tc>
          <w:tcPr>
            <w:tcW w:w="140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textAlignment w:val="auto"/>
              <w:rPr>
                <w:rFonts w:hint="eastAsia" w:ascii="Times New Roman" w:hAnsi="Times New Roman" w:eastAsia="方正楷体_GBK" w:cs="Times New Roman"/>
                <w:color w:val="auto"/>
                <w:kern w:val="0"/>
                <w:sz w:val="22"/>
                <w:szCs w:val="22"/>
                <w:lang w:val="en-US" w:eastAsia="zh-CN"/>
              </w:rPr>
            </w:pPr>
            <w:r>
              <w:rPr>
                <w:rFonts w:hint="eastAsia" w:ascii="Times New Roman" w:hAnsi="Times New Roman" w:eastAsia="方正楷体_GBK" w:cs="Times New Roman"/>
                <w:color w:val="auto"/>
                <w:kern w:val="0"/>
                <w:sz w:val="22"/>
                <w:szCs w:val="22"/>
                <w:lang w:val="en-US" w:eastAsia="zh-CN"/>
              </w:rPr>
              <w:t>个</w:t>
            </w:r>
          </w:p>
        </w:tc>
        <w:tc>
          <w:tcPr>
            <w:tcW w:w="1108"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textAlignment w:val="auto"/>
              <w:rPr>
                <w:rFonts w:hint="default" w:ascii="Times New Roman" w:hAnsi="Times New Roman" w:eastAsia="方正楷体_GBK" w:cs="Times New Roman"/>
                <w:color w:val="auto"/>
                <w:kern w:val="0"/>
                <w:sz w:val="22"/>
                <w:szCs w:val="22"/>
                <w:lang w:val="en-US" w:eastAsia="zh-CN"/>
              </w:rPr>
            </w:pPr>
            <w:r>
              <w:rPr>
                <w:rFonts w:hint="eastAsia" w:ascii="Times New Roman" w:hAnsi="Times New Roman" w:eastAsia="方正楷体_GBK" w:cs="Times New Roman"/>
                <w:color w:val="auto"/>
                <w:kern w:val="0"/>
                <w:sz w:val="22"/>
                <w:szCs w:val="22"/>
                <w:lang w:val="en-US" w:eastAsia="zh-CN"/>
              </w:rPr>
              <w:t>20</w:t>
            </w:r>
          </w:p>
        </w:tc>
        <w:tc>
          <w:tcPr>
            <w:tcW w:w="1516"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0" w:leftChars="0"/>
              <w:jc w:val="center"/>
              <w:textAlignment w:val="auto"/>
              <w:rPr>
                <w:rFonts w:hint="default" w:ascii="Times New Roman" w:hAnsi="Times New Roman" w:eastAsia="方正楷体_GBK" w:cs="Times New Roman"/>
                <w:color w:val="auto"/>
                <w:kern w:val="0"/>
                <w:sz w:val="22"/>
                <w:szCs w:val="22"/>
                <w:lang w:val="en-US" w:eastAsia="zh-CN" w:bidi="ar-SA"/>
              </w:rPr>
            </w:pPr>
            <w:r>
              <w:rPr>
                <w:rFonts w:hint="eastAsia" w:ascii="Times New Roman" w:hAnsi="Times New Roman" w:eastAsia="方正楷体_GBK" w:cs="Times New Roman"/>
                <w:color w:val="auto"/>
                <w:kern w:val="0"/>
                <w:sz w:val="22"/>
                <w:szCs w:val="22"/>
                <w:lang w:val="en-US" w:eastAsia="zh-CN"/>
              </w:rPr>
              <w:t>13</w:t>
            </w:r>
          </w:p>
        </w:tc>
        <w:tc>
          <w:tcPr>
            <w:tcW w:w="125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0" w:leftChars="0"/>
              <w:jc w:val="center"/>
              <w:textAlignment w:val="auto"/>
              <w:rPr>
                <w:rFonts w:hint="eastAsia" w:ascii="Times New Roman" w:hAnsi="Times New Roman" w:eastAsia="方正楷体_GBK" w:cs="Times New Roman"/>
                <w:color w:val="auto"/>
                <w:kern w:val="0"/>
                <w:sz w:val="22"/>
                <w:szCs w:val="22"/>
                <w:lang w:val="en-US" w:eastAsia="zh-CN" w:bidi="ar-SA"/>
              </w:rPr>
            </w:pPr>
            <w:r>
              <w:rPr>
                <w:rFonts w:hint="eastAsia" w:ascii="Times New Roman" w:hAnsi="Times New Roman" w:eastAsia="方正楷体_GBK" w:cs="Times New Roman"/>
                <w:color w:val="auto"/>
                <w:kern w:val="0"/>
                <w:sz w:val="22"/>
                <w:szCs w:val="22"/>
                <w:lang w:val="en-US" w:eastAsia="zh-CN"/>
              </w:rPr>
              <w:t>20</w:t>
            </w:r>
          </w:p>
        </w:tc>
        <w:tc>
          <w:tcPr>
            <w:tcW w:w="860" w:type="dxa"/>
            <w:tcBorders>
              <w:top w:val="single" w:color="000000" w:sz="4" w:space="0"/>
              <w:left w:val="nil"/>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textAlignment w:val="auto"/>
              <w:rPr>
                <w:rFonts w:hint="default" w:ascii="Times New Roman" w:hAnsi="Times New Roman" w:eastAsia="方正楷体_GBK" w:cs="Times New Roman"/>
                <w:color w:val="auto"/>
                <w:kern w:val="0"/>
                <w:sz w:val="22"/>
                <w:szCs w:val="22"/>
              </w:rPr>
            </w:pPr>
          </w:p>
        </w:tc>
        <w:tc>
          <w:tcPr>
            <w:tcW w:w="1196" w:type="dxa"/>
            <w:vMerge w:val="continue"/>
            <w:tcBorders>
              <w:top w:val="nil"/>
              <w:left w:val="single" w:color="auto"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N/>
              <w:bidi w:val="0"/>
              <w:adjustRightInd/>
              <w:snapToGrid/>
              <w:spacing w:after="0" w:afterAutospacing="0" w:line="300" w:lineRule="exact"/>
              <w:rPr>
                <w:rFonts w:hint="default" w:ascii="Times New Roman" w:hAnsi="Times New Roman"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0" w:type="dxa"/>
            <w:vMerge w:val="continue"/>
            <w:tcBorders>
              <w:top w:val="nil"/>
              <w:left w:val="single" w:color="auto" w:sz="4" w:space="0"/>
              <w:bottom w:val="nil"/>
              <w:right w:val="single" w:color="000000" w:sz="4" w:space="0"/>
            </w:tcBorders>
            <w:noWrap/>
            <w:vAlign w:val="center"/>
          </w:tcPr>
          <w:p>
            <w:pPr>
              <w:keepNext w:val="0"/>
              <w:keepLines w:val="0"/>
              <w:pageBreakBefore w:val="0"/>
              <w:widowControl/>
              <w:kinsoku/>
              <w:wordWrap/>
              <w:overflowPunct/>
              <w:topLinePunct w:val="0"/>
              <w:autoSpaceDN/>
              <w:bidi w:val="0"/>
              <w:adjustRightInd/>
              <w:snapToGrid/>
              <w:spacing w:after="0" w:afterAutospacing="0" w:line="300" w:lineRule="exact"/>
              <w:rPr>
                <w:rFonts w:hint="default" w:ascii="Times New Roman" w:hAnsi="Times New Roman" w:cs="Times New Roman"/>
                <w:color w:val="auto"/>
                <w:sz w:val="20"/>
                <w:szCs w:val="20"/>
              </w:rPr>
            </w:pPr>
          </w:p>
        </w:tc>
        <w:tc>
          <w:tcPr>
            <w:tcW w:w="1308" w:type="dxa"/>
            <w:vMerge w:val="continue"/>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N/>
              <w:bidi w:val="0"/>
              <w:adjustRightInd/>
              <w:snapToGrid/>
              <w:spacing w:after="0" w:afterAutospacing="0" w:line="300" w:lineRule="exact"/>
              <w:rPr>
                <w:rFonts w:hint="default" w:ascii="Times New Roman" w:hAnsi="Times New Roman" w:cs="Times New Roman"/>
                <w:color w:val="auto"/>
                <w:sz w:val="20"/>
                <w:szCs w:val="20"/>
              </w:rPr>
            </w:pPr>
          </w:p>
        </w:tc>
        <w:tc>
          <w:tcPr>
            <w:tcW w:w="2443"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textAlignment w:val="auto"/>
              <w:rPr>
                <w:rFonts w:hint="default" w:ascii="Times New Roman" w:hAnsi="Times New Roman" w:eastAsia="方正楷体_GBK" w:cs="Times New Roman"/>
                <w:color w:val="auto"/>
                <w:kern w:val="0"/>
                <w:sz w:val="22"/>
                <w:szCs w:val="22"/>
                <w:lang w:val="en-US" w:eastAsia="zh-CN"/>
              </w:rPr>
            </w:pPr>
            <w:r>
              <w:rPr>
                <w:rFonts w:hint="eastAsia" w:ascii="Times New Roman" w:hAnsi="Times New Roman" w:eastAsia="方正楷体_GBK" w:cs="Times New Roman"/>
                <w:color w:val="auto"/>
                <w:kern w:val="0"/>
                <w:sz w:val="22"/>
                <w:szCs w:val="22"/>
                <w:lang w:val="en-US" w:eastAsia="zh-CN"/>
              </w:rPr>
              <w:t>农产品成本调查总户</w:t>
            </w:r>
          </w:p>
        </w:tc>
        <w:tc>
          <w:tcPr>
            <w:tcW w:w="132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0" w:leftChars="0"/>
              <w:jc w:val="center"/>
              <w:rPr>
                <w:rFonts w:hint="default" w:ascii="Times New Roman" w:hAnsi="Times New Roman" w:eastAsia="方正楷体_GBK" w:cs="Times New Roman"/>
                <w:color w:val="auto"/>
                <w:kern w:val="0"/>
                <w:sz w:val="22"/>
                <w:szCs w:val="22"/>
                <w:lang w:val="en-US" w:eastAsia="zh-CN" w:bidi="ar-SA"/>
              </w:rPr>
            </w:pPr>
            <w:r>
              <w:rPr>
                <w:rFonts w:hint="default" w:ascii="Times New Roman" w:hAnsi="Times New Roman" w:eastAsia="方正楷体_GBK" w:cs="Times New Roman"/>
                <w:color w:val="auto"/>
                <w:kern w:val="0"/>
                <w:sz w:val="18"/>
                <w:szCs w:val="18"/>
              </w:rPr>
              <w:t>≥</w:t>
            </w:r>
          </w:p>
        </w:tc>
        <w:tc>
          <w:tcPr>
            <w:tcW w:w="1092"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textAlignment w:val="auto"/>
              <w:rPr>
                <w:rFonts w:hint="default" w:ascii="Times New Roman" w:hAnsi="Times New Roman" w:eastAsia="方正楷体_GBK" w:cs="Times New Roman"/>
                <w:color w:val="auto"/>
                <w:kern w:val="0"/>
                <w:sz w:val="22"/>
                <w:szCs w:val="22"/>
                <w:lang w:val="en-US" w:eastAsia="zh-CN"/>
              </w:rPr>
            </w:pPr>
            <w:r>
              <w:rPr>
                <w:rFonts w:hint="eastAsia" w:ascii="Times New Roman" w:hAnsi="Times New Roman" w:eastAsia="方正楷体_GBK" w:cs="Times New Roman"/>
                <w:color w:val="auto"/>
                <w:kern w:val="0"/>
                <w:sz w:val="22"/>
                <w:szCs w:val="22"/>
                <w:lang w:val="en-US" w:eastAsia="zh-CN"/>
              </w:rPr>
              <w:t>190</w:t>
            </w:r>
          </w:p>
        </w:tc>
        <w:tc>
          <w:tcPr>
            <w:tcW w:w="140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textAlignment w:val="auto"/>
              <w:rPr>
                <w:rFonts w:hint="eastAsia" w:ascii="Times New Roman" w:hAnsi="Times New Roman" w:eastAsia="方正楷体_GBK" w:cs="Times New Roman"/>
                <w:color w:val="auto"/>
                <w:kern w:val="0"/>
                <w:sz w:val="22"/>
                <w:szCs w:val="22"/>
                <w:lang w:val="en-US" w:eastAsia="zh-CN"/>
              </w:rPr>
            </w:pPr>
            <w:r>
              <w:rPr>
                <w:rFonts w:hint="eastAsia" w:ascii="Times New Roman" w:hAnsi="Times New Roman" w:eastAsia="方正楷体_GBK" w:cs="Times New Roman"/>
                <w:color w:val="auto"/>
                <w:kern w:val="0"/>
                <w:sz w:val="22"/>
                <w:szCs w:val="22"/>
                <w:lang w:val="en-US" w:eastAsia="zh-CN"/>
              </w:rPr>
              <w:t>户</w:t>
            </w:r>
          </w:p>
        </w:tc>
        <w:tc>
          <w:tcPr>
            <w:tcW w:w="1108"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textAlignment w:val="auto"/>
              <w:rPr>
                <w:rFonts w:hint="default" w:ascii="Times New Roman" w:hAnsi="Times New Roman" w:eastAsia="方正楷体_GBK" w:cs="Times New Roman"/>
                <w:color w:val="auto"/>
                <w:kern w:val="0"/>
                <w:sz w:val="22"/>
                <w:szCs w:val="22"/>
                <w:lang w:val="en-US" w:eastAsia="zh-CN"/>
              </w:rPr>
            </w:pPr>
            <w:r>
              <w:rPr>
                <w:rFonts w:hint="eastAsia" w:ascii="Times New Roman" w:hAnsi="Times New Roman" w:eastAsia="方正楷体_GBK" w:cs="Times New Roman"/>
                <w:color w:val="auto"/>
                <w:kern w:val="0"/>
                <w:sz w:val="22"/>
                <w:szCs w:val="22"/>
                <w:lang w:val="en-US" w:eastAsia="zh-CN"/>
              </w:rPr>
              <w:t>20</w:t>
            </w:r>
          </w:p>
        </w:tc>
        <w:tc>
          <w:tcPr>
            <w:tcW w:w="1516"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0" w:leftChars="0"/>
              <w:jc w:val="center"/>
              <w:textAlignment w:val="auto"/>
              <w:rPr>
                <w:rFonts w:hint="default" w:ascii="Times New Roman" w:hAnsi="Times New Roman" w:eastAsia="方正楷体_GBK" w:cs="Times New Roman"/>
                <w:color w:val="auto"/>
                <w:kern w:val="0"/>
                <w:sz w:val="22"/>
                <w:szCs w:val="22"/>
                <w:lang w:val="en-US" w:eastAsia="zh-CN" w:bidi="ar-SA"/>
              </w:rPr>
            </w:pPr>
            <w:r>
              <w:rPr>
                <w:rFonts w:hint="eastAsia" w:ascii="Times New Roman" w:hAnsi="Times New Roman" w:eastAsia="方正楷体_GBK" w:cs="Times New Roman"/>
                <w:color w:val="auto"/>
                <w:kern w:val="0"/>
                <w:sz w:val="22"/>
                <w:szCs w:val="22"/>
                <w:lang w:val="en-US" w:eastAsia="zh-CN"/>
              </w:rPr>
              <w:t>191</w:t>
            </w:r>
          </w:p>
        </w:tc>
        <w:tc>
          <w:tcPr>
            <w:tcW w:w="125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0" w:leftChars="0"/>
              <w:jc w:val="center"/>
              <w:textAlignment w:val="auto"/>
              <w:rPr>
                <w:rFonts w:hint="eastAsia" w:ascii="Times New Roman" w:hAnsi="Times New Roman" w:eastAsia="方正楷体_GBK" w:cs="Times New Roman"/>
                <w:color w:val="auto"/>
                <w:kern w:val="0"/>
                <w:sz w:val="22"/>
                <w:szCs w:val="22"/>
                <w:lang w:val="en-US" w:eastAsia="zh-CN" w:bidi="ar-SA"/>
              </w:rPr>
            </w:pPr>
            <w:r>
              <w:rPr>
                <w:rFonts w:hint="eastAsia" w:ascii="Times New Roman" w:hAnsi="Times New Roman" w:eastAsia="方正楷体_GBK" w:cs="Times New Roman"/>
                <w:color w:val="auto"/>
                <w:kern w:val="0"/>
                <w:sz w:val="22"/>
                <w:szCs w:val="22"/>
                <w:lang w:val="en-US" w:eastAsia="zh-CN"/>
              </w:rPr>
              <w:t>20</w:t>
            </w:r>
          </w:p>
        </w:tc>
        <w:tc>
          <w:tcPr>
            <w:tcW w:w="860" w:type="dxa"/>
            <w:tcBorders>
              <w:top w:val="single" w:color="000000" w:sz="4" w:space="0"/>
              <w:left w:val="nil"/>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textAlignment w:val="auto"/>
              <w:rPr>
                <w:rFonts w:hint="default" w:ascii="Times New Roman" w:hAnsi="Times New Roman" w:eastAsia="方正楷体_GBK" w:cs="Times New Roman"/>
                <w:color w:val="auto"/>
                <w:kern w:val="0"/>
                <w:sz w:val="22"/>
                <w:szCs w:val="22"/>
              </w:rPr>
            </w:pPr>
          </w:p>
        </w:tc>
        <w:tc>
          <w:tcPr>
            <w:tcW w:w="1196" w:type="dxa"/>
            <w:vMerge w:val="continue"/>
            <w:tcBorders>
              <w:top w:val="nil"/>
              <w:left w:val="single" w:color="auto"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N/>
              <w:bidi w:val="0"/>
              <w:adjustRightInd/>
              <w:snapToGrid/>
              <w:spacing w:after="0" w:afterAutospacing="0" w:line="300" w:lineRule="exact"/>
              <w:rPr>
                <w:rFonts w:hint="default" w:ascii="Times New Roman" w:hAnsi="Times New Roman"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0" w:type="dxa"/>
            <w:vMerge w:val="continue"/>
            <w:tcBorders>
              <w:top w:val="nil"/>
              <w:left w:val="single" w:color="auto" w:sz="4" w:space="0"/>
              <w:bottom w:val="nil"/>
              <w:right w:val="single" w:color="000000" w:sz="4" w:space="0"/>
            </w:tcBorders>
            <w:noWrap/>
            <w:vAlign w:val="center"/>
          </w:tcPr>
          <w:p>
            <w:pPr>
              <w:keepNext w:val="0"/>
              <w:keepLines w:val="0"/>
              <w:pageBreakBefore w:val="0"/>
              <w:widowControl/>
              <w:kinsoku/>
              <w:wordWrap/>
              <w:overflowPunct/>
              <w:topLinePunct w:val="0"/>
              <w:autoSpaceDN/>
              <w:bidi w:val="0"/>
              <w:adjustRightInd/>
              <w:snapToGrid/>
              <w:spacing w:after="0" w:afterAutospacing="0" w:line="300" w:lineRule="exact"/>
              <w:rPr>
                <w:rFonts w:hint="default" w:ascii="Times New Roman" w:hAnsi="Times New Roman" w:cs="Times New Roman"/>
                <w:color w:val="auto"/>
                <w:sz w:val="20"/>
                <w:szCs w:val="20"/>
              </w:rPr>
            </w:pPr>
          </w:p>
        </w:tc>
        <w:tc>
          <w:tcPr>
            <w:tcW w:w="1308" w:type="dxa"/>
            <w:vMerge w:val="continue"/>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N/>
              <w:bidi w:val="0"/>
              <w:adjustRightInd/>
              <w:snapToGrid/>
              <w:spacing w:after="0" w:afterAutospacing="0" w:line="300" w:lineRule="exact"/>
              <w:rPr>
                <w:rFonts w:hint="default" w:ascii="Times New Roman" w:hAnsi="Times New Roman" w:cs="Times New Roman"/>
                <w:color w:val="auto"/>
                <w:sz w:val="20"/>
                <w:szCs w:val="20"/>
              </w:rPr>
            </w:pPr>
          </w:p>
        </w:tc>
        <w:tc>
          <w:tcPr>
            <w:tcW w:w="2443"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textAlignment w:val="auto"/>
              <w:rPr>
                <w:rFonts w:hint="default" w:ascii="Times New Roman" w:hAnsi="Times New Roman" w:eastAsia="方正楷体_GBK" w:cs="Times New Roman"/>
                <w:color w:val="auto"/>
                <w:kern w:val="0"/>
                <w:sz w:val="22"/>
                <w:szCs w:val="22"/>
                <w:lang w:val="en-US" w:eastAsia="zh-CN"/>
              </w:rPr>
            </w:pPr>
            <w:r>
              <w:rPr>
                <w:rFonts w:hint="eastAsia" w:ascii="Times New Roman" w:hAnsi="Times New Roman" w:eastAsia="方正楷体_GBK" w:cs="Times New Roman"/>
                <w:color w:val="auto"/>
                <w:kern w:val="0"/>
                <w:sz w:val="22"/>
                <w:szCs w:val="22"/>
                <w:lang w:val="en-US" w:eastAsia="zh-CN"/>
              </w:rPr>
              <w:t>调查数据按时报送率</w:t>
            </w:r>
          </w:p>
        </w:tc>
        <w:tc>
          <w:tcPr>
            <w:tcW w:w="132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0" w:leftChars="0"/>
              <w:jc w:val="center"/>
              <w:rPr>
                <w:rFonts w:hint="eastAsia" w:ascii="Times New Roman" w:hAnsi="Times New Roman" w:eastAsia="方正楷体_GBK" w:cs="Times New Roman"/>
                <w:color w:val="auto"/>
                <w:kern w:val="0"/>
                <w:sz w:val="22"/>
                <w:szCs w:val="22"/>
                <w:lang w:val="en-US" w:eastAsia="zh-CN" w:bidi="ar-SA"/>
              </w:rPr>
            </w:pPr>
            <w:r>
              <w:rPr>
                <w:rFonts w:hint="eastAsia" w:ascii="Times New Roman" w:hAnsi="Times New Roman" w:eastAsia="方正楷体_GBK" w:cs="Times New Roman"/>
                <w:color w:val="auto"/>
                <w:kern w:val="0"/>
                <w:sz w:val="18"/>
                <w:szCs w:val="18"/>
                <w:lang w:val="en-US" w:eastAsia="zh-CN"/>
              </w:rPr>
              <w:t>=</w:t>
            </w:r>
          </w:p>
        </w:tc>
        <w:tc>
          <w:tcPr>
            <w:tcW w:w="1092"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textAlignment w:val="auto"/>
              <w:rPr>
                <w:rFonts w:hint="default" w:ascii="Times New Roman" w:hAnsi="Times New Roman" w:eastAsia="方正楷体_GBK" w:cs="Times New Roman"/>
                <w:color w:val="auto"/>
                <w:kern w:val="0"/>
                <w:sz w:val="22"/>
                <w:szCs w:val="22"/>
                <w:lang w:val="en-US" w:eastAsia="zh-CN"/>
              </w:rPr>
            </w:pPr>
            <w:r>
              <w:rPr>
                <w:rFonts w:hint="eastAsia" w:ascii="Times New Roman" w:hAnsi="Times New Roman" w:eastAsia="方正楷体_GBK" w:cs="Times New Roman"/>
                <w:color w:val="auto"/>
                <w:kern w:val="0"/>
                <w:sz w:val="22"/>
                <w:szCs w:val="22"/>
                <w:lang w:val="en-US" w:eastAsia="zh-CN"/>
              </w:rPr>
              <w:t>100</w:t>
            </w:r>
          </w:p>
        </w:tc>
        <w:tc>
          <w:tcPr>
            <w:tcW w:w="140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textAlignment w:val="auto"/>
              <w:rPr>
                <w:rFonts w:hint="default" w:ascii="Times New Roman" w:hAnsi="Times New Roman" w:eastAsia="方正楷体_GBK" w:cs="Times New Roman"/>
                <w:color w:val="auto"/>
                <w:kern w:val="0"/>
                <w:sz w:val="22"/>
                <w:szCs w:val="22"/>
              </w:rPr>
            </w:pPr>
            <w:r>
              <w:rPr>
                <w:rFonts w:hint="default" w:ascii="Times New Roman" w:hAnsi="Times New Roman" w:eastAsia="方正楷体_GBK" w:cs="Times New Roman"/>
                <w:color w:val="auto"/>
                <w:kern w:val="0"/>
                <w:sz w:val="22"/>
                <w:szCs w:val="22"/>
              </w:rPr>
              <w:t>%</w:t>
            </w:r>
          </w:p>
        </w:tc>
        <w:tc>
          <w:tcPr>
            <w:tcW w:w="1108"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textAlignment w:val="auto"/>
              <w:rPr>
                <w:rFonts w:hint="default" w:ascii="Times New Roman" w:hAnsi="Times New Roman" w:eastAsia="方正楷体_GBK" w:cs="Times New Roman"/>
                <w:color w:val="auto"/>
                <w:kern w:val="0"/>
                <w:sz w:val="22"/>
                <w:szCs w:val="22"/>
                <w:lang w:val="en-US" w:eastAsia="zh-CN"/>
              </w:rPr>
            </w:pPr>
            <w:r>
              <w:rPr>
                <w:rFonts w:hint="eastAsia" w:ascii="Times New Roman" w:hAnsi="Times New Roman" w:eastAsia="方正楷体_GBK" w:cs="Times New Roman"/>
                <w:color w:val="auto"/>
                <w:kern w:val="0"/>
                <w:sz w:val="22"/>
                <w:szCs w:val="22"/>
                <w:lang w:val="en-US" w:eastAsia="zh-CN"/>
              </w:rPr>
              <w:t>15</w:t>
            </w:r>
          </w:p>
        </w:tc>
        <w:tc>
          <w:tcPr>
            <w:tcW w:w="1516"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0" w:leftChars="0"/>
              <w:jc w:val="center"/>
              <w:textAlignment w:val="auto"/>
              <w:rPr>
                <w:rFonts w:hint="default" w:ascii="Times New Roman" w:hAnsi="Times New Roman" w:eastAsia="方正楷体_GBK" w:cs="Times New Roman"/>
                <w:color w:val="auto"/>
                <w:kern w:val="0"/>
                <w:sz w:val="22"/>
                <w:szCs w:val="22"/>
                <w:lang w:val="en-US" w:eastAsia="zh-CN" w:bidi="ar-SA"/>
              </w:rPr>
            </w:pPr>
            <w:r>
              <w:rPr>
                <w:rFonts w:hint="eastAsia" w:ascii="Times New Roman" w:hAnsi="Times New Roman" w:eastAsia="方正楷体_GBK" w:cs="Times New Roman"/>
                <w:color w:val="auto"/>
                <w:kern w:val="0"/>
                <w:sz w:val="22"/>
                <w:szCs w:val="22"/>
                <w:lang w:val="en-US" w:eastAsia="zh-CN"/>
              </w:rPr>
              <w:t>100</w:t>
            </w:r>
          </w:p>
        </w:tc>
        <w:tc>
          <w:tcPr>
            <w:tcW w:w="125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0" w:leftChars="0"/>
              <w:jc w:val="center"/>
              <w:textAlignment w:val="auto"/>
              <w:rPr>
                <w:rFonts w:hint="default" w:ascii="Times New Roman" w:hAnsi="Times New Roman" w:eastAsia="方正楷体_GBK" w:cs="Times New Roman"/>
                <w:color w:val="auto"/>
                <w:kern w:val="0"/>
                <w:sz w:val="22"/>
                <w:szCs w:val="22"/>
                <w:lang w:val="en-US" w:eastAsia="zh-CN" w:bidi="ar-SA"/>
              </w:rPr>
            </w:pPr>
            <w:r>
              <w:rPr>
                <w:rFonts w:hint="eastAsia" w:ascii="Times New Roman" w:hAnsi="Times New Roman" w:eastAsia="方正楷体_GBK" w:cs="Times New Roman"/>
                <w:color w:val="auto"/>
                <w:kern w:val="0"/>
                <w:sz w:val="22"/>
                <w:szCs w:val="22"/>
                <w:lang w:val="en-US" w:eastAsia="zh-CN"/>
              </w:rPr>
              <w:t>15</w:t>
            </w:r>
          </w:p>
        </w:tc>
        <w:tc>
          <w:tcPr>
            <w:tcW w:w="860" w:type="dxa"/>
            <w:tcBorders>
              <w:top w:val="single" w:color="000000" w:sz="4" w:space="0"/>
              <w:left w:val="nil"/>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textAlignment w:val="auto"/>
              <w:rPr>
                <w:rFonts w:hint="default" w:ascii="Times New Roman" w:hAnsi="Times New Roman" w:eastAsia="方正楷体_GBK" w:cs="Times New Roman"/>
                <w:color w:val="auto"/>
                <w:kern w:val="0"/>
                <w:sz w:val="22"/>
                <w:szCs w:val="22"/>
              </w:rPr>
            </w:pPr>
          </w:p>
        </w:tc>
        <w:tc>
          <w:tcPr>
            <w:tcW w:w="1196" w:type="dxa"/>
            <w:vMerge w:val="continue"/>
            <w:tcBorders>
              <w:top w:val="nil"/>
              <w:left w:val="single" w:color="auto"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N/>
              <w:bidi w:val="0"/>
              <w:adjustRightInd/>
              <w:snapToGrid/>
              <w:spacing w:after="0" w:afterAutospacing="0" w:line="300" w:lineRule="exact"/>
              <w:rPr>
                <w:rFonts w:hint="default" w:ascii="Times New Roman" w:hAnsi="Times New Roman"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0" w:type="dxa"/>
            <w:vMerge w:val="continue"/>
            <w:tcBorders>
              <w:top w:val="nil"/>
              <w:left w:val="single" w:color="auto" w:sz="4" w:space="0"/>
              <w:bottom w:val="nil"/>
              <w:right w:val="single" w:color="000000" w:sz="4" w:space="0"/>
            </w:tcBorders>
            <w:noWrap/>
            <w:vAlign w:val="center"/>
          </w:tcPr>
          <w:p>
            <w:pPr>
              <w:keepNext w:val="0"/>
              <w:keepLines w:val="0"/>
              <w:pageBreakBefore w:val="0"/>
              <w:widowControl/>
              <w:kinsoku/>
              <w:wordWrap/>
              <w:overflowPunct/>
              <w:topLinePunct w:val="0"/>
              <w:autoSpaceDN/>
              <w:bidi w:val="0"/>
              <w:adjustRightInd/>
              <w:snapToGrid/>
              <w:spacing w:after="0" w:afterAutospacing="0" w:line="300" w:lineRule="exact"/>
              <w:rPr>
                <w:rFonts w:hint="default" w:ascii="Times New Roman" w:hAnsi="Times New Roman" w:cs="Times New Roman"/>
                <w:color w:val="auto"/>
                <w:sz w:val="20"/>
                <w:szCs w:val="20"/>
              </w:rPr>
            </w:pPr>
          </w:p>
        </w:tc>
        <w:tc>
          <w:tcPr>
            <w:tcW w:w="1308" w:type="dxa"/>
            <w:vMerge w:val="continue"/>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N/>
              <w:bidi w:val="0"/>
              <w:adjustRightInd/>
              <w:snapToGrid/>
              <w:spacing w:after="0" w:afterAutospacing="0" w:line="300" w:lineRule="exact"/>
              <w:rPr>
                <w:rFonts w:hint="default" w:ascii="Times New Roman" w:hAnsi="Times New Roman" w:cs="Times New Roman"/>
                <w:color w:val="auto"/>
                <w:sz w:val="20"/>
                <w:szCs w:val="20"/>
              </w:rPr>
            </w:pPr>
          </w:p>
        </w:tc>
        <w:tc>
          <w:tcPr>
            <w:tcW w:w="2443"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textAlignment w:val="auto"/>
              <w:rPr>
                <w:rFonts w:hint="eastAsia" w:ascii="Times New Roman" w:hAnsi="Times New Roman" w:eastAsia="方正楷体_GBK" w:cs="Times New Roman"/>
                <w:color w:val="auto"/>
                <w:kern w:val="0"/>
                <w:sz w:val="22"/>
                <w:szCs w:val="22"/>
                <w:lang w:val="en-US" w:eastAsia="zh-CN"/>
              </w:rPr>
            </w:pPr>
            <w:r>
              <w:rPr>
                <w:rFonts w:hint="eastAsia" w:ascii="Times New Roman" w:hAnsi="Times New Roman" w:eastAsia="方正楷体_GBK" w:cs="Times New Roman"/>
                <w:color w:val="auto"/>
                <w:kern w:val="0"/>
                <w:sz w:val="22"/>
                <w:szCs w:val="22"/>
                <w:lang w:val="en-US" w:eastAsia="zh-CN"/>
              </w:rPr>
              <w:t>补贴准确、足额发放率</w:t>
            </w:r>
          </w:p>
        </w:tc>
        <w:tc>
          <w:tcPr>
            <w:tcW w:w="132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textAlignment w:val="auto"/>
              <w:rPr>
                <w:rFonts w:hint="eastAsia" w:ascii="Times New Roman" w:hAnsi="Times New Roman" w:eastAsia="方正楷体_GBK" w:cs="Times New Roman"/>
                <w:color w:val="auto"/>
                <w:kern w:val="0"/>
                <w:sz w:val="22"/>
                <w:szCs w:val="22"/>
                <w:lang w:val="en-US" w:eastAsia="zh-CN"/>
              </w:rPr>
            </w:pPr>
            <w:r>
              <w:rPr>
                <w:rFonts w:hint="eastAsia" w:ascii="Times New Roman" w:hAnsi="Times New Roman" w:eastAsia="方正楷体_GBK" w:cs="Times New Roman"/>
                <w:color w:val="auto"/>
                <w:kern w:val="0"/>
                <w:sz w:val="22"/>
                <w:szCs w:val="22"/>
                <w:lang w:val="en-US" w:eastAsia="zh-CN"/>
              </w:rPr>
              <w:t>=</w:t>
            </w:r>
          </w:p>
        </w:tc>
        <w:tc>
          <w:tcPr>
            <w:tcW w:w="1092"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textAlignment w:val="auto"/>
              <w:rPr>
                <w:rFonts w:hint="default" w:ascii="Times New Roman" w:hAnsi="Times New Roman" w:eastAsia="方正楷体_GBK" w:cs="Times New Roman"/>
                <w:color w:val="auto"/>
                <w:kern w:val="0"/>
                <w:sz w:val="22"/>
                <w:szCs w:val="22"/>
                <w:lang w:val="en-US" w:eastAsia="zh-CN"/>
              </w:rPr>
            </w:pPr>
            <w:r>
              <w:rPr>
                <w:rFonts w:hint="eastAsia" w:ascii="Times New Roman" w:hAnsi="Times New Roman" w:eastAsia="方正楷体_GBK" w:cs="Times New Roman"/>
                <w:color w:val="auto"/>
                <w:kern w:val="0"/>
                <w:sz w:val="22"/>
                <w:szCs w:val="22"/>
                <w:lang w:val="en-US" w:eastAsia="zh-CN"/>
              </w:rPr>
              <w:t>100</w:t>
            </w:r>
          </w:p>
        </w:tc>
        <w:tc>
          <w:tcPr>
            <w:tcW w:w="140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textAlignment w:val="auto"/>
              <w:rPr>
                <w:rFonts w:hint="default" w:ascii="Times New Roman" w:hAnsi="Times New Roman" w:eastAsia="方正楷体_GBK" w:cs="Times New Roman"/>
                <w:color w:val="auto"/>
                <w:kern w:val="0"/>
                <w:sz w:val="22"/>
                <w:szCs w:val="22"/>
              </w:rPr>
            </w:pPr>
            <w:r>
              <w:rPr>
                <w:rFonts w:hint="default" w:ascii="Times New Roman" w:hAnsi="Times New Roman" w:eastAsia="方正楷体_GBK" w:cs="Times New Roman"/>
                <w:color w:val="auto"/>
                <w:kern w:val="0"/>
                <w:sz w:val="22"/>
                <w:szCs w:val="22"/>
              </w:rPr>
              <w:t>%</w:t>
            </w:r>
          </w:p>
        </w:tc>
        <w:tc>
          <w:tcPr>
            <w:tcW w:w="1108"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textAlignment w:val="auto"/>
              <w:rPr>
                <w:rFonts w:hint="default" w:ascii="Times New Roman" w:hAnsi="Times New Roman" w:eastAsia="方正楷体_GBK" w:cs="Times New Roman"/>
                <w:color w:val="auto"/>
                <w:kern w:val="0"/>
                <w:sz w:val="22"/>
                <w:szCs w:val="22"/>
                <w:lang w:val="en-US" w:eastAsia="zh-CN"/>
              </w:rPr>
            </w:pPr>
            <w:r>
              <w:rPr>
                <w:rFonts w:hint="eastAsia" w:ascii="Times New Roman" w:hAnsi="Times New Roman" w:eastAsia="方正楷体_GBK" w:cs="Times New Roman"/>
                <w:color w:val="auto"/>
                <w:kern w:val="0"/>
                <w:sz w:val="22"/>
                <w:szCs w:val="22"/>
                <w:lang w:val="en-US" w:eastAsia="zh-CN"/>
              </w:rPr>
              <w:t>15</w:t>
            </w:r>
          </w:p>
        </w:tc>
        <w:tc>
          <w:tcPr>
            <w:tcW w:w="1516"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0" w:leftChars="0"/>
              <w:jc w:val="center"/>
              <w:textAlignment w:val="auto"/>
              <w:rPr>
                <w:rFonts w:hint="default" w:ascii="Times New Roman" w:hAnsi="Times New Roman" w:eastAsia="方正楷体_GBK" w:cs="Times New Roman"/>
                <w:color w:val="auto"/>
                <w:kern w:val="0"/>
                <w:sz w:val="22"/>
                <w:szCs w:val="22"/>
                <w:lang w:val="en-US" w:eastAsia="zh-CN" w:bidi="ar-SA"/>
              </w:rPr>
            </w:pPr>
            <w:r>
              <w:rPr>
                <w:rFonts w:hint="eastAsia" w:ascii="Times New Roman" w:hAnsi="Times New Roman" w:eastAsia="方正楷体_GBK" w:cs="Times New Roman"/>
                <w:color w:val="auto"/>
                <w:kern w:val="0"/>
                <w:sz w:val="22"/>
                <w:szCs w:val="22"/>
                <w:lang w:val="en-US" w:eastAsia="zh-CN"/>
              </w:rPr>
              <w:t>100</w:t>
            </w:r>
          </w:p>
        </w:tc>
        <w:tc>
          <w:tcPr>
            <w:tcW w:w="125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0" w:leftChars="0"/>
              <w:jc w:val="center"/>
              <w:textAlignment w:val="auto"/>
              <w:rPr>
                <w:rFonts w:hint="eastAsia" w:ascii="Times New Roman" w:hAnsi="Times New Roman" w:eastAsia="方正楷体_GBK" w:cs="Times New Roman"/>
                <w:color w:val="auto"/>
                <w:kern w:val="0"/>
                <w:sz w:val="22"/>
                <w:szCs w:val="22"/>
                <w:lang w:val="en-US" w:eastAsia="zh-CN" w:bidi="ar-SA"/>
              </w:rPr>
            </w:pPr>
            <w:r>
              <w:rPr>
                <w:rFonts w:hint="eastAsia" w:ascii="Times New Roman" w:hAnsi="Times New Roman" w:eastAsia="方正楷体_GBK" w:cs="Times New Roman"/>
                <w:color w:val="auto"/>
                <w:kern w:val="0"/>
                <w:sz w:val="22"/>
                <w:szCs w:val="22"/>
                <w:lang w:val="en-US" w:eastAsia="zh-CN"/>
              </w:rPr>
              <w:t>15</w:t>
            </w:r>
          </w:p>
        </w:tc>
        <w:tc>
          <w:tcPr>
            <w:tcW w:w="860" w:type="dxa"/>
            <w:tcBorders>
              <w:top w:val="single" w:color="000000" w:sz="4" w:space="0"/>
              <w:left w:val="nil"/>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textAlignment w:val="auto"/>
              <w:rPr>
                <w:rFonts w:hint="default" w:ascii="Times New Roman" w:hAnsi="Times New Roman" w:eastAsia="方正楷体_GBK" w:cs="Times New Roman"/>
                <w:color w:val="auto"/>
                <w:kern w:val="0"/>
                <w:sz w:val="22"/>
                <w:szCs w:val="22"/>
              </w:rPr>
            </w:pPr>
          </w:p>
        </w:tc>
        <w:tc>
          <w:tcPr>
            <w:tcW w:w="1196" w:type="dxa"/>
            <w:vMerge w:val="continue"/>
            <w:tcBorders>
              <w:top w:val="nil"/>
              <w:left w:val="single" w:color="auto"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N/>
              <w:bidi w:val="0"/>
              <w:adjustRightInd/>
              <w:snapToGrid/>
              <w:spacing w:after="0" w:afterAutospacing="0" w:line="300" w:lineRule="exact"/>
              <w:rPr>
                <w:rFonts w:hint="default" w:ascii="Times New Roman" w:hAnsi="Times New Roman"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0" w:type="dxa"/>
            <w:vMerge w:val="continue"/>
            <w:tcBorders>
              <w:top w:val="nil"/>
              <w:left w:val="single" w:color="auto" w:sz="4" w:space="0"/>
              <w:bottom w:val="nil"/>
              <w:right w:val="single" w:color="000000" w:sz="4" w:space="0"/>
            </w:tcBorders>
            <w:noWrap/>
            <w:vAlign w:val="center"/>
          </w:tcPr>
          <w:p>
            <w:pPr>
              <w:keepNext w:val="0"/>
              <w:keepLines w:val="0"/>
              <w:pageBreakBefore w:val="0"/>
              <w:widowControl/>
              <w:kinsoku/>
              <w:wordWrap/>
              <w:overflowPunct/>
              <w:topLinePunct w:val="0"/>
              <w:autoSpaceDN/>
              <w:bidi w:val="0"/>
              <w:adjustRightInd/>
              <w:snapToGrid/>
              <w:spacing w:after="0" w:afterAutospacing="0" w:line="300" w:lineRule="exact"/>
              <w:rPr>
                <w:rFonts w:hint="default" w:ascii="Times New Roman" w:hAnsi="Times New Roman" w:cs="Times New Roman"/>
                <w:color w:val="auto"/>
                <w:sz w:val="20"/>
                <w:szCs w:val="20"/>
              </w:rPr>
            </w:pPr>
          </w:p>
        </w:tc>
        <w:tc>
          <w:tcPr>
            <w:tcW w:w="1308" w:type="dxa"/>
            <w:vMerge w:val="continue"/>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N/>
              <w:bidi w:val="0"/>
              <w:adjustRightInd/>
              <w:snapToGrid/>
              <w:spacing w:after="0" w:afterAutospacing="0" w:line="300" w:lineRule="exact"/>
              <w:rPr>
                <w:rFonts w:hint="default" w:ascii="Times New Roman" w:hAnsi="Times New Roman" w:cs="Times New Roman"/>
                <w:color w:val="auto"/>
                <w:sz w:val="20"/>
                <w:szCs w:val="20"/>
              </w:rPr>
            </w:pPr>
          </w:p>
        </w:tc>
        <w:tc>
          <w:tcPr>
            <w:tcW w:w="2443"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textAlignment w:val="auto"/>
              <w:rPr>
                <w:rFonts w:hint="default" w:ascii="Times New Roman" w:hAnsi="Times New Roman" w:eastAsia="方正楷体_GBK" w:cs="Times New Roman"/>
                <w:color w:val="auto"/>
                <w:kern w:val="0"/>
                <w:sz w:val="22"/>
                <w:szCs w:val="22"/>
                <w:lang w:val="en-US" w:eastAsia="zh-CN"/>
              </w:rPr>
            </w:pPr>
            <w:r>
              <w:rPr>
                <w:rFonts w:hint="eastAsia" w:ascii="Times New Roman" w:hAnsi="Times New Roman" w:eastAsia="方正楷体_GBK" w:cs="Times New Roman"/>
                <w:color w:val="auto"/>
                <w:kern w:val="0"/>
                <w:sz w:val="22"/>
                <w:szCs w:val="22"/>
                <w:lang w:val="en-US" w:eastAsia="zh-CN"/>
              </w:rPr>
              <w:t>调查数据合格率</w:t>
            </w:r>
          </w:p>
        </w:tc>
        <w:tc>
          <w:tcPr>
            <w:tcW w:w="132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textAlignment w:val="auto"/>
              <w:rPr>
                <w:rFonts w:hint="default" w:ascii="Times New Roman" w:hAnsi="Times New Roman" w:eastAsia="方正楷体_GBK" w:cs="Times New Roman"/>
                <w:color w:val="auto"/>
                <w:kern w:val="0"/>
                <w:sz w:val="22"/>
                <w:szCs w:val="22"/>
              </w:rPr>
            </w:pPr>
            <w:r>
              <w:rPr>
                <w:rFonts w:hint="default" w:ascii="Times New Roman" w:hAnsi="Times New Roman" w:eastAsia="方正楷体_GBK" w:cs="Times New Roman"/>
                <w:color w:val="auto"/>
                <w:kern w:val="0"/>
                <w:sz w:val="18"/>
                <w:szCs w:val="18"/>
              </w:rPr>
              <w:t>≥</w:t>
            </w:r>
          </w:p>
        </w:tc>
        <w:tc>
          <w:tcPr>
            <w:tcW w:w="1092"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textAlignment w:val="auto"/>
              <w:rPr>
                <w:rFonts w:hint="default" w:ascii="Times New Roman" w:hAnsi="Times New Roman" w:eastAsia="方正楷体_GBK" w:cs="Times New Roman"/>
                <w:color w:val="auto"/>
                <w:kern w:val="0"/>
                <w:sz w:val="22"/>
                <w:szCs w:val="22"/>
                <w:lang w:val="en-US" w:eastAsia="zh-CN"/>
              </w:rPr>
            </w:pPr>
            <w:r>
              <w:rPr>
                <w:rFonts w:hint="eastAsia" w:ascii="Times New Roman" w:hAnsi="Times New Roman" w:eastAsia="方正楷体_GBK" w:cs="Times New Roman"/>
                <w:color w:val="auto"/>
                <w:kern w:val="0"/>
                <w:sz w:val="22"/>
                <w:szCs w:val="22"/>
                <w:lang w:val="en-US" w:eastAsia="zh-CN"/>
              </w:rPr>
              <w:t>95</w:t>
            </w:r>
          </w:p>
        </w:tc>
        <w:tc>
          <w:tcPr>
            <w:tcW w:w="140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textAlignment w:val="auto"/>
              <w:rPr>
                <w:rFonts w:hint="default" w:ascii="Times New Roman" w:hAnsi="Times New Roman" w:eastAsia="方正楷体_GBK" w:cs="Times New Roman"/>
                <w:color w:val="auto"/>
                <w:kern w:val="0"/>
                <w:sz w:val="22"/>
                <w:szCs w:val="22"/>
              </w:rPr>
            </w:pPr>
            <w:r>
              <w:rPr>
                <w:rFonts w:hint="default" w:ascii="Times New Roman" w:hAnsi="Times New Roman" w:eastAsia="方正楷体_GBK" w:cs="Times New Roman"/>
                <w:color w:val="auto"/>
                <w:kern w:val="0"/>
                <w:sz w:val="22"/>
                <w:szCs w:val="22"/>
              </w:rPr>
              <w:t>%</w:t>
            </w:r>
          </w:p>
        </w:tc>
        <w:tc>
          <w:tcPr>
            <w:tcW w:w="1108"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textAlignment w:val="auto"/>
              <w:rPr>
                <w:rFonts w:hint="default" w:ascii="Times New Roman" w:hAnsi="Times New Roman" w:eastAsia="方正楷体_GBK" w:cs="Times New Roman"/>
                <w:color w:val="auto"/>
                <w:kern w:val="0"/>
                <w:sz w:val="22"/>
                <w:szCs w:val="22"/>
                <w:lang w:val="en-US" w:eastAsia="zh-CN"/>
              </w:rPr>
            </w:pPr>
            <w:r>
              <w:rPr>
                <w:rFonts w:hint="eastAsia" w:ascii="Times New Roman" w:hAnsi="Times New Roman" w:eastAsia="方正楷体_GBK" w:cs="Times New Roman"/>
                <w:color w:val="auto"/>
                <w:kern w:val="0"/>
                <w:sz w:val="22"/>
                <w:szCs w:val="22"/>
                <w:lang w:val="en-US" w:eastAsia="zh-CN"/>
              </w:rPr>
              <w:t>20</w:t>
            </w:r>
          </w:p>
        </w:tc>
        <w:tc>
          <w:tcPr>
            <w:tcW w:w="1516"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0" w:leftChars="0"/>
              <w:jc w:val="center"/>
              <w:textAlignment w:val="auto"/>
              <w:rPr>
                <w:rFonts w:hint="default" w:ascii="Times New Roman" w:hAnsi="Times New Roman" w:eastAsia="方正楷体_GBK" w:cs="Times New Roman"/>
                <w:color w:val="auto"/>
                <w:kern w:val="0"/>
                <w:sz w:val="22"/>
                <w:szCs w:val="22"/>
                <w:lang w:val="en-US" w:eastAsia="zh-CN" w:bidi="ar-SA"/>
              </w:rPr>
            </w:pPr>
            <w:r>
              <w:rPr>
                <w:rFonts w:hint="eastAsia" w:ascii="Times New Roman" w:hAnsi="Times New Roman" w:eastAsia="方正楷体_GBK" w:cs="Times New Roman"/>
                <w:color w:val="auto"/>
                <w:kern w:val="0"/>
                <w:sz w:val="22"/>
                <w:szCs w:val="22"/>
                <w:lang w:val="en-US" w:eastAsia="zh-CN"/>
              </w:rPr>
              <w:t>100</w:t>
            </w:r>
          </w:p>
        </w:tc>
        <w:tc>
          <w:tcPr>
            <w:tcW w:w="125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0" w:leftChars="0"/>
              <w:jc w:val="center"/>
              <w:textAlignment w:val="auto"/>
              <w:rPr>
                <w:rFonts w:hint="eastAsia" w:ascii="Times New Roman" w:hAnsi="Times New Roman" w:eastAsia="方正楷体_GBK" w:cs="Times New Roman"/>
                <w:color w:val="auto"/>
                <w:kern w:val="0"/>
                <w:sz w:val="22"/>
                <w:szCs w:val="22"/>
                <w:lang w:val="en-US" w:eastAsia="zh-CN" w:bidi="ar-SA"/>
              </w:rPr>
            </w:pPr>
            <w:r>
              <w:rPr>
                <w:rFonts w:hint="eastAsia" w:ascii="Times New Roman" w:hAnsi="Times New Roman" w:eastAsia="方正楷体_GBK" w:cs="Times New Roman"/>
                <w:color w:val="auto"/>
                <w:kern w:val="0"/>
                <w:sz w:val="22"/>
                <w:szCs w:val="22"/>
                <w:lang w:val="en-US" w:eastAsia="zh-CN"/>
              </w:rPr>
              <w:t>20</w:t>
            </w:r>
          </w:p>
        </w:tc>
        <w:tc>
          <w:tcPr>
            <w:tcW w:w="860" w:type="dxa"/>
            <w:tcBorders>
              <w:top w:val="single" w:color="000000" w:sz="4" w:space="0"/>
              <w:left w:val="nil"/>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textAlignment w:val="auto"/>
              <w:rPr>
                <w:rFonts w:hint="default" w:ascii="Times New Roman" w:hAnsi="Times New Roman" w:eastAsia="方正楷体_GBK" w:cs="Times New Roman"/>
                <w:color w:val="auto"/>
                <w:kern w:val="0"/>
                <w:sz w:val="22"/>
                <w:szCs w:val="22"/>
              </w:rPr>
            </w:pPr>
          </w:p>
        </w:tc>
        <w:tc>
          <w:tcPr>
            <w:tcW w:w="1196" w:type="dxa"/>
            <w:vMerge w:val="continue"/>
            <w:tcBorders>
              <w:top w:val="nil"/>
              <w:left w:val="single" w:color="auto"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N/>
              <w:bidi w:val="0"/>
              <w:adjustRightInd/>
              <w:snapToGrid/>
              <w:spacing w:after="0" w:afterAutospacing="0" w:line="300" w:lineRule="exact"/>
              <w:rPr>
                <w:rFonts w:hint="default" w:ascii="Times New Roman" w:hAnsi="Times New Roman"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0" w:type="dxa"/>
            <w:vMerge w:val="restart"/>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textAlignment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2</w:t>
            </w:r>
          </w:p>
        </w:tc>
        <w:tc>
          <w:tcPr>
            <w:tcW w:w="1308" w:type="dxa"/>
            <w:vMerge w:val="restart"/>
            <w:tcBorders>
              <w:top w:val="single" w:color="auto" w:sz="4" w:space="0"/>
              <w:left w:val="nil"/>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default" w:ascii="Times New Roman" w:hAnsi="Times New Roman" w:eastAsia="方正黑体_GBK" w:cs="Times New Roman"/>
                <w:color w:val="auto"/>
                <w:kern w:val="0"/>
                <w:sz w:val="22"/>
                <w:szCs w:val="22"/>
              </w:rPr>
            </w:pPr>
            <w:r>
              <w:rPr>
                <w:rFonts w:hint="eastAsia" w:ascii="Times New Roman" w:hAnsi="Times New Roman" w:eastAsia="方正黑体_GBK" w:cs="Times New Roman"/>
                <w:color w:val="auto"/>
                <w:kern w:val="0"/>
                <w:sz w:val="22"/>
                <w:szCs w:val="22"/>
                <w:lang w:val="en-US" w:eastAsia="zh-CN"/>
              </w:rPr>
              <w:t>万州区</w:t>
            </w:r>
            <w:r>
              <w:rPr>
                <w:rFonts w:hint="default" w:ascii="Times New Roman" w:hAnsi="Times New Roman" w:eastAsia="方正黑体_GBK" w:cs="Times New Roman"/>
                <w:color w:val="auto"/>
                <w:kern w:val="0"/>
                <w:sz w:val="22"/>
                <w:szCs w:val="22"/>
              </w:rPr>
              <w:t>粮食</w:t>
            </w:r>
            <w:r>
              <w:rPr>
                <w:rFonts w:hint="eastAsia" w:ascii="Times New Roman" w:hAnsi="Times New Roman" w:eastAsia="方正黑体_GBK" w:cs="Times New Roman"/>
                <w:color w:val="auto"/>
                <w:kern w:val="0"/>
                <w:sz w:val="22"/>
                <w:szCs w:val="22"/>
                <w:lang w:val="en-US" w:eastAsia="zh-CN"/>
              </w:rPr>
              <w:t>安全行政首长责任制</w:t>
            </w:r>
            <w:r>
              <w:rPr>
                <w:rFonts w:hint="default" w:ascii="Times New Roman" w:hAnsi="Times New Roman" w:eastAsia="方正黑体_GBK" w:cs="Times New Roman"/>
                <w:color w:val="auto"/>
                <w:kern w:val="0"/>
                <w:sz w:val="22"/>
                <w:szCs w:val="22"/>
              </w:rPr>
              <w:t>专项</w:t>
            </w:r>
          </w:p>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工作经费</w:t>
            </w:r>
          </w:p>
        </w:tc>
        <w:tc>
          <w:tcPr>
            <w:tcW w:w="244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0" w:leftChars="0" w:right="0" w:rightChars="0"/>
              <w:jc w:val="center"/>
              <w:rPr>
                <w:rFonts w:hint="default" w:ascii="Times New Roman" w:hAnsi="Times New Roman" w:eastAsia="方正楷体_GBK" w:cs="Times New Roman"/>
                <w:color w:val="auto"/>
                <w:kern w:val="0"/>
                <w:sz w:val="22"/>
                <w:szCs w:val="22"/>
              </w:rPr>
            </w:pPr>
            <w:r>
              <w:rPr>
                <w:rFonts w:hint="eastAsia" w:ascii="Times New Roman" w:hAnsi="Times New Roman" w:eastAsia="方正楷体_GBK" w:cs="Times New Roman"/>
                <w:color w:val="auto"/>
                <w:kern w:val="0"/>
                <w:sz w:val="22"/>
                <w:szCs w:val="22"/>
                <w:lang w:val="en-US" w:eastAsia="zh-CN"/>
              </w:rPr>
              <w:t>年度</w:t>
            </w:r>
            <w:r>
              <w:rPr>
                <w:rFonts w:hint="default" w:ascii="Times New Roman" w:hAnsi="Times New Roman" w:eastAsia="方正楷体_GBK" w:cs="Times New Roman"/>
                <w:color w:val="auto"/>
                <w:kern w:val="0"/>
                <w:sz w:val="22"/>
                <w:szCs w:val="22"/>
              </w:rPr>
              <w:t>预算执行率</w:t>
            </w:r>
          </w:p>
        </w:tc>
        <w:tc>
          <w:tcPr>
            <w:tcW w:w="1320" w:type="dxa"/>
            <w:tcBorders>
              <w:top w:val="single" w:color="auto"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0" w:leftChars="0" w:right="0" w:rightChars="0"/>
              <w:jc w:val="center"/>
              <w:rPr>
                <w:rFonts w:hint="default" w:ascii="Times New Roman" w:hAnsi="Times New Roman" w:eastAsia="方正楷体_GBK" w:cs="Times New Roman"/>
                <w:color w:val="auto"/>
                <w:kern w:val="0"/>
                <w:sz w:val="22"/>
                <w:szCs w:val="22"/>
              </w:rPr>
            </w:pPr>
            <w:r>
              <w:rPr>
                <w:rFonts w:hint="default" w:ascii="Times New Roman" w:hAnsi="Times New Roman" w:eastAsia="方正楷体_GBK" w:cs="Times New Roman"/>
                <w:color w:val="auto"/>
                <w:kern w:val="0"/>
                <w:sz w:val="22"/>
                <w:szCs w:val="22"/>
              </w:rPr>
              <w:t>=</w:t>
            </w:r>
          </w:p>
        </w:tc>
        <w:tc>
          <w:tcPr>
            <w:tcW w:w="1092" w:type="dxa"/>
            <w:tcBorders>
              <w:top w:val="single" w:color="auto"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0" w:leftChars="0" w:right="0" w:rightChars="0"/>
              <w:jc w:val="center"/>
              <w:rPr>
                <w:rFonts w:hint="default" w:ascii="Times New Roman" w:hAnsi="Times New Roman" w:eastAsia="方正楷体_GBK" w:cs="Times New Roman"/>
                <w:color w:val="auto"/>
                <w:kern w:val="0"/>
                <w:sz w:val="22"/>
                <w:szCs w:val="22"/>
              </w:rPr>
            </w:pPr>
            <w:r>
              <w:rPr>
                <w:rFonts w:hint="default" w:ascii="Times New Roman" w:hAnsi="Times New Roman" w:eastAsia="方正楷体_GBK" w:cs="Times New Roman"/>
                <w:color w:val="auto"/>
                <w:kern w:val="0"/>
                <w:sz w:val="22"/>
                <w:szCs w:val="22"/>
              </w:rPr>
              <w:t>100</w:t>
            </w:r>
          </w:p>
        </w:tc>
        <w:tc>
          <w:tcPr>
            <w:tcW w:w="1400" w:type="dxa"/>
            <w:tcBorders>
              <w:top w:val="single" w:color="auto"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0" w:leftChars="0" w:right="0" w:rightChars="0"/>
              <w:jc w:val="center"/>
              <w:rPr>
                <w:rFonts w:hint="default" w:ascii="Times New Roman" w:hAnsi="Times New Roman" w:eastAsia="方正楷体_GBK" w:cs="Times New Roman"/>
                <w:color w:val="auto"/>
                <w:kern w:val="0"/>
                <w:sz w:val="22"/>
                <w:szCs w:val="22"/>
              </w:rPr>
            </w:pPr>
            <w:r>
              <w:rPr>
                <w:rFonts w:hint="default" w:ascii="Times New Roman" w:hAnsi="Times New Roman" w:eastAsia="方正楷体_GBK" w:cs="Times New Roman"/>
                <w:color w:val="auto"/>
                <w:kern w:val="0"/>
                <w:sz w:val="22"/>
                <w:szCs w:val="22"/>
              </w:rPr>
              <w:t>%</w:t>
            </w:r>
          </w:p>
        </w:tc>
        <w:tc>
          <w:tcPr>
            <w:tcW w:w="1108" w:type="dxa"/>
            <w:tcBorders>
              <w:top w:val="single" w:color="auto"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0" w:leftChars="0" w:right="0" w:rightChars="0"/>
              <w:jc w:val="center"/>
              <w:rPr>
                <w:rFonts w:hint="default" w:ascii="Times New Roman" w:hAnsi="Times New Roman" w:eastAsia="方正楷体_GBK" w:cs="Times New Roman"/>
                <w:color w:val="auto"/>
                <w:kern w:val="0"/>
                <w:sz w:val="22"/>
                <w:szCs w:val="22"/>
              </w:rPr>
            </w:pPr>
            <w:r>
              <w:rPr>
                <w:rFonts w:hint="default" w:ascii="Times New Roman" w:hAnsi="Times New Roman" w:eastAsia="方正楷体_GBK" w:cs="Times New Roman"/>
                <w:color w:val="auto"/>
                <w:kern w:val="0"/>
                <w:sz w:val="22"/>
                <w:szCs w:val="22"/>
              </w:rPr>
              <w:t>10</w:t>
            </w:r>
          </w:p>
        </w:tc>
        <w:tc>
          <w:tcPr>
            <w:tcW w:w="1516" w:type="dxa"/>
            <w:tcBorders>
              <w:top w:val="single" w:color="auto"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0" w:leftChars="0" w:right="0" w:rightChars="0"/>
              <w:jc w:val="center"/>
              <w:rPr>
                <w:rFonts w:hint="default" w:ascii="Times New Roman" w:hAnsi="Times New Roman" w:eastAsia="方正楷体_GBK" w:cs="Times New Roman"/>
                <w:color w:val="auto"/>
                <w:kern w:val="0"/>
                <w:sz w:val="22"/>
                <w:szCs w:val="22"/>
              </w:rPr>
            </w:pPr>
            <w:r>
              <w:rPr>
                <w:rFonts w:hint="default" w:ascii="Times New Roman" w:hAnsi="Times New Roman" w:eastAsia="方正楷体_GBK" w:cs="Times New Roman"/>
                <w:color w:val="auto"/>
                <w:kern w:val="0"/>
                <w:sz w:val="22"/>
                <w:szCs w:val="22"/>
              </w:rPr>
              <w:t>100</w:t>
            </w:r>
          </w:p>
        </w:tc>
        <w:tc>
          <w:tcPr>
            <w:tcW w:w="1254" w:type="dxa"/>
            <w:tcBorders>
              <w:top w:val="single" w:color="auto" w:sz="4" w:space="0"/>
              <w:left w:val="nil"/>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0" w:leftChars="0" w:right="0" w:rightChars="0"/>
              <w:jc w:val="center"/>
              <w:rPr>
                <w:rFonts w:hint="default" w:ascii="Times New Roman" w:hAnsi="Times New Roman" w:eastAsia="方正楷体_GBK" w:cs="Times New Roman"/>
                <w:color w:val="auto"/>
                <w:kern w:val="0"/>
                <w:sz w:val="22"/>
                <w:szCs w:val="22"/>
              </w:rPr>
            </w:pPr>
            <w:r>
              <w:rPr>
                <w:rFonts w:hint="default" w:ascii="Times New Roman" w:hAnsi="Times New Roman" w:eastAsia="方正楷体_GBK" w:cs="Times New Roman"/>
                <w:color w:val="auto"/>
                <w:kern w:val="0"/>
                <w:sz w:val="22"/>
                <w:szCs w:val="22"/>
              </w:rPr>
              <w:t>10</w:t>
            </w:r>
          </w:p>
        </w:tc>
        <w:tc>
          <w:tcPr>
            <w:tcW w:w="860" w:type="dxa"/>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default" w:ascii="Times New Roman" w:hAnsi="Times New Roman" w:eastAsia="方正楷体_GBK" w:cs="Times New Roman"/>
                <w:color w:val="auto"/>
                <w:kern w:val="0"/>
                <w:sz w:val="22"/>
                <w:szCs w:val="22"/>
              </w:rPr>
            </w:pPr>
          </w:p>
        </w:tc>
        <w:tc>
          <w:tcPr>
            <w:tcW w:w="1196" w:type="dxa"/>
            <w:vMerge w:val="restart"/>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default" w:ascii="Times New Roman" w:hAnsi="Times New Roman" w:eastAsia="方正仿宋_GBK" w:cs="Times New Roman"/>
                <w:color w:val="auto"/>
                <w:kern w:val="0"/>
                <w:sz w:val="22"/>
                <w:szCs w:val="22"/>
                <w:lang w:val="en-US" w:eastAsia="zh-CN"/>
              </w:rPr>
            </w:pPr>
            <w:r>
              <w:rPr>
                <w:rFonts w:hint="eastAsia" w:ascii="Times New Roman" w:hAnsi="Times New Roman" w:cs="Times New Roman"/>
                <w:color w:val="auto"/>
                <w:kern w:val="0"/>
                <w:sz w:val="22"/>
                <w:szCs w:val="22"/>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0" w:type="dxa"/>
            <w:vMerge w:val="continue"/>
            <w:tcBorders>
              <w:top w:val="nil"/>
              <w:left w:val="single" w:color="auto"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N/>
              <w:bidi w:val="0"/>
              <w:adjustRightInd/>
              <w:snapToGrid/>
              <w:spacing w:after="0" w:afterAutospacing="0" w:line="300" w:lineRule="exact"/>
              <w:rPr>
                <w:rFonts w:hint="default" w:ascii="Times New Roman" w:hAnsi="Times New Roman" w:cs="Times New Roman"/>
                <w:color w:val="auto"/>
                <w:sz w:val="20"/>
                <w:szCs w:val="20"/>
              </w:rPr>
            </w:pPr>
          </w:p>
        </w:tc>
        <w:tc>
          <w:tcPr>
            <w:tcW w:w="1308" w:type="dxa"/>
            <w:vMerge w:val="continue"/>
            <w:tcBorders>
              <w:top w:val="nil"/>
              <w:left w:val="nil"/>
              <w:bottom w:val="single" w:color="auto" w:sz="4" w:space="0"/>
              <w:right w:val="single" w:color="000000" w:sz="4" w:space="0"/>
            </w:tcBorders>
            <w:noWrap/>
            <w:vAlign w:val="center"/>
          </w:tcPr>
          <w:p>
            <w:pPr>
              <w:keepNext w:val="0"/>
              <w:keepLines w:val="0"/>
              <w:pageBreakBefore w:val="0"/>
              <w:widowControl/>
              <w:kinsoku/>
              <w:wordWrap/>
              <w:overflowPunct/>
              <w:topLinePunct w:val="0"/>
              <w:autoSpaceDN/>
              <w:bidi w:val="0"/>
              <w:adjustRightInd/>
              <w:snapToGrid/>
              <w:spacing w:after="0" w:afterAutospacing="0" w:line="300" w:lineRule="exact"/>
              <w:rPr>
                <w:rFonts w:hint="default" w:ascii="Times New Roman" w:hAnsi="Times New Roman" w:cs="Times New Roman"/>
                <w:color w:val="auto"/>
                <w:sz w:val="20"/>
                <w:szCs w:val="20"/>
              </w:rPr>
            </w:pPr>
          </w:p>
        </w:tc>
        <w:tc>
          <w:tcPr>
            <w:tcW w:w="2443" w:type="dxa"/>
            <w:tcBorders>
              <w:top w:val="single" w:color="auto"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default" w:ascii="Times New Roman" w:hAnsi="Times New Roman" w:eastAsia="方正楷体_GBK" w:cs="Times New Roman"/>
                <w:color w:val="auto"/>
                <w:kern w:val="0"/>
                <w:sz w:val="22"/>
                <w:szCs w:val="22"/>
              </w:rPr>
            </w:pPr>
            <w:r>
              <w:rPr>
                <w:rFonts w:hint="eastAsia" w:ascii="Times New Roman" w:hAnsi="Times New Roman" w:eastAsia="方正楷体_GBK" w:cs="Times New Roman"/>
                <w:color w:val="auto"/>
                <w:kern w:val="0"/>
                <w:sz w:val="22"/>
                <w:szCs w:val="22"/>
                <w:lang w:val="en-US" w:eastAsia="zh-CN"/>
              </w:rPr>
              <w:t>开展</w:t>
            </w:r>
            <w:r>
              <w:rPr>
                <w:rFonts w:hint="default" w:ascii="Times New Roman" w:hAnsi="Times New Roman" w:eastAsia="方正楷体_GBK" w:cs="Times New Roman"/>
                <w:color w:val="auto"/>
                <w:kern w:val="0"/>
                <w:sz w:val="22"/>
                <w:szCs w:val="22"/>
              </w:rPr>
              <w:t>库存检查</w:t>
            </w:r>
          </w:p>
        </w:tc>
        <w:tc>
          <w:tcPr>
            <w:tcW w:w="132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default" w:ascii="Times New Roman" w:hAnsi="Times New Roman" w:eastAsia="方正楷体_GBK" w:cs="Times New Roman"/>
                <w:color w:val="auto"/>
                <w:kern w:val="0"/>
                <w:sz w:val="22"/>
                <w:szCs w:val="22"/>
              </w:rPr>
            </w:pPr>
            <w:r>
              <w:rPr>
                <w:rFonts w:hint="default" w:ascii="Times New Roman" w:hAnsi="Times New Roman" w:eastAsia="方正楷体_GBK" w:cs="Times New Roman"/>
                <w:color w:val="auto"/>
                <w:kern w:val="0"/>
                <w:sz w:val="18"/>
                <w:szCs w:val="18"/>
              </w:rPr>
              <w:t>≥</w:t>
            </w:r>
          </w:p>
        </w:tc>
        <w:tc>
          <w:tcPr>
            <w:tcW w:w="1092"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eastAsia" w:ascii="Times New Roman" w:hAnsi="Times New Roman" w:eastAsia="方正楷体_GBK" w:cs="Times New Roman"/>
                <w:color w:val="auto"/>
                <w:kern w:val="0"/>
                <w:sz w:val="22"/>
                <w:szCs w:val="22"/>
                <w:lang w:eastAsia="zh-CN"/>
              </w:rPr>
            </w:pPr>
            <w:r>
              <w:rPr>
                <w:rFonts w:hint="eastAsia" w:ascii="Times New Roman" w:hAnsi="Times New Roman" w:eastAsia="方正楷体_GBK" w:cs="Times New Roman"/>
                <w:color w:val="auto"/>
                <w:kern w:val="0"/>
                <w:sz w:val="22"/>
                <w:szCs w:val="22"/>
                <w:lang w:val="en-US" w:eastAsia="zh-CN"/>
              </w:rPr>
              <w:t>4</w:t>
            </w:r>
          </w:p>
        </w:tc>
        <w:tc>
          <w:tcPr>
            <w:tcW w:w="1400"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ind w:firstLine="220" w:firstLineChars="100"/>
              <w:jc w:val="left"/>
              <w:textAlignment w:val="center"/>
              <w:rPr>
                <w:rFonts w:hint="eastAsia" w:ascii="Times New Roman" w:hAnsi="Times New Roman" w:eastAsia="方正楷体_GBK" w:cs="方正楷体_GBK"/>
                <w:color w:val="auto"/>
                <w:kern w:val="0"/>
                <w:sz w:val="22"/>
                <w:szCs w:val="22"/>
              </w:rPr>
            </w:pPr>
            <w:r>
              <w:rPr>
                <w:rFonts w:hint="eastAsia" w:ascii="Times New Roman" w:hAnsi="Times New Roman" w:eastAsia="方正楷体_GBK" w:cs="方正楷体_GBK"/>
                <w:i w:val="0"/>
                <w:iCs w:val="0"/>
                <w:color w:val="auto"/>
                <w:kern w:val="0"/>
                <w:sz w:val="22"/>
                <w:szCs w:val="22"/>
                <w:u w:val="none"/>
                <w:lang w:val="en-US" w:eastAsia="zh-CN" w:bidi="ar"/>
              </w:rPr>
              <w:t>次/年</w:t>
            </w:r>
          </w:p>
        </w:tc>
        <w:tc>
          <w:tcPr>
            <w:tcW w:w="1108"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default" w:ascii="Times New Roman" w:hAnsi="Times New Roman" w:eastAsia="方正楷体_GBK" w:cs="Times New Roman"/>
                <w:color w:val="auto"/>
                <w:kern w:val="0"/>
                <w:sz w:val="22"/>
                <w:szCs w:val="22"/>
                <w:lang w:val="en-US" w:eastAsia="zh-CN"/>
              </w:rPr>
            </w:pPr>
            <w:r>
              <w:rPr>
                <w:rFonts w:hint="eastAsia" w:ascii="Times New Roman" w:hAnsi="Times New Roman" w:eastAsia="方正楷体_GBK" w:cs="Times New Roman"/>
                <w:color w:val="auto"/>
                <w:kern w:val="0"/>
                <w:sz w:val="22"/>
                <w:szCs w:val="22"/>
                <w:lang w:val="en-US" w:eastAsia="zh-CN"/>
              </w:rPr>
              <w:t>10</w:t>
            </w:r>
          </w:p>
        </w:tc>
        <w:tc>
          <w:tcPr>
            <w:tcW w:w="1516"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eastAsia" w:ascii="Times New Roman" w:hAnsi="Times New Roman" w:eastAsia="方正楷体_GBK" w:cs="Times New Roman"/>
                <w:color w:val="auto"/>
                <w:kern w:val="0"/>
                <w:sz w:val="22"/>
                <w:szCs w:val="22"/>
                <w:lang w:eastAsia="zh-CN"/>
              </w:rPr>
            </w:pPr>
            <w:r>
              <w:rPr>
                <w:rFonts w:hint="eastAsia" w:ascii="Times New Roman" w:hAnsi="Times New Roman" w:eastAsia="方正楷体_GBK" w:cs="Times New Roman"/>
                <w:color w:val="auto"/>
                <w:kern w:val="0"/>
                <w:sz w:val="22"/>
                <w:szCs w:val="22"/>
                <w:lang w:val="en-US" w:eastAsia="zh-CN"/>
              </w:rPr>
              <w:t>6</w:t>
            </w:r>
          </w:p>
        </w:tc>
        <w:tc>
          <w:tcPr>
            <w:tcW w:w="125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0" w:leftChars="0"/>
              <w:jc w:val="center"/>
              <w:rPr>
                <w:rFonts w:hint="default" w:ascii="Times New Roman" w:hAnsi="Times New Roman" w:eastAsia="方正楷体_GBK" w:cs="Times New Roman"/>
                <w:color w:val="auto"/>
                <w:kern w:val="0"/>
                <w:sz w:val="22"/>
                <w:szCs w:val="22"/>
              </w:rPr>
            </w:pPr>
            <w:r>
              <w:rPr>
                <w:rFonts w:hint="eastAsia" w:ascii="Times New Roman" w:hAnsi="Times New Roman" w:eastAsia="方正楷体_GBK" w:cs="Times New Roman"/>
                <w:color w:val="auto"/>
                <w:kern w:val="0"/>
                <w:sz w:val="22"/>
                <w:szCs w:val="22"/>
                <w:lang w:val="en-US" w:eastAsia="zh-CN"/>
              </w:rPr>
              <w:t>10</w:t>
            </w:r>
          </w:p>
        </w:tc>
        <w:tc>
          <w:tcPr>
            <w:tcW w:w="860" w:type="dxa"/>
            <w:tcBorders>
              <w:top w:val="single" w:color="auto"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default" w:ascii="Times New Roman" w:hAnsi="Times New Roman" w:eastAsia="方正楷体_GBK" w:cs="Times New Roman"/>
                <w:color w:val="auto"/>
                <w:kern w:val="0"/>
                <w:sz w:val="22"/>
                <w:szCs w:val="22"/>
                <w:lang w:val="en-US" w:eastAsia="zh-CN"/>
              </w:rPr>
            </w:pPr>
          </w:p>
        </w:tc>
        <w:tc>
          <w:tcPr>
            <w:tcW w:w="1196" w:type="dxa"/>
            <w:vMerge w:val="continue"/>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N/>
              <w:bidi w:val="0"/>
              <w:adjustRightInd/>
              <w:snapToGrid/>
              <w:spacing w:after="0" w:afterAutospacing="0" w:line="300" w:lineRule="exact"/>
              <w:rPr>
                <w:rFonts w:hint="default" w:ascii="Times New Roman" w:hAnsi="Times New Roman"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0" w:type="dxa"/>
            <w:vMerge w:val="continue"/>
            <w:tcBorders>
              <w:top w:val="nil"/>
              <w:left w:val="single" w:color="auto"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N/>
              <w:bidi w:val="0"/>
              <w:adjustRightInd/>
              <w:snapToGrid/>
              <w:spacing w:after="0" w:afterAutospacing="0" w:line="300" w:lineRule="exact"/>
              <w:rPr>
                <w:rFonts w:hint="default" w:ascii="Times New Roman" w:hAnsi="Times New Roman" w:cs="Times New Roman"/>
                <w:color w:val="auto"/>
                <w:sz w:val="20"/>
                <w:szCs w:val="20"/>
              </w:rPr>
            </w:pPr>
          </w:p>
        </w:tc>
        <w:tc>
          <w:tcPr>
            <w:tcW w:w="1308" w:type="dxa"/>
            <w:vMerge w:val="continue"/>
            <w:tcBorders>
              <w:top w:val="nil"/>
              <w:left w:val="nil"/>
              <w:bottom w:val="single" w:color="auto" w:sz="4" w:space="0"/>
              <w:right w:val="single" w:color="000000" w:sz="4" w:space="0"/>
            </w:tcBorders>
            <w:noWrap/>
            <w:vAlign w:val="center"/>
          </w:tcPr>
          <w:p>
            <w:pPr>
              <w:keepNext w:val="0"/>
              <w:keepLines w:val="0"/>
              <w:pageBreakBefore w:val="0"/>
              <w:widowControl/>
              <w:kinsoku/>
              <w:wordWrap/>
              <w:overflowPunct/>
              <w:topLinePunct w:val="0"/>
              <w:autoSpaceDN/>
              <w:bidi w:val="0"/>
              <w:adjustRightInd/>
              <w:snapToGrid/>
              <w:spacing w:after="0" w:afterAutospacing="0" w:line="300" w:lineRule="exact"/>
              <w:rPr>
                <w:rFonts w:hint="default" w:ascii="Times New Roman" w:hAnsi="Times New Roman" w:cs="Times New Roman"/>
                <w:color w:val="auto"/>
                <w:sz w:val="20"/>
                <w:szCs w:val="20"/>
              </w:rPr>
            </w:pPr>
          </w:p>
        </w:tc>
        <w:tc>
          <w:tcPr>
            <w:tcW w:w="2443"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default" w:ascii="Times New Roman" w:hAnsi="Times New Roman" w:eastAsia="方正楷体_GBK" w:cs="Times New Roman"/>
                <w:color w:val="auto"/>
                <w:kern w:val="0"/>
                <w:sz w:val="22"/>
                <w:szCs w:val="22"/>
              </w:rPr>
            </w:pPr>
            <w:r>
              <w:rPr>
                <w:rFonts w:hint="eastAsia" w:ascii="Times New Roman" w:hAnsi="Times New Roman" w:eastAsia="方正楷体_GBK" w:cs="Times New Roman"/>
                <w:color w:val="auto"/>
                <w:kern w:val="0"/>
                <w:sz w:val="22"/>
                <w:szCs w:val="22"/>
                <w:lang w:val="en-US" w:eastAsia="zh-CN"/>
              </w:rPr>
              <w:t>开展</w:t>
            </w:r>
            <w:r>
              <w:rPr>
                <w:rFonts w:hint="default" w:ascii="Times New Roman" w:hAnsi="Times New Roman" w:eastAsia="方正楷体_GBK" w:cs="Times New Roman"/>
                <w:color w:val="auto"/>
                <w:kern w:val="0"/>
                <w:sz w:val="22"/>
                <w:szCs w:val="22"/>
              </w:rPr>
              <w:t>粮食安全宣传教育</w:t>
            </w:r>
          </w:p>
        </w:tc>
        <w:tc>
          <w:tcPr>
            <w:tcW w:w="132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default" w:ascii="Times New Roman" w:hAnsi="Times New Roman" w:eastAsia="方正楷体_GBK" w:cs="Times New Roman"/>
                <w:color w:val="auto"/>
                <w:kern w:val="0"/>
                <w:sz w:val="22"/>
                <w:szCs w:val="22"/>
              </w:rPr>
            </w:pPr>
            <w:r>
              <w:rPr>
                <w:rFonts w:hint="default" w:ascii="Times New Roman" w:hAnsi="Times New Roman" w:eastAsia="方正楷体_GBK" w:cs="Times New Roman"/>
                <w:color w:val="auto"/>
                <w:kern w:val="0"/>
                <w:sz w:val="18"/>
                <w:szCs w:val="18"/>
              </w:rPr>
              <w:t>≥</w:t>
            </w:r>
          </w:p>
        </w:tc>
        <w:tc>
          <w:tcPr>
            <w:tcW w:w="1092"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default" w:ascii="Times New Roman" w:hAnsi="Times New Roman" w:eastAsia="方正楷体_GBK" w:cs="Times New Roman"/>
                <w:color w:val="auto"/>
                <w:kern w:val="0"/>
                <w:sz w:val="22"/>
                <w:szCs w:val="22"/>
              </w:rPr>
            </w:pPr>
            <w:r>
              <w:rPr>
                <w:rFonts w:hint="default" w:ascii="Times New Roman" w:hAnsi="Times New Roman" w:eastAsia="方正楷体_GBK" w:cs="Times New Roman"/>
                <w:color w:val="auto"/>
                <w:kern w:val="0"/>
                <w:sz w:val="22"/>
                <w:szCs w:val="22"/>
              </w:rPr>
              <w:t>2</w:t>
            </w:r>
          </w:p>
        </w:tc>
        <w:tc>
          <w:tcPr>
            <w:tcW w:w="1400"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ind w:firstLine="220" w:firstLineChars="100"/>
              <w:jc w:val="left"/>
              <w:textAlignment w:val="center"/>
              <w:rPr>
                <w:rFonts w:hint="eastAsia" w:ascii="Times New Roman" w:hAnsi="Times New Roman" w:eastAsia="方正楷体_GBK" w:cs="方正楷体_GBK"/>
                <w:color w:val="auto"/>
                <w:kern w:val="0"/>
                <w:sz w:val="22"/>
                <w:szCs w:val="22"/>
              </w:rPr>
            </w:pPr>
            <w:r>
              <w:rPr>
                <w:rFonts w:hint="eastAsia" w:ascii="Times New Roman" w:hAnsi="Times New Roman" w:eastAsia="方正楷体_GBK" w:cs="方正楷体_GBK"/>
                <w:i w:val="0"/>
                <w:iCs w:val="0"/>
                <w:color w:val="auto"/>
                <w:kern w:val="0"/>
                <w:sz w:val="22"/>
                <w:szCs w:val="22"/>
                <w:u w:val="none"/>
                <w:lang w:val="en-US" w:eastAsia="zh-CN" w:bidi="ar"/>
              </w:rPr>
              <w:t>次/年</w:t>
            </w:r>
          </w:p>
        </w:tc>
        <w:tc>
          <w:tcPr>
            <w:tcW w:w="1108"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default" w:ascii="Times New Roman" w:hAnsi="Times New Roman" w:eastAsia="方正楷体_GBK" w:cs="Times New Roman"/>
                <w:color w:val="auto"/>
                <w:kern w:val="0"/>
                <w:sz w:val="22"/>
                <w:szCs w:val="22"/>
                <w:lang w:val="en-US" w:eastAsia="zh-CN"/>
              </w:rPr>
            </w:pPr>
            <w:r>
              <w:rPr>
                <w:rFonts w:hint="eastAsia" w:ascii="Times New Roman" w:hAnsi="Times New Roman" w:eastAsia="方正楷体_GBK" w:cs="Times New Roman"/>
                <w:color w:val="auto"/>
                <w:kern w:val="0"/>
                <w:sz w:val="22"/>
                <w:szCs w:val="22"/>
                <w:lang w:val="en-US" w:eastAsia="zh-CN"/>
              </w:rPr>
              <w:t>15</w:t>
            </w:r>
          </w:p>
        </w:tc>
        <w:tc>
          <w:tcPr>
            <w:tcW w:w="1516"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default" w:ascii="Times New Roman" w:hAnsi="Times New Roman" w:eastAsia="方正楷体_GBK" w:cs="Times New Roman"/>
                <w:color w:val="auto"/>
                <w:kern w:val="0"/>
                <w:sz w:val="22"/>
                <w:szCs w:val="22"/>
              </w:rPr>
            </w:pPr>
            <w:r>
              <w:rPr>
                <w:rFonts w:hint="default" w:ascii="Times New Roman" w:hAnsi="Times New Roman" w:eastAsia="方正楷体_GBK" w:cs="Times New Roman"/>
                <w:color w:val="auto"/>
                <w:kern w:val="0"/>
                <w:sz w:val="22"/>
                <w:szCs w:val="22"/>
              </w:rPr>
              <w:t>2</w:t>
            </w:r>
          </w:p>
        </w:tc>
        <w:tc>
          <w:tcPr>
            <w:tcW w:w="125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0" w:leftChars="0"/>
              <w:jc w:val="center"/>
              <w:rPr>
                <w:rFonts w:hint="default" w:ascii="Times New Roman" w:hAnsi="Times New Roman" w:eastAsia="方正楷体_GBK" w:cs="Times New Roman"/>
                <w:color w:val="auto"/>
                <w:kern w:val="0"/>
                <w:sz w:val="22"/>
                <w:szCs w:val="22"/>
              </w:rPr>
            </w:pPr>
            <w:r>
              <w:rPr>
                <w:rFonts w:hint="eastAsia" w:ascii="Times New Roman" w:hAnsi="Times New Roman" w:eastAsia="方正楷体_GBK" w:cs="Times New Roman"/>
                <w:color w:val="auto"/>
                <w:kern w:val="0"/>
                <w:sz w:val="22"/>
                <w:szCs w:val="22"/>
                <w:lang w:val="en-US" w:eastAsia="zh-CN"/>
              </w:rPr>
              <w:t>15</w:t>
            </w:r>
          </w:p>
        </w:tc>
        <w:tc>
          <w:tcPr>
            <w:tcW w:w="86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default" w:ascii="Times New Roman" w:hAnsi="Times New Roman" w:eastAsia="方正楷体_GBK" w:cs="Times New Roman"/>
                <w:color w:val="auto"/>
                <w:kern w:val="0"/>
                <w:sz w:val="22"/>
                <w:szCs w:val="22"/>
                <w:lang w:val="en-US" w:eastAsia="zh-CN"/>
              </w:rPr>
            </w:pPr>
          </w:p>
        </w:tc>
        <w:tc>
          <w:tcPr>
            <w:tcW w:w="1196" w:type="dxa"/>
            <w:vMerge w:val="continue"/>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N/>
              <w:bidi w:val="0"/>
              <w:adjustRightInd/>
              <w:snapToGrid/>
              <w:spacing w:after="0" w:afterAutospacing="0" w:line="300" w:lineRule="exact"/>
              <w:rPr>
                <w:rFonts w:hint="default" w:ascii="Times New Roman" w:hAnsi="Times New Roman"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0" w:type="dxa"/>
            <w:vMerge w:val="continue"/>
            <w:tcBorders>
              <w:top w:val="nil"/>
              <w:left w:val="single" w:color="auto"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N/>
              <w:bidi w:val="0"/>
              <w:adjustRightInd/>
              <w:snapToGrid/>
              <w:spacing w:after="0" w:afterAutospacing="0" w:line="300" w:lineRule="exact"/>
              <w:rPr>
                <w:rFonts w:hint="default" w:ascii="Times New Roman" w:hAnsi="Times New Roman" w:cs="Times New Roman"/>
                <w:color w:val="auto"/>
                <w:sz w:val="20"/>
                <w:szCs w:val="20"/>
              </w:rPr>
            </w:pPr>
          </w:p>
        </w:tc>
        <w:tc>
          <w:tcPr>
            <w:tcW w:w="1308" w:type="dxa"/>
            <w:vMerge w:val="continue"/>
            <w:tcBorders>
              <w:top w:val="nil"/>
              <w:left w:val="nil"/>
              <w:bottom w:val="single" w:color="auto" w:sz="4" w:space="0"/>
              <w:right w:val="single" w:color="000000" w:sz="4" w:space="0"/>
            </w:tcBorders>
            <w:noWrap/>
            <w:vAlign w:val="center"/>
          </w:tcPr>
          <w:p>
            <w:pPr>
              <w:keepNext w:val="0"/>
              <w:keepLines w:val="0"/>
              <w:pageBreakBefore w:val="0"/>
              <w:widowControl/>
              <w:kinsoku/>
              <w:wordWrap/>
              <w:overflowPunct/>
              <w:topLinePunct w:val="0"/>
              <w:autoSpaceDN/>
              <w:bidi w:val="0"/>
              <w:adjustRightInd/>
              <w:snapToGrid/>
              <w:spacing w:after="0" w:afterAutospacing="0" w:line="300" w:lineRule="exact"/>
              <w:rPr>
                <w:rFonts w:hint="default" w:ascii="Times New Roman" w:hAnsi="Times New Roman" w:cs="Times New Roman"/>
                <w:color w:val="auto"/>
                <w:sz w:val="20"/>
                <w:szCs w:val="20"/>
              </w:rPr>
            </w:pPr>
          </w:p>
        </w:tc>
        <w:tc>
          <w:tcPr>
            <w:tcW w:w="2443"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default" w:ascii="Times New Roman" w:hAnsi="Times New Roman" w:eastAsia="方正楷体_GBK" w:cs="Times New Roman"/>
                <w:color w:val="auto"/>
                <w:kern w:val="0"/>
                <w:sz w:val="22"/>
                <w:szCs w:val="22"/>
              </w:rPr>
            </w:pPr>
            <w:r>
              <w:rPr>
                <w:rFonts w:hint="eastAsia" w:ascii="Times New Roman" w:hAnsi="Times New Roman" w:eastAsia="方正楷体_GBK" w:cs="Times New Roman"/>
                <w:color w:val="auto"/>
                <w:kern w:val="0"/>
                <w:sz w:val="22"/>
                <w:szCs w:val="22"/>
                <w:lang w:val="en-US" w:eastAsia="zh-CN"/>
              </w:rPr>
              <w:t>开展</w:t>
            </w:r>
            <w:r>
              <w:rPr>
                <w:rFonts w:hint="default" w:ascii="Times New Roman" w:hAnsi="Times New Roman" w:eastAsia="方正楷体_GBK" w:cs="Times New Roman"/>
                <w:color w:val="auto"/>
                <w:kern w:val="0"/>
                <w:sz w:val="22"/>
                <w:szCs w:val="22"/>
              </w:rPr>
              <w:t>粮食流通监督检查</w:t>
            </w:r>
          </w:p>
        </w:tc>
        <w:tc>
          <w:tcPr>
            <w:tcW w:w="132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default" w:ascii="Times New Roman" w:hAnsi="Times New Roman" w:eastAsia="方正楷体_GBK" w:cs="Times New Roman"/>
                <w:color w:val="auto"/>
                <w:kern w:val="0"/>
                <w:sz w:val="22"/>
                <w:szCs w:val="22"/>
              </w:rPr>
            </w:pPr>
            <w:r>
              <w:rPr>
                <w:rFonts w:hint="default" w:ascii="Times New Roman" w:hAnsi="Times New Roman" w:eastAsia="方正楷体_GBK" w:cs="Times New Roman"/>
                <w:color w:val="auto"/>
                <w:kern w:val="0"/>
                <w:sz w:val="18"/>
                <w:szCs w:val="18"/>
              </w:rPr>
              <w:t>≥</w:t>
            </w:r>
          </w:p>
        </w:tc>
        <w:tc>
          <w:tcPr>
            <w:tcW w:w="1092"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default" w:ascii="Times New Roman" w:hAnsi="Times New Roman" w:eastAsia="方正楷体_GBK" w:cs="Times New Roman"/>
                <w:color w:val="auto"/>
                <w:kern w:val="0"/>
                <w:sz w:val="22"/>
                <w:szCs w:val="22"/>
              </w:rPr>
            </w:pPr>
            <w:r>
              <w:rPr>
                <w:rFonts w:hint="default" w:ascii="Times New Roman" w:hAnsi="Times New Roman" w:eastAsia="方正楷体_GBK" w:cs="Times New Roman"/>
                <w:color w:val="auto"/>
                <w:kern w:val="0"/>
                <w:sz w:val="22"/>
                <w:szCs w:val="22"/>
              </w:rPr>
              <w:t>4</w:t>
            </w:r>
          </w:p>
        </w:tc>
        <w:tc>
          <w:tcPr>
            <w:tcW w:w="1400"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ind w:firstLine="220" w:firstLineChars="100"/>
              <w:jc w:val="left"/>
              <w:textAlignment w:val="center"/>
              <w:rPr>
                <w:rFonts w:hint="eastAsia" w:ascii="Times New Roman" w:hAnsi="Times New Roman" w:eastAsia="方正楷体_GBK" w:cs="方正楷体_GBK"/>
                <w:color w:val="auto"/>
                <w:kern w:val="0"/>
                <w:sz w:val="22"/>
                <w:szCs w:val="22"/>
              </w:rPr>
            </w:pPr>
            <w:r>
              <w:rPr>
                <w:rFonts w:hint="eastAsia" w:ascii="Times New Roman" w:hAnsi="Times New Roman" w:eastAsia="方正楷体_GBK" w:cs="方正楷体_GBK"/>
                <w:i w:val="0"/>
                <w:iCs w:val="0"/>
                <w:color w:val="auto"/>
                <w:kern w:val="0"/>
                <w:sz w:val="22"/>
                <w:szCs w:val="22"/>
                <w:u w:val="none"/>
                <w:lang w:val="en-US" w:eastAsia="zh-CN" w:bidi="ar"/>
              </w:rPr>
              <w:t>次/年</w:t>
            </w:r>
          </w:p>
        </w:tc>
        <w:tc>
          <w:tcPr>
            <w:tcW w:w="1108"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default" w:ascii="Times New Roman" w:hAnsi="Times New Roman" w:eastAsia="方正楷体_GBK" w:cs="Times New Roman"/>
                <w:color w:val="auto"/>
                <w:kern w:val="0"/>
                <w:sz w:val="22"/>
                <w:szCs w:val="22"/>
                <w:lang w:val="en-US" w:eastAsia="zh-CN"/>
              </w:rPr>
            </w:pPr>
            <w:r>
              <w:rPr>
                <w:rFonts w:hint="eastAsia" w:ascii="Times New Roman" w:hAnsi="Times New Roman" w:eastAsia="方正楷体_GBK" w:cs="Times New Roman"/>
                <w:color w:val="auto"/>
                <w:kern w:val="0"/>
                <w:sz w:val="22"/>
                <w:szCs w:val="22"/>
                <w:lang w:val="en-US" w:eastAsia="zh-CN"/>
              </w:rPr>
              <w:t>10</w:t>
            </w:r>
          </w:p>
        </w:tc>
        <w:tc>
          <w:tcPr>
            <w:tcW w:w="1516"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default" w:ascii="Times New Roman" w:hAnsi="Times New Roman" w:eastAsia="方正楷体_GBK" w:cs="Times New Roman"/>
                <w:color w:val="auto"/>
                <w:kern w:val="0"/>
                <w:sz w:val="22"/>
                <w:szCs w:val="22"/>
              </w:rPr>
            </w:pPr>
            <w:r>
              <w:rPr>
                <w:rFonts w:hint="default" w:ascii="Times New Roman" w:hAnsi="Times New Roman" w:eastAsia="方正楷体_GBK" w:cs="Times New Roman"/>
                <w:color w:val="auto"/>
                <w:kern w:val="0"/>
                <w:sz w:val="22"/>
                <w:szCs w:val="22"/>
              </w:rPr>
              <w:t>5</w:t>
            </w:r>
          </w:p>
        </w:tc>
        <w:tc>
          <w:tcPr>
            <w:tcW w:w="125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0" w:leftChars="0"/>
              <w:jc w:val="center"/>
              <w:rPr>
                <w:rFonts w:hint="default" w:ascii="Times New Roman" w:hAnsi="Times New Roman" w:eastAsia="方正楷体_GBK" w:cs="Times New Roman"/>
                <w:color w:val="auto"/>
                <w:kern w:val="0"/>
                <w:sz w:val="22"/>
                <w:szCs w:val="22"/>
              </w:rPr>
            </w:pPr>
            <w:r>
              <w:rPr>
                <w:rFonts w:hint="eastAsia" w:ascii="Times New Roman" w:hAnsi="Times New Roman" w:eastAsia="方正楷体_GBK" w:cs="Times New Roman"/>
                <w:color w:val="auto"/>
                <w:kern w:val="0"/>
                <w:sz w:val="22"/>
                <w:szCs w:val="22"/>
                <w:lang w:val="en-US" w:eastAsia="zh-CN"/>
              </w:rPr>
              <w:t>10</w:t>
            </w:r>
          </w:p>
        </w:tc>
        <w:tc>
          <w:tcPr>
            <w:tcW w:w="86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default" w:ascii="Times New Roman" w:hAnsi="Times New Roman" w:eastAsia="方正楷体_GBK" w:cs="Times New Roman"/>
                <w:color w:val="auto"/>
                <w:kern w:val="0"/>
                <w:sz w:val="22"/>
                <w:szCs w:val="22"/>
                <w:lang w:val="en-US" w:eastAsia="zh-CN"/>
              </w:rPr>
            </w:pPr>
          </w:p>
        </w:tc>
        <w:tc>
          <w:tcPr>
            <w:tcW w:w="1196" w:type="dxa"/>
            <w:vMerge w:val="continue"/>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N/>
              <w:bidi w:val="0"/>
              <w:adjustRightInd/>
              <w:snapToGrid/>
              <w:spacing w:after="0" w:afterAutospacing="0" w:line="300" w:lineRule="exact"/>
              <w:rPr>
                <w:rFonts w:hint="default" w:ascii="Times New Roman" w:hAnsi="Times New Roman"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0" w:type="dxa"/>
            <w:vMerge w:val="continue"/>
            <w:tcBorders>
              <w:top w:val="nil"/>
              <w:left w:val="single" w:color="auto"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N/>
              <w:bidi w:val="0"/>
              <w:adjustRightInd/>
              <w:snapToGrid/>
              <w:spacing w:after="0" w:afterAutospacing="0" w:line="300" w:lineRule="exact"/>
              <w:rPr>
                <w:rFonts w:hint="default" w:ascii="Times New Roman" w:hAnsi="Times New Roman" w:cs="Times New Roman"/>
                <w:color w:val="auto"/>
                <w:sz w:val="20"/>
                <w:szCs w:val="20"/>
              </w:rPr>
            </w:pPr>
          </w:p>
        </w:tc>
        <w:tc>
          <w:tcPr>
            <w:tcW w:w="1308" w:type="dxa"/>
            <w:vMerge w:val="continue"/>
            <w:tcBorders>
              <w:top w:val="nil"/>
              <w:left w:val="nil"/>
              <w:bottom w:val="single" w:color="auto" w:sz="4" w:space="0"/>
              <w:right w:val="single" w:color="000000" w:sz="4" w:space="0"/>
            </w:tcBorders>
            <w:noWrap/>
            <w:vAlign w:val="center"/>
          </w:tcPr>
          <w:p>
            <w:pPr>
              <w:keepNext w:val="0"/>
              <w:keepLines w:val="0"/>
              <w:pageBreakBefore w:val="0"/>
              <w:widowControl/>
              <w:kinsoku/>
              <w:wordWrap/>
              <w:overflowPunct/>
              <w:topLinePunct w:val="0"/>
              <w:autoSpaceDN/>
              <w:bidi w:val="0"/>
              <w:adjustRightInd/>
              <w:snapToGrid/>
              <w:spacing w:after="0" w:afterAutospacing="0" w:line="300" w:lineRule="exact"/>
              <w:rPr>
                <w:rFonts w:hint="default" w:ascii="Times New Roman" w:hAnsi="Times New Roman" w:cs="Times New Roman"/>
                <w:color w:val="auto"/>
                <w:sz w:val="20"/>
                <w:szCs w:val="20"/>
              </w:rPr>
            </w:pPr>
          </w:p>
        </w:tc>
        <w:tc>
          <w:tcPr>
            <w:tcW w:w="2443"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default" w:ascii="Times New Roman" w:hAnsi="Times New Roman" w:eastAsia="方正楷体_GBK" w:cs="Times New Roman"/>
                <w:color w:val="auto"/>
                <w:kern w:val="0"/>
                <w:sz w:val="22"/>
                <w:szCs w:val="22"/>
                <w:lang w:val="en-US" w:eastAsia="zh-CN"/>
              </w:rPr>
            </w:pPr>
            <w:r>
              <w:rPr>
                <w:rFonts w:hint="eastAsia" w:ascii="Times New Roman" w:hAnsi="Times New Roman" w:eastAsia="方正楷体_GBK" w:cs="Times New Roman"/>
                <w:color w:val="auto"/>
                <w:kern w:val="0"/>
                <w:sz w:val="22"/>
                <w:szCs w:val="22"/>
                <w:lang w:val="en-US" w:eastAsia="zh-CN"/>
              </w:rPr>
              <w:t>重大涉粮案件</w:t>
            </w:r>
          </w:p>
        </w:tc>
        <w:tc>
          <w:tcPr>
            <w:tcW w:w="132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eastAsia" w:ascii="Times New Roman" w:hAnsi="Times New Roman" w:eastAsia="方正楷体_GBK" w:cs="Times New Roman"/>
                <w:color w:val="auto"/>
                <w:kern w:val="0"/>
                <w:sz w:val="22"/>
                <w:szCs w:val="22"/>
                <w:lang w:eastAsia="zh-CN"/>
              </w:rPr>
            </w:pPr>
            <w:r>
              <w:rPr>
                <w:rFonts w:hint="eastAsia" w:ascii="Times New Roman" w:hAnsi="Times New Roman" w:eastAsia="方正楷体_GBK" w:cs="Times New Roman"/>
                <w:color w:val="auto"/>
                <w:kern w:val="0"/>
                <w:sz w:val="18"/>
                <w:szCs w:val="18"/>
                <w:lang w:val="en-US" w:eastAsia="zh-CN"/>
              </w:rPr>
              <w:t>=</w:t>
            </w:r>
          </w:p>
        </w:tc>
        <w:tc>
          <w:tcPr>
            <w:tcW w:w="1092"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eastAsia" w:ascii="Times New Roman" w:hAnsi="Times New Roman" w:eastAsia="方正楷体_GBK" w:cs="Times New Roman"/>
                <w:color w:val="auto"/>
                <w:kern w:val="0"/>
                <w:sz w:val="22"/>
                <w:szCs w:val="22"/>
                <w:lang w:eastAsia="zh-CN"/>
              </w:rPr>
            </w:pPr>
            <w:r>
              <w:rPr>
                <w:rFonts w:hint="eastAsia" w:ascii="Times New Roman" w:hAnsi="Times New Roman" w:eastAsia="方正楷体_GBK" w:cs="Times New Roman"/>
                <w:color w:val="auto"/>
                <w:kern w:val="0"/>
                <w:sz w:val="22"/>
                <w:szCs w:val="22"/>
                <w:lang w:val="en-US" w:eastAsia="zh-CN"/>
              </w:rPr>
              <w:t>0</w:t>
            </w:r>
          </w:p>
        </w:tc>
        <w:tc>
          <w:tcPr>
            <w:tcW w:w="140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default" w:ascii="Times New Roman" w:hAnsi="Times New Roman" w:eastAsia="方正楷体_GBK" w:cs="Times New Roman"/>
                <w:color w:val="auto"/>
                <w:kern w:val="0"/>
                <w:sz w:val="22"/>
                <w:szCs w:val="22"/>
              </w:rPr>
            </w:pPr>
            <w:r>
              <w:rPr>
                <w:rFonts w:hint="eastAsia" w:ascii="Times New Roman" w:hAnsi="Times New Roman" w:eastAsia="方正楷体_GBK" w:cs="方正楷体_GBK"/>
                <w:i w:val="0"/>
                <w:iCs w:val="0"/>
                <w:color w:val="auto"/>
                <w:kern w:val="0"/>
                <w:sz w:val="22"/>
                <w:szCs w:val="22"/>
                <w:u w:val="none"/>
                <w:lang w:val="en-US" w:eastAsia="zh-CN" w:bidi="ar"/>
              </w:rPr>
              <w:t>次/年</w:t>
            </w:r>
          </w:p>
        </w:tc>
        <w:tc>
          <w:tcPr>
            <w:tcW w:w="1108"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default" w:ascii="Times New Roman" w:hAnsi="Times New Roman" w:eastAsia="方正楷体_GBK" w:cs="Times New Roman"/>
                <w:color w:val="auto"/>
                <w:kern w:val="0"/>
                <w:sz w:val="22"/>
                <w:szCs w:val="22"/>
                <w:lang w:val="en-US" w:eastAsia="zh-CN"/>
              </w:rPr>
            </w:pPr>
            <w:r>
              <w:rPr>
                <w:rFonts w:hint="eastAsia" w:ascii="Times New Roman" w:hAnsi="Times New Roman" w:eastAsia="方正楷体_GBK" w:cs="Times New Roman"/>
                <w:color w:val="auto"/>
                <w:kern w:val="0"/>
                <w:sz w:val="22"/>
                <w:szCs w:val="22"/>
                <w:lang w:val="en-US" w:eastAsia="zh-CN"/>
              </w:rPr>
              <w:t>30</w:t>
            </w:r>
          </w:p>
        </w:tc>
        <w:tc>
          <w:tcPr>
            <w:tcW w:w="1516"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eastAsia" w:ascii="Times New Roman" w:hAnsi="Times New Roman" w:eastAsia="方正楷体_GBK" w:cs="Times New Roman"/>
                <w:color w:val="auto"/>
                <w:kern w:val="0"/>
                <w:sz w:val="22"/>
                <w:szCs w:val="22"/>
                <w:lang w:eastAsia="zh-CN"/>
              </w:rPr>
            </w:pPr>
            <w:r>
              <w:rPr>
                <w:rFonts w:hint="default" w:ascii="Times New Roman" w:hAnsi="Times New Roman" w:eastAsia="方正楷体_GBK" w:cs="Times New Roman"/>
                <w:color w:val="auto"/>
                <w:kern w:val="0"/>
                <w:sz w:val="22"/>
                <w:szCs w:val="22"/>
              </w:rPr>
              <w:t>3</w:t>
            </w:r>
            <w:r>
              <w:rPr>
                <w:rFonts w:hint="eastAsia" w:ascii="Times New Roman" w:hAnsi="Times New Roman" w:eastAsia="方正楷体_GBK" w:cs="Times New Roman"/>
                <w:color w:val="auto"/>
                <w:kern w:val="0"/>
                <w:sz w:val="22"/>
                <w:szCs w:val="22"/>
                <w:lang w:val="en-US" w:eastAsia="zh-CN"/>
              </w:rPr>
              <w:t>7</w:t>
            </w:r>
          </w:p>
        </w:tc>
        <w:tc>
          <w:tcPr>
            <w:tcW w:w="125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0" w:leftChars="0"/>
              <w:jc w:val="center"/>
              <w:rPr>
                <w:rFonts w:hint="default" w:ascii="Times New Roman" w:hAnsi="Times New Roman" w:eastAsia="方正楷体_GBK" w:cs="Times New Roman"/>
                <w:color w:val="auto"/>
                <w:kern w:val="0"/>
                <w:sz w:val="22"/>
                <w:szCs w:val="22"/>
              </w:rPr>
            </w:pPr>
            <w:r>
              <w:rPr>
                <w:rFonts w:hint="eastAsia" w:ascii="Times New Roman" w:hAnsi="Times New Roman" w:eastAsia="方正楷体_GBK" w:cs="Times New Roman"/>
                <w:color w:val="auto"/>
                <w:kern w:val="0"/>
                <w:sz w:val="22"/>
                <w:szCs w:val="22"/>
                <w:lang w:val="en-US" w:eastAsia="zh-CN"/>
              </w:rPr>
              <w:t>30</w:t>
            </w:r>
          </w:p>
        </w:tc>
        <w:tc>
          <w:tcPr>
            <w:tcW w:w="86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default" w:ascii="Times New Roman" w:hAnsi="Times New Roman" w:eastAsia="方正楷体_GBK" w:cs="Times New Roman"/>
                <w:color w:val="auto"/>
                <w:kern w:val="0"/>
                <w:sz w:val="22"/>
                <w:szCs w:val="22"/>
                <w:lang w:val="en-US" w:eastAsia="zh-CN"/>
              </w:rPr>
            </w:pPr>
          </w:p>
        </w:tc>
        <w:tc>
          <w:tcPr>
            <w:tcW w:w="1196" w:type="dxa"/>
            <w:vMerge w:val="continue"/>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N/>
              <w:bidi w:val="0"/>
              <w:adjustRightInd/>
              <w:snapToGrid/>
              <w:spacing w:after="0" w:afterAutospacing="0" w:line="300" w:lineRule="exact"/>
              <w:rPr>
                <w:rFonts w:hint="default" w:ascii="Times New Roman" w:hAnsi="Times New Roman"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0" w:type="dxa"/>
            <w:vMerge w:val="continue"/>
            <w:tcBorders>
              <w:top w:val="nil"/>
              <w:left w:val="single" w:color="auto"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N/>
              <w:bidi w:val="0"/>
              <w:adjustRightInd/>
              <w:snapToGrid/>
              <w:spacing w:after="0" w:afterAutospacing="0" w:line="300" w:lineRule="exact"/>
              <w:rPr>
                <w:rFonts w:hint="default" w:ascii="Times New Roman" w:hAnsi="Times New Roman" w:cs="Times New Roman"/>
                <w:color w:val="auto"/>
                <w:sz w:val="20"/>
                <w:szCs w:val="20"/>
              </w:rPr>
            </w:pPr>
          </w:p>
        </w:tc>
        <w:tc>
          <w:tcPr>
            <w:tcW w:w="1308" w:type="dxa"/>
            <w:vMerge w:val="continue"/>
            <w:tcBorders>
              <w:top w:val="nil"/>
              <w:left w:val="nil"/>
              <w:bottom w:val="single" w:color="auto" w:sz="4" w:space="0"/>
              <w:right w:val="single" w:color="000000" w:sz="4" w:space="0"/>
            </w:tcBorders>
            <w:noWrap/>
            <w:vAlign w:val="center"/>
          </w:tcPr>
          <w:p>
            <w:pPr>
              <w:keepNext w:val="0"/>
              <w:keepLines w:val="0"/>
              <w:pageBreakBefore w:val="0"/>
              <w:widowControl/>
              <w:kinsoku/>
              <w:wordWrap/>
              <w:overflowPunct/>
              <w:topLinePunct w:val="0"/>
              <w:autoSpaceDN/>
              <w:bidi w:val="0"/>
              <w:adjustRightInd/>
              <w:snapToGrid/>
              <w:spacing w:after="0" w:afterAutospacing="0" w:line="300" w:lineRule="exact"/>
              <w:rPr>
                <w:rFonts w:hint="default" w:ascii="Times New Roman" w:hAnsi="Times New Roman" w:cs="Times New Roman"/>
                <w:color w:val="auto"/>
                <w:sz w:val="20"/>
                <w:szCs w:val="20"/>
              </w:rPr>
            </w:pPr>
          </w:p>
        </w:tc>
        <w:tc>
          <w:tcPr>
            <w:tcW w:w="2443"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default" w:ascii="Times New Roman" w:hAnsi="Times New Roman" w:eastAsia="方正楷体_GBK" w:cs="Times New Roman"/>
                <w:color w:val="auto"/>
                <w:kern w:val="0"/>
                <w:sz w:val="22"/>
                <w:szCs w:val="22"/>
              </w:rPr>
            </w:pPr>
            <w:r>
              <w:rPr>
                <w:rFonts w:hint="eastAsia" w:ascii="Times New Roman" w:hAnsi="Times New Roman" w:eastAsia="方正楷体_GBK" w:cs="Times New Roman"/>
                <w:color w:val="auto"/>
                <w:kern w:val="0"/>
                <w:sz w:val="22"/>
                <w:szCs w:val="22"/>
                <w:lang w:val="en-US" w:eastAsia="zh-CN"/>
              </w:rPr>
              <w:t>开展</w:t>
            </w:r>
            <w:r>
              <w:rPr>
                <w:rFonts w:hint="default" w:ascii="Times New Roman" w:hAnsi="Times New Roman" w:eastAsia="方正楷体_GBK" w:cs="Times New Roman"/>
                <w:color w:val="auto"/>
                <w:kern w:val="0"/>
                <w:sz w:val="22"/>
                <w:szCs w:val="22"/>
              </w:rPr>
              <w:t>统计培训</w:t>
            </w:r>
          </w:p>
        </w:tc>
        <w:tc>
          <w:tcPr>
            <w:tcW w:w="132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default" w:ascii="Times New Roman" w:hAnsi="Times New Roman" w:eastAsia="方正楷体_GBK" w:cs="Times New Roman"/>
                <w:color w:val="auto"/>
                <w:kern w:val="0"/>
                <w:sz w:val="22"/>
                <w:szCs w:val="22"/>
              </w:rPr>
            </w:pPr>
            <w:r>
              <w:rPr>
                <w:rFonts w:hint="default" w:ascii="Times New Roman" w:hAnsi="Times New Roman" w:eastAsia="方正楷体_GBK" w:cs="Times New Roman"/>
                <w:color w:val="auto"/>
                <w:kern w:val="0"/>
                <w:sz w:val="18"/>
                <w:szCs w:val="18"/>
              </w:rPr>
              <w:t>≥</w:t>
            </w:r>
          </w:p>
        </w:tc>
        <w:tc>
          <w:tcPr>
            <w:tcW w:w="1092"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default" w:ascii="Times New Roman" w:hAnsi="Times New Roman" w:eastAsia="方正楷体_GBK" w:cs="Times New Roman"/>
                <w:color w:val="auto"/>
                <w:kern w:val="0"/>
                <w:sz w:val="22"/>
                <w:szCs w:val="22"/>
              </w:rPr>
            </w:pPr>
            <w:r>
              <w:rPr>
                <w:rFonts w:hint="default" w:ascii="Times New Roman" w:hAnsi="Times New Roman" w:eastAsia="方正楷体_GBK" w:cs="Times New Roman"/>
                <w:color w:val="auto"/>
                <w:kern w:val="0"/>
                <w:sz w:val="22"/>
                <w:szCs w:val="22"/>
              </w:rPr>
              <w:t>25</w:t>
            </w:r>
          </w:p>
        </w:tc>
        <w:tc>
          <w:tcPr>
            <w:tcW w:w="140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default" w:ascii="Times New Roman" w:hAnsi="Times New Roman" w:eastAsia="方正楷体_GBK" w:cs="Times New Roman"/>
                <w:color w:val="auto"/>
                <w:kern w:val="0"/>
                <w:sz w:val="22"/>
                <w:szCs w:val="22"/>
              </w:rPr>
            </w:pPr>
            <w:r>
              <w:rPr>
                <w:rFonts w:hint="default" w:ascii="Times New Roman" w:hAnsi="Times New Roman" w:eastAsia="方正楷体_GBK" w:cs="Times New Roman"/>
                <w:color w:val="auto"/>
                <w:kern w:val="0"/>
                <w:sz w:val="22"/>
                <w:szCs w:val="22"/>
              </w:rPr>
              <w:t>人次</w:t>
            </w:r>
          </w:p>
        </w:tc>
        <w:tc>
          <w:tcPr>
            <w:tcW w:w="1108"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default" w:ascii="Times New Roman" w:hAnsi="Times New Roman" w:eastAsia="方正楷体_GBK" w:cs="Times New Roman"/>
                <w:color w:val="auto"/>
                <w:kern w:val="0"/>
                <w:sz w:val="22"/>
                <w:szCs w:val="22"/>
              </w:rPr>
            </w:pPr>
            <w:r>
              <w:rPr>
                <w:rFonts w:hint="default" w:ascii="Times New Roman" w:hAnsi="Times New Roman" w:eastAsia="方正楷体_GBK" w:cs="Times New Roman"/>
                <w:color w:val="auto"/>
                <w:kern w:val="0"/>
                <w:sz w:val="22"/>
                <w:szCs w:val="22"/>
              </w:rPr>
              <w:t>10</w:t>
            </w:r>
          </w:p>
        </w:tc>
        <w:tc>
          <w:tcPr>
            <w:tcW w:w="1516"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default" w:ascii="Times New Roman" w:hAnsi="Times New Roman" w:eastAsia="方正楷体_GBK" w:cs="Times New Roman"/>
                <w:color w:val="auto"/>
                <w:kern w:val="0"/>
                <w:sz w:val="22"/>
                <w:szCs w:val="22"/>
              </w:rPr>
            </w:pPr>
            <w:r>
              <w:rPr>
                <w:rFonts w:hint="eastAsia" w:ascii="Times New Roman" w:hAnsi="Times New Roman" w:eastAsia="方正楷体_GBK" w:cs="Times New Roman"/>
                <w:color w:val="auto"/>
                <w:kern w:val="0"/>
                <w:sz w:val="22"/>
                <w:szCs w:val="22"/>
                <w:lang w:val="en-US" w:eastAsia="zh-CN"/>
              </w:rPr>
              <w:t>2</w:t>
            </w:r>
            <w:r>
              <w:rPr>
                <w:rFonts w:hint="default" w:ascii="Times New Roman" w:hAnsi="Times New Roman" w:eastAsia="方正楷体_GBK" w:cs="Times New Roman"/>
                <w:color w:val="auto"/>
                <w:kern w:val="0"/>
                <w:sz w:val="22"/>
                <w:szCs w:val="22"/>
              </w:rPr>
              <w:t>7</w:t>
            </w:r>
          </w:p>
        </w:tc>
        <w:tc>
          <w:tcPr>
            <w:tcW w:w="125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0" w:leftChars="0"/>
              <w:jc w:val="center"/>
              <w:rPr>
                <w:rFonts w:hint="default" w:ascii="Times New Roman" w:hAnsi="Times New Roman" w:eastAsia="方正楷体_GBK" w:cs="Times New Roman"/>
                <w:color w:val="auto"/>
                <w:kern w:val="0"/>
                <w:sz w:val="22"/>
                <w:szCs w:val="22"/>
              </w:rPr>
            </w:pPr>
            <w:r>
              <w:rPr>
                <w:rFonts w:hint="default" w:ascii="Times New Roman" w:hAnsi="Times New Roman" w:eastAsia="方正楷体_GBK" w:cs="Times New Roman"/>
                <w:color w:val="auto"/>
                <w:kern w:val="0"/>
                <w:sz w:val="22"/>
                <w:szCs w:val="22"/>
              </w:rPr>
              <w:t>10</w:t>
            </w:r>
          </w:p>
        </w:tc>
        <w:tc>
          <w:tcPr>
            <w:tcW w:w="86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default" w:ascii="Times New Roman" w:hAnsi="Times New Roman" w:eastAsia="方正楷体_GBK" w:cs="Times New Roman"/>
                <w:color w:val="auto"/>
                <w:kern w:val="0"/>
                <w:sz w:val="22"/>
                <w:szCs w:val="22"/>
                <w:lang w:val="en-US" w:eastAsia="zh-CN"/>
              </w:rPr>
            </w:pPr>
          </w:p>
        </w:tc>
        <w:tc>
          <w:tcPr>
            <w:tcW w:w="1196" w:type="dxa"/>
            <w:vMerge w:val="continue"/>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N/>
              <w:bidi w:val="0"/>
              <w:adjustRightInd/>
              <w:snapToGrid/>
              <w:spacing w:after="0" w:afterAutospacing="0" w:line="300" w:lineRule="exact"/>
              <w:rPr>
                <w:rFonts w:hint="default" w:ascii="Times New Roman" w:hAnsi="Times New Roman"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0" w:type="dxa"/>
            <w:vMerge w:val="continue"/>
            <w:tcBorders>
              <w:top w:val="nil"/>
              <w:left w:val="single" w:color="auto"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N/>
              <w:bidi w:val="0"/>
              <w:adjustRightInd/>
              <w:snapToGrid/>
              <w:spacing w:after="0" w:afterAutospacing="0" w:line="300" w:lineRule="exact"/>
              <w:rPr>
                <w:rFonts w:hint="default" w:ascii="Times New Roman" w:hAnsi="Times New Roman" w:cs="Times New Roman"/>
                <w:color w:val="auto"/>
                <w:sz w:val="20"/>
                <w:szCs w:val="20"/>
              </w:rPr>
            </w:pPr>
          </w:p>
        </w:tc>
        <w:tc>
          <w:tcPr>
            <w:tcW w:w="1308" w:type="dxa"/>
            <w:vMerge w:val="continue"/>
            <w:tcBorders>
              <w:top w:val="nil"/>
              <w:left w:val="nil"/>
              <w:bottom w:val="single" w:color="auto" w:sz="4" w:space="0"/>
              <w:right w:val="single" w:color="000000" w:sz="4" w:space="0"/>
            </w:tcBorders>
            <w:noWrap/>
            <w:vAlign w:val="center"/>
          </w:tcPr>
          <w:p>
            <w:pPr>
              <w:keepNext w:val="0"/>
              <w:keepLines w:val="0"/>
              <w:pageBreakBefore w:val="0"/>
              <w:widowControl/>
              <w:kinsoku/>
              <w:wordWrap/>
              <w:overflowPunct/>
              <w:topLinePunct w:val="0"/>
              <w:autoSpaceDN/>
              <w:bidi w:val="0"/>
              <w:adjustRightInd/>
              <w:snapToGrid/>
              <w:spacing w:after="0" w:afterAutospacing="0" w:line="300" w:lineRule="exact"/>
              <w:rPr>
                <w:rFonts w:hint="default" w:ascii="Times New Roman" w:hAnsi="Times New Roman" w:cs="Times New Roman"/>
                <w:color w:val="auto"/>
                <w:sz w:val="20"/>
                <w:szCs w:val="20"/>
              </w:rPr>
            </w:pPr>
          </w:p>
        </w:tc>
        <w:tc>
          <w:tcPr>
            <w:tcW w:w="2443" w:type="dxa"/>
            <w:tcBorders>
              <w:top w:val="single" w:color="000000" w:sz="4" w:space="0"/>
              <w:left w:val="nil"/>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default" w:ascii="Times New Roman" w:hAnsi="Times New Roman" w:eastAsia="方正楷体_GBK" w:cs="Times New Roman"/>
                <w:color w:val="auto"/>
                <w:kern w:val="0"/>
                <w:sz w:val="22"/>
                <w:szCs w:val="22"/>
              </w:rPr>
            </w:pPr>
            <w:r>
              <w:rPr>
                <w:rFonts w:hint="default" w:ascii="Times New Roman" w:hAnsi="Times New Roman" w:eastAsia="方正楷体_GBK" w:cs="Times New Roman"/>
                <w:color w:val="auto"/>
                <w:kern w:val="0"/>
                <w:sz w:val="22"/>
                <w:szCs w:val="22"/>
              </w:rPr>
              <w:t>管理制度执行率</w:t>
            </w:r>
          </w:p>
        </w:tc>
        <w:tc>
          <w:tcPr>
            <w:tcW w:w="1320" w:type="dxa"/>
            <w:tcBorders>
              <w:top w:val="single" w:color="000000" w:sz="4" w:space="0"/>
              <w:left w:val="nil"/>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default" w:ascii="Times New Roman" w:hAnsi="Times New Roman" w:eastAsia="方正楷体_GBK" w:cs="Times New Roman"/>
                <w:color w:val="auto"/>
                <w:kern w:val="0"/>
                <w:sz w:val="22"/>
                <w:szCs w:val="22"/>
              </w:rPr>
            </w:pPr>
            <w:r>
              <w:rPr>
                <w:rFonts w:hint="default" w:ascii="Times New Roman" w:hAnsi="Times New Roman" w:eastAsia="方正楷体_GBK" w:cs="Times New Roman"/>
                <w:color w:val="auto"/>
                <w:kern w:val="0"/>
                <w:sz w:val="22"/>
                <w:szCs w:val="22"/>
              </w:rPr>
              <w:t>=</w:t>
            </w:r>
          </w:p>
        </w:tc>
        <w:tc>
          <w:tcPr>
            <w:tcW w:w="1092" w:type="dxa"/>
            <w:tcBorders>
              <w:top w:val="single" w:color="000000" w:sz="4" w:space="0"/>
              <w:left w:val="nil"/>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default" w:ascii="Times New Roman" w:hAnsi="Times New Roman" w:eastAsia="方正楷体_GBK" w:cs="Times New Roman"/>
                <w:color w:val="auto"/>
                <w:kern w:val="0"/>
                <w:sz w:val="22"/>
                <w:szCs w:val="22"/>
              </w:rPr>
            </w:pPr>
            <w:r>
              <w:rPr>
                <w:rFonts w:hint="default" w:ascii="Times New Roman" w:hAnsi="Times New Roman" w:eastAsia="方正楷体_GBK" w:cs="Times New Roman"/>
                <w:color w:val="auto"/>
                <w:kern w:val="0"/>
                <w:sz w:val="22"/>
                <w:szCs w:val="22"/>
              </w:rPr>
              <w:t>100</w:t>
            </w:r>
          </w:p>
        </w:tc>
        <w:tc>
          <w:tcPr>
            <w:tcW w:w="1400" w:type="dxa"/>
            <w:tcBorders>
              <w:top w:val="single" w:color="000000" w:sz="4" w:space="0"/>
              <w:left w:val="nil"/>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default" w:ascii="Times New Roman" w:hAnsi="Times New Roman" w:eastAsia="方正楷体_GBK" w:cs="Times New Roman"/>
                <w:color w:val="auto"/>
                <w:kern w:val="0"/>
                <w:sz w:val="22"/>
                <w:szCs w:val="22"/>
              </w:rPr>
            </w:pPr>
            <w:r>
              <w:rPr>
                <w:rFonts w:hint="default" w:ascii="Times New Roman" w:hAnsi="Times New Roman" w:eastAsia="方正楷体_GBK" w:cs="Times New Roman"/>
                <w:color w:val="auto"/>
                <w:kern w:val="0"/>
                <w:sz w:val="22"/>
                <w:szCs w:val="22"/>
              </w:rPr>
              <w:t>%</w:t>
            </w:r>
          </w:p>
        </w:tc>
        <w:tc>
          <w:tcPr>
            <w:tcW w:w="1108" w:type="dxa"/>
            <w:tcBorders>
              <w:top w:val="single" w:color="000000" w:sz="4" w:space="0"/>
              <w:left w:val="nil"/>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eastAsia" w:ascii="Times New Roman" w:hAnsi="Times New Roman" w:eastAsia="方正楷体_GBK" w:cs="Times New Roman"/>
                <w:color w:val="auto"/>
                <w:kern w:val="0"/>
                <w:sz w:val="22"/>
                <w:szCs w:val="22"/>
                <w:lang w:eastAsia="zh-CN"/>
              </w:rPr>
            </w:pPr>
            <w:r>
              <w:rPr>
                <w:rFonts w:hint="default" w:ascii="Times New Roman" w:hAnsi="Times New Roman" w:eastAsia="方正楷体_GBK" w:cs="Times New Roman"/>
                <w:color w:val="auto"/>
                <w:kern w:val="0"/>
                <w:sz w:val="22"/>
                <w:szCs w:val="22"/>
              </w:rPr>
              <w:t>1</w:t>
            </w:r>
            <w:r>
              <w:rPr>
                <w:rFonts w:hint="eastAsia" w:ascii="Times New Roman" w:hAnsi="Times New Roman" w:eastAsia="方正楷体_GBK" w:cs="Times New Roman"/>
                <w:color w:val="auto"/>
                <w:kern w:val="0"/>
                <w:sz w:val="22"/>
                <w:szCs w:val="22"/>
                <w:lang w:val="en-US" w:eastAsia="zh-CN"/>
              </w:rPr>
              <w:t>5</w:t>
            </w:r>
          </w:p>
        </w:tc>
        <w:tc>
          <w:tcPr>
            <w:tcW w:w="1516" w:type="dxa"/>
            <w:tcBorders>
              <w:top w:val="single" w:color="000000" w:sz="4" w:space="0"/>
              <w:left w:val="nil"/>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default" w:ascii="Times New Roman" w:hAnsi="Times New Roman" w:eastAsia="方正楷体_GBK" w:cs="Times New Roman"/>
                <w:color w:val="auto"/>
                <w:kern w:val="0"/>
                <w:sz w:val="22"/>
                <w:szCs w:val="22"/>
              </w:rPr>
            </w:pPr>
            <w:r>
              <w:rPr>
                <w:rFonts w:hint="default" w:ascii="Times New Roman" w:hAnsi="Times New Roman" w:eastAsia="方正楷体_GBK" w:cs="Times New Roman"/>
                <w:color w:val="auto"/>
                <w:kern w:val="0"/>
                <w:sz w:val="22"/>
                <w:szCs w:val="22"/>
              </w:rPr>
              <w:t>100</w:t>
            </w:r>
          </w:p>
        </w:tc>
        <w:tc>
          <w:tcPr>
            <w:tcW w:w="1254" w:type="dxa"/>
            <w:tcBorders>
              <w:top w:val="single" w:color="000000" w:sz="4" w:space="0"/>
              <w:left w:val="nil"/>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0" w:leftChars="0"/>
              <w:jc w:val="center"/>
              <w:rPr>
                <w:rFonts w:hint="default" w:ascii="Times New Roman" w:hAnsi="Times New Roman" w:eastAsia="方正楷体_GBK" w:cs="Times New Roman"/>
                <w:color w:val="auto"/>
                <w:kern w:val="0"/>
                <w:sz w:val="22"/>
                <w:szCs w:val="22"/>
                <w:lang w:val="en-US" w:eastAsia="zh-CN"/>
              </w:rPr>
            </w:pPr>
            <w:r>
              <w:rPr>
                <w:rFonts w:hint="default" w:ascii="Times New Roman" w:hAnsi="Times New Roman" w:eastAsia="方正楷体_GBK" w:cs="Times New Roman"/>
                <w:color w:val="auto"/>
                <w:kern w:val="0"/>
                <w:sz w:val="22"/>
                <w:szCs w:val="22"/>
              </w:rPr>
              <w:t>1</w:t>
            </w:r>
            <w:r>
              <w:rPr>
                <w:rFonts w:hint="eastAsia" w:ascii="Times New Roman" w:hAnsi="Times New Roman" w:eastAsia="方正楷体_GBK" w:cs="Times New Roman"/>
                <w:color w:val="auto"/>
                <w:kern w:val="0"/>
                <w:sz w:val="22"/>
                <w:szCs w:val="22"/>
                <w:lang w:val="en-US" w:eastAsia="zh-CN"/>
              </w:rPr>
              <w:t>5</w:t>
            </w:r>
          </w:p>
        </w:tc>
        <w:tc>
          <w:tcPr>
            <w:tcW w:w="860" w:type="dxa"/>
            <w:tcBorders>
              <w:top w:val="single" w:color="000000" w:sz="4" w:space="0"/>
              <w:left w:val="nil"/>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default" w:ascii="Times New Roman" w:hAnsi="Times New Roman" w:eastAsia="方正楷体_GBK" w:cs="Times New Roman"/>
                <w:color w:val="auto"/>
                <w:kern w:val="0"/>
                <w:sz w:val="22"/>
                <w:szCs w:val="22"/>
                <w:lang w:val="en-US" w:eastAsia="zh-CN"/>
              </w:rPr>
            </w:pPr>
          </w:p>
        </w:tc>
        <w:tc>
          <w:tcPr>
            <w:tcW w:w="1196" w:type="dxa"/>
            <w:vMerge w:val="continue"/>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N/>
              <w:bidi w:val="0"/>
              <w:adjustRightInd/>
              <w:snapToGrid/>
              <w:spacing w:after="0" w:afterAutospacing="0" w:line="300" w:lineRule="exact"/>
              <w:rPr>
                <w:rFonts w:hint="default" w:ascii="Times New Roman" w:hAnsi="Times New Roman" w:cs="Times New Roman"/>
                <w:color w:val="auto"/>
                <w:sz w:val="20"/>
                <w:szCs w:val="20"/>
              </w:rPr>
            </w:pPr>
          </w:p>
        </w:tc>
      </w:tr>
    </w:tbl>
    <w:p>
      <w:pPr>
        <w:pStyle w:val="13"/>
        <w:keepNext w:val="0"/>
        <w:keepLines w:val="0"/>
        <w:pageBreakBefore w:val="0"/>
        <w:widowControl w:val="0"/>
        <w:kinsoku/>
        <w:overflowPunct/>
        <w:topLinePunct w:val="0"/>
        <w:autoSpaceDE w:val="0"/>
        <w:autoSpaceDN/>
        <w:bidi w:val="0"/>
        <w:adjustRightInd/>
        <w:spacing w:beforeAutospacing="0" w:afterAutospacing="0"/>
        <w:ind w:firstLine="643"/>
        <w:rPr>
          <w:rFonts w:hint="default" w:ascii="Times New Roman" w:hAnsi="Times New Roman" w:eastAsia="楷体" w:cs="Times New Roman"/>
          <w:b w:val="0"/>
          <w:bCs w:val="0"/>
          <w:color w:val="auto"/>
          <w:sz w:val="32"/>
          <w:szCs w:val="32"/>
          <w:shd w:val="clear" w:color="auto" w:fill="FFFFFF"/>
        </w:rPr>
        <w:sectPr>
          <w:headerReference r:id="rId4" w:type="default"/>
          <w:footerReference r:id="rId5" w:type="default"/>
          <w:pgSz w:w="16783" w:h="11850" w:orient="landscape"/>
          <w:pgMar w:top="567" w:right="1037" w:bottom="567" w:left="1037" w:header="0" w:footer="283" w:gutter="0"/>
          <w:pgNumType w:fmt="decimal"/>
          <w:cols w:space="720" w:num="1"/>
          <w:docGrid w:type="lines" w:linePitch="326" w:charSpace="0"/>
        </w:sectPr>
      </w:pPr>
    </w:p>
    <w:p>
      <w:pPr>
        <w:pStyle w:val="13"/>
        <w:keepNext w:val="0"/>
        <w:keepLines w:val="0"/>
        <w:pageBreakBefore w:val="0"/>
        <w:widowControl w:val="0"/>
        <w:kinsoku/>
        <w:wordWrap/>
        <w:overflowPunct/>
        <w:topLinePunct w:val="0"/>
        <w:autoSpaceDE w:val="0"/>
        <w:autoSpaceDN/>
        <w:bidi w:val="0"/>
        <w:adjustRightInd/>
        <w:spacing w:beforeAutospacing="0" w:afterAutospacing="0" w:line="600" w:lineRule="exact"/>
        <w:ind w:left="0" w:leftChars="0" w:firstLine="640" w:firstLineChars="200"/>
        <w:textAlignment w:val="auto"/>
        <w:rPr>
          <w:rFonts w:hint="default" w:ascii="Times New Roman" w:hAnsi="Times New Roman" w:eastAsia="方正楷体_GBK" w:cs="Times New Roman"/>
          <w:b w:val="0"/>
          <w:bCs w:val="0"/>
          <w:color w:val="auto"/>
          <w:sz w:val="32"/>
          <w:szCs w:val="32"/>
          <w:shd w:val="clear" w:color="auto" w:fill="FFFFFF"/>
        </w:rPr>
      </w:pPr>
      <w:r>
        <w:rPr>
          <w:rFonts w:hint="default" w:ascii="Times New Roman" w:hAnsi="Times New Roman" w:eastAsia="方正楷体_GBK" w:cs="Times New Roman"/>
          <w:b w:val="0"/>
          <w:bCs w:val="0"/>
          <w:color w:val="auto"/>
          <w:sz w:val="32"/>
          <w:szCs w:val="32"/>
          <w:shd w:val="clear" w:color="auto" w:fill="FFFFFF"/>
          <w:lang w:eastAsia="zh-CN"/>
        </w:rPr>
        <w:t>（</w:t>
      </w:r>
      <w:r>
        <w:rPr>
          <w:rFonts w:hint="default" w:ascii="Times New Roman" w:hAnsi="Times New Roman" w:eastAsia="方正楷体_GBK" w:cs="Times New Roman"/>
          <w:b w:val="0"/>
          <w:bCs w:val="0"/>
          <w:color w:val="auto"/>
          <w:sz w:val="32"/>
          <w:szCs w:val="32"/>
          <w:shd w:val="clear" w:color="auto" w:fill="FFFFFF"/>
        </w:rPr>
        <w:t>二）部门绩效评价情况</w:t>
      </w:r>
    </w:p>
    <w:p>
      <w:pPr>
        <w:pStyle w:val="13"/>
        <w:keepNext w:val="0"/>
        <w:keepLines w:val="0"/>
        <w:pageBreakBefore w:val="0"/>
        <w:widowControl w:val="0"/>
        <w:kinsoku/>
        <w:wordWrap/>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方正仿宋_GBK" w:cs="Times New Roman"/>
          <w:b w:val="0"/>
          <w:bCs w:val="0"/>
          <w:color w:val="auto"/>
          <w:sz w:val="32"/>
          <w:szCs w:val="32"/>
          <w:highlight w:val="none"/>
          <w:shd w:val="clear" w:color="auto" w:fill="FFFFFF"/>
          <w:lang w:val="en-US" w:eastAsia="zh-CN" w:bidi="ar-SA"/>
        </w:rPr>
      </w:pPr>
      <w:r>
        <w:rPr>
          <w:rFonts w:hint="default" w:ascii="Times New Roman" w:hAnsi="Times New Roman" w:eastAsia="方正仿宋_GBK" w:cs="Times New Roman"/>
          <w:b w:val="0"/>
          <w:bCs w:val="0"/>
          <w:color w:val="auto"/>
          <w:sz w:val="32"/>
          <w:szCs w:val="32"/>
          <w:highlight w:val="none"/>
          <w:shd w:val="clear" w:color="auto" w:fill="FFFFFF"/>
          <w:lang w:val="en-US" w:eastAsia="zh-CN" w:bidi="ar-SA"/>
        </w:rPr>
        <w:t>我部门未组织开展绩效评价。</w:t>
      </w:r>
    </w:p>
    <w:p>
      <w:pPr>
        <w:pStyle w:val="13"/>
        <w:keepNext w:val="0"/>
        <w:keepLines w:val="0"/>
        <w:pageBreakBefore w:val="0"/>
        <w:widowControl w:val="0"/>
        <w:kinsoku/>
        <w:wordWrap/>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方正楷体_GBK" w:cs="Times New Roman"/>
          <w:b w:val="0"/>
          <w:bCs w:val="0"/>
          <w:color w:val="auto"/>
          <w:sz w:val="32"/>
          <w:szCs w:val="32"/>
          <w:highlight w:val="none"/>
          <w:shd w:val="clear" w:color="auto" w:fill="FFFFFF"/>
        </w:rPr>
      </w:pPr>
      <w:r>
        <w:rPr>
          <w:rFonts w:hint="default" w:ascii="Times New Roman" w:hAnsi="Times New Roman" w:eastAsia="方正楷体_GBK" w:cs="Times New Roman"/>
          <w:b w:val="0"/>
          <w:bCs w:val="0"/>
          <w:color w:val="auto"/>
          <w:sz w:val="32"/>
          <w:szCs w:val="32"/>
          <w:highlight w:val="none"/>
          <w:shd w:val="clear" w:color="auto" w:fill="FFFFFF"/>
        </w:rPr>
        <w:t>（三）财政绩效评价情况</w:t>
      </w:r>
    </w:p>
    <w:p>
      <w:pPr>
        <w:pStyle w:val="13"/>
        <w:keepNext w:val="0"/>
        <w:keepLines w:val="0"/>
        <w:pageBreakBefore w:val="0"/>
        <w:widowControl w:val="0"/>
        <w:kinsoku/>
        <w:wordWrap/>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方正仿宋_GBK" w:cs="Times New Roman"/>
          <w:b w:val="0"/>
          <w:bCs w:val="0"/>
          <w:color w:val="auto"/>
          <w:sz w:val="32"/>
          <w:szCs w:val="32"/>
          <w:highlight w:val="none"/>
          <w:shd w:val="clear" w:color="auto" w:fill="FFFFFF"/>
          <w:lang w:val="en-US" w:eastAsia="zh-CN" w:bidi="ar-SA"/>
        </w:rPr>
      </w:pPr>
      <w:r>
        <w:rPr>
          <w:rFonts w:hint="default" w:ascii="Times New Roman" w:hAnsi="Times New Roman" w:eastAsia="方正仿宋_GBK" w:cs="Times New Roman"/>
          <w:b w:val="0"/>
          <w:bCs w:val="0"/>
          <w:color w:val="auto"/>
          <w:sz w:val="32"/>
          <w:szCs w:val="32"/>
          <w:highlight w:val="none"/>
          <w:shd w:val="clear" w:color="auto" w:fill="FFFFFF"/>
          <w:lang w:val="en-US" w:eastAsia="zh-CN" w:bidi="ar-SA"/>
        </w:rPr>
        <w:t>区财政局未委托第三方对我部门开展绩效评价。</w:t>
      </w:r>
    </w:p>
    <w:p>
      <w:pPr>
        <w:pStyle w:val="13"/>
        <w:widowControl w:val="0"/>
        <w:autoSpaceDE w:val="0"/>
        <w:spacing w:line="600" w:lineRule="exact"/>
        <w:ind w:firstLine="640" w:firstLineChars="200"/>
        <w:rPr>
          <w:rStyle w:val="12"/>
          <w:rFonts w:hint="default" w:ascii="Times New Roman" w:hAnsi="Times New Roman" w:eastAsia="方正仿宋_GBK" w:cs="Times New Roman"/>
          <w:b w:val="0"/>
          <w:bCs w:val="0"/>
          <w:color w:val="auto"/>
          <w:sz w:val="32"/>
          <w:szCs w:val="32"/>
          <w:highlight w:val="none"/>
          <w:shd w:val="clear" w:color="auto" w:fill="FFFFFF"/>
        </w:rPr>
      </w:pPr>
      <w:r>
        <w:rPr>
          <w:rStyle w:val="12"/>
          <w:rFonts w:hint="default" w:ascii="Times New Roman" w:hAnsi="Times New Roman" w:eastAsia="方正仿宋_GBK" w:cs="Times New Roman"/>
          <w:b w:val="0"/>
          <w:bCs w:val="0"/>
          <w:color w:val="auto"/>
          <w:sz w:val="32"/>
          <w:szCs w:val="32"/>
          <w:highlight w:val="none"/>
          <w:shd w:val="clear" w:color="auto" w:fill="FFFFFF"/>
        </w:rPr>
        <w:t xml:space="preserve">  </w:t>
      </w:r>
      <w:r>
        <w:rPr>
          <w:rStyle w:val="12"/>
          <w:rFonts w:hint="default" w:ascii="Times New Roman" w:hAnsi="Times New Roman" w:eastAsia="方正黑体_GBK" w:cs="Times New Roman"/>
          <w:b w:val="0"/>
          <w:bCs w:val="0"/>
          <w:color w:val="auto"/>
          <w:sz w:val="32"/>
          <w:szCs w:val="32"/>
          <w:highlight w:val="none"/>
          <w:shd w:val="clear" w:color="auto" w:fill="FFFFFF"/>
        </w:rPr>
        <w:t>六、专业名词解释</w:t>
      </w:r>
    </w:p>
    <w:p>
      <w:pPr>
        <w:pStyle w:val="8"/>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highlight w:val="none"/>
          <w:shd w:val="clear" w:color="auto" w:fill="FFFFFF"/>
        </w:rPr>
        <w:t>以下为常见专业名词解释目录，仅供参考，</w:t>
      </w:r>
    </w:p>
    <w:p>
      <w:pPr>
        <w:pStyle w:val="8"/>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shd w:val="clear" w:color="auto" w:fill="FFFFFF"/>
        </w:rPr>
        <w:t> </w:t>
      </w:r>
      <w:r>
        <w:rPr>
          <w:rFonts w:hint="default" w:ascii="Times New Roman" w:hAnsi="Times New Roman" w:eastAsia="方正楷体_GBK" w:cs="Times New Roman"/>
          <w:b w:val="0"/>
          <w:bCs w:val="0"/>
          <w:color w:val="auto"/>
          <w:sz w:val="32"/>
          <w:szCs w:val="32"/>
          <w:highlight w:val="none"/>
          <w:shd w:val="clear" w:color="auto" w:fill="FFFFFF"/>
          <w:lang w:val="en-US" w:eastAsia="zh-CN" w:bidi="ar-SA"/>
        </w:rPr>
        <w:t>（一）财政拨款收入：</w:t>
      </w:r>
      <w:r>
        <w:rPr>
          <w:rFonts w:hint="default" w:ascii="Times New Roman" w:hAnsi="Times New Roman" w:eastAsia="方正仿宋_GBK" w:cs="Times New Roman"/>
          <w:b w:val="0"/>
          <w:bCs w:val="0"/>
          <w:color w:val="auto"/>
          <w:sz w:val="32"/>
          <w:szCs w:val="32"/>
          <w:shd w:val="clear" w:color="auto" w:fill="FFFFFF"/>
        </w:rPr>
        <w:t>指本年度从本级财政部门取得的财政拨款，包括一般公共预算财政拨款和政府性基金预算财政拨款。</w:t>
      </w:r>
    </w:p>
    <w:p>
      <w:pPr>
        <w:pStyle w:val="8"/>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12"/>
          <w:rFonts w:hint="default" w:ascii="Times New Roman" w:hAnsi="Times New Roman" w:eastAsia="方正仿宋_GBK" w:cs="Times New Roman"/>
          <w:b w:val="0"/>
          <w:bCs w:val="0"/>
          <w:color w:val="auto"/>
          <w:sz w:val="32"/>
          <w:szCs w:val="32"/>
          <w:shd w:val="clear" w:color="auto" w:fill="FFFFFF"/>
        </w:rPr>
        <w:t> </w:t>
      </w:r>
      <w:r>
        <w:rPr>
          <w:rFonts w:hint="default" w:ascii="Times New Roman" w:hAnsi="Times New Roman" w:eastAsia="方正楷体_GBK" w:cs="Times New Roman"/>
          <w:b w:val="0"/>
          <w:bCs w:val="0"/>
          <w:color w:val="auto"/>
          <w:sz w:val="32"/>
          <w:szCs w:val="32"/>
          <w:highlight w:val="none"/>
          <w:shd w:val="clear" w:color="auto" w:fill="FFFFFF"/>
          <w:lang w:val="en-US" w:eastAsia="zh-CN" w:bidi="ar-SA"/>
        </w:rPr>
        <w:t>（二）事业收入：</w:t>
      </w:r>
      <w:r>
        <w:rPr>
          <w:rFonts w:hint="default" w:ascii="Times New Roman" w:hAnsi="Times New Roman" w:eastAsia="方正仿宋_GBK" w:cs="Times New Roman"/>
          <w:b w:val="0"/>
          <w:bCs w:val="0"/>
          <w:color w:val="auto"/>
          <w:sz w:val="32"/>
          <w:szCs w:val="32"/>
          <w:shd w:val="clear" w:color="auto" w:fill="FFFFFF"/>
        </w:rPr>
        <w:t>指事业单位开展专业业务活动及其辅助活动取得的现金流入；事业单位收到的财政专户实际核拨的教育收费等资金在此反映。</w:t>
      </w:r>
    </w:p>
    <w:p>
      <w:pPr>
        <w:pStyle w:val="8"/>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12"/>
          <w:rFonts w:hint="default" w:ascii="Times New Roman" w:hAnsi="Times New Roman" w:eastAsia="方正仿宋_GBK" w:cs="Times New Roman"/>
          <w:b w:val="0"/>
          <w:bCs w:val="0"/>
          <w:color w:val="auto"/>
          <w:sz w:val="32"/>
          <w:szCs w:val="32"/>
          <w:shd w:val="clear" w:color="auto" w:fill="FFFFFF"/>
        </w:rPr>
        <w:t> </w:t>
      </w:r>
      <w:r>
        <w:rPr>
          <w:rFonts w:hint="default" w:ascii="Times New Roman" w:hAnsi="Times New Roman" w:eastAsia="方正楷体_GBK" w:cs="Times New Roman"/>
          <w:b w:val="0"/>
          <w:bCs w:val="0"/>
          <w:color w:val="auto"/>
          <w:sz w:val="32"/>
          <w:szCs w:val="32"/>
          <w:highlight w:val="none"/>
          <w:shd w:val="clear" w:color="auto" w:fill="FFFFFF"/>
          <w:lang w:val="en-US" w:eastAsia="zh-CN" w:bidi="ar-SA"/>
        </w:rPr>
        <w:t>（三）经营收入：</w:t>
      </w:r>
      <w:r>
        <w:rPr>
          <w:rFonts w:hint="default" w:ascii="Times New Roman" w:hAnsi="Times New Roman" w:eastAsia="方正仿宋_GBK" w:cs="Times New Roman"/>
          <w:b w:val="0"/>
          <w:bCs w:val="0"/>
          <w:color w:val="auto"/>
          <w:sz w:val="32"/>
          <w:szCs w:val="32"/>
          <w:shd w:val="clear" w:color="auto" w:fill="FFFFFF"/>
        </w:rPr>
        <w:t>指事业单位在专业业务活动及其辅助活动之外开展非独立核算经营活动取得的现金流入。</w:t>
      </w:r>
    </w:p>
    <w:p>
      <w:pPr>
        <w:pStyle w:val="8"/>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12"/>
          <w:rFonts w:hint="default" w:ascii="Times New Roman" w:hAnsi="Times New Roman" w:eastAsia="方正仿宋_GBK" w:cs="Times New Roman"/>
          <w:b w:val="0"/>
          <w:bCs w:val="0"/>
          <w:color w:val="auto"/>
          <w:sz w:val="32"/>
          <w:szCs w:val="32"/>
          <w:shd w:val="clear" w:color="auto" w:fill="FFFFFF"/>
        </w:rPr>
        <w:t> </w:t>
      </w:r>
      <w:r>
        <w:rPr>
          <w:rFonts w:hint="default" w:ascii="Times New Roman" w:hAnsi="Times New Roman" w:eastAsia="方正楷体_GBK" w:cs="Times New Roman"/>
          <w:b w:val="0"/>
          <w:bCs w:val="0"/>
          <w:color w:val="auto"/>
          <w:sz w:val="32"/>
          <w:szCs w:val="32"/>
          <w:highlight w:val="none"/>
          <w:shd w:val="clear" w:color="auto" w:fill="FFFFFF"/>
          <w:lang w:val="en-US" w:eastAsia="zh-CN" w:bidi="ar-SA"/>
        </w:rPr>
        <w:t>（四）其他收入：</w:t>
      </w:r>
      <w:r>
        <w:rPr>
          <w:rFonts w:hint="default" w:ascii="Times New Roman" w:hAnsi="Times New Roman" w:eastAsia="方正仿宋_GBK" w:cs="Times New Roman"/>
          <w:b w:val="0"/>
          <w:bCs w:val="0"/>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8"/>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highlight w:val="none"/>
          <w:shd w:val="clear" w:color="auto" w:fill="FFFFFF"/>
          <w:lang w:val="en-US" w:eastAsia="zh-CN" w:bidi="ar-SA"/>
        </w:rPr>
        <w:t>（五）使用非财政拨款结余：</w:t>
      </w:r>
      <w:r>
        <w:rPr>
          <w:rFonts w:hint="default" w:ascii="Times New Roman" w:hAnsi="Times New Roman" w:eastAsia="方正仿宋_GBK" w:cs="Times New Roman"/>
          <w:b w:val="0"/>
          <w:bCs w:val="0"/>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8"/>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12"/>
          <w:rFonts w:hint="default" w:ascii="Times New Roman" w:hAnsi="Times New Roman" w:eastAsia="方正仿宋_GBK" w:cs="Times New Roman"/>
          <w:b w:val="0"/>
          <w:bCs w:val="0"/>
          <w:color w:val="auto"/>
          <w:sz w:val="32"/>
          <w:szCs w:val="32"/>
          <w:shd w:val="clear" w:color="auto" w:fill="FFFFFF"/>
        </w:rPr>
        <w:t> </w:t>
      </w:r>
      <w:r>
        <w:rPr>
          <w:rFonts w:hint="default" w:ascii="Times New Roman" w:hAnsi="Times New Roman" w:eastAsia="方正楷体_GBK" w:cs="Times New Roman"/>
          <w:b w:val="0"/>
          <w:bCs w:val="0"/>
          <w:color w:val="auto"/>
          <w:sz w:val="32"/>
          <w:szCs w:val="32"/>
          <w:highlight w:val="none"/>
          <w:shd w:val="clear" w:color="auto" w:fill="FFFFFF"/>
          <w:lang w:val="en-US" w:eastAsia="zh-CN" w:bidi="ar-SA"/>
        </w:rPr>
        <w:t>（六）年初结转和结余：</w:t>
      </w:r>
      <w:r>
        <w:rPr>
          <w:rFonts w:hint="default" w:ascii="Times New Roman" w:hAnsi="Times New Roman" w:eastAsia="方正仿宋_GBK" w:cs="Times New Roman"/>
          <w:b w:val="0"/>
          <w:bCs w:val="0"/>
          <w:color w:val="auto"/>
          <w:sz w:val="32"/>
          <w:szCs w:val="32"/>
          <w:shd w:val="clear" w:color="auto" w:fill="FFFFFF"/>
        </w:rPr>
        <w:t>指单位上年结转本年使用的基本支出结转、项目支出结转和结余、经营结余。</w:t>
      </w:r>
    </w:p>
    <w:p>
      <w:pPr>
        <w:pStyle w:val="8"/>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12"/>
          <w:rFonts w:hint="default" w:ascii="Times New Roman" w:hAnsi="Times New Roman" w:eastAsia="方正仿宋_GBK" w:cs="Times New Roman"/>
          <w:b w:val="0"/>
          <w:bCs w:val="0"/>
          <w:color w:val="auto"/>
          <w:sz w:val="32"/>
          <w:szCs w:val="32"/>
          <w:shd w:val="clear" w:color="auto" w:fill="FFFFFF"/>
        </w:rPr>
        <w:t> </w:t>
      </w:r>
      <w:r>
        <w:rPr>
          <w:rFonts w:hint="default" w:ascii="Times New Roman" w:hAnsi="Times New Roman" w:eastAsia="方正楷体_GBK" w:cs="Times New Roman"/>
          <w:b w:val="0"/>
          <w:bCs w:val="0"/>
          <w:color w:val="auto"/>
          <w:sz w:val="32"/>
          <w:szCs w:val="32"/>
          <w:highlight w:val="none"/>
          <w:shd w:val="clear" w:color="auto" w:fill="FFFFFF"/>
          <w:lang w:val="en-US" w:eastAsia="zh-CN" w:bidi="ar-SA"/>
        </w:rPr>
        <w:t>（七）结余分配：</w:t>
      </w:r>
      <w:r>
        <w:rPr>
          <w:rFonts w:hint="default" w:ascii="Times New Roman" w:hAnsi="Times New Roman" w:eastAsia="方正仿宋_GBK" w:cs="Times New Roman"/>
          <w:b w:val="0"/>
          <w:bCs w:val="0"/>
          <w:color w:val="auto"/>
          <w:sz w:val="32"/>
          <w:szCs w:val="32"/>
          <w:shd w:val="clear" w:color="auto" w:fill="FFFFFF"/>
        </w:rPr>
        <w:t>指单位按照国家有关规定，缴纳所得税、提取专用基金、转入非财政拨款结余等当年结余的分配情况。</w:t>
      </w:r>
    </w:p>
    <w:p>
      <w:pPr>
        <w:pStyle w:val="8"/>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12"/>
          <w:rFonts w:hint="default" w:ascii="Times New Roman" w:hAnsi="Times New Roman" w:eastAsia="方正仿宋_GBK" w:cs="Times New Roman"/>
          <w:b w:val="0"/>
          <w:bCs w:val="0"/>
          <w:color w:val="auto"/>
          <w:sz w:val="32"/>
          <w:szCs w:val="32"/>
          <w:shd w:val="clear" w:color="auto" w:fill="FFFFFF"/>
        </w:rPr>
        <w:t> </w:t>
      </w:r>
      <w:r>
        <w:rPr>
          <w:rFonts w:hint="default" w:ascii="Times New Roman" w:hAnsi="Times New Roman" w:eastAsia="方正楷体_GBK" w:cs="Times New Roman"/>
          <w:b w:val="0"/>
          <w:bCs w:val="0"/>
          <w:color w:val="auto"/>
          <w:sz w:val="32"/>
          <w:szCs w:val="32"/>
          <w:highlight w:val="none"/>
          <w:shd w:val="clear" w:color="auto" w:fill="FFFFFF"/>
          <w:lang w:val="en-US" w:eastAsia="zh-CN" w:bidi="ar-SA"/>
        </w:rPr>
        <w:t>（八）年末结转和结余：</w:t>
      </w:r>
      <w:r>
        <w:rPr>
          <w:rFonts w:hint="default" w:ascii="Times New Roman" w:hAnsi="Times New Roman" w:eastAsia="方正仿宋_GBK" w:cs="Times New Roman"/>
          <w:b w:val="0"/>
          <w:bCs w:val="0"/>
          <w:color w:val="auto"/>
          <w:sz w:val="32"/>
          <w:szCs w:val="32"/>
          <w:shd w:val="clear" w:color="auto" w:fill="FFFFFF"/>
        </w:rPr>
        <w:t>指单位结转下年的基本支出结转、项目支出结转和结余、经营结余。</w:t>
      </w:r>
    </w:p>
    <w:p>
      <w:pPr>
        <w:pStyle w:val="8"/>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12"/>
          <w:rFonts w:hint="default" w:ascii="Times New Roman" w:hAnsi="Times New Roman" w:eastAsia="方正仿宋_GBK" w:cs="Times New Roman"/>
          <w:b w:val="0"/>
          <w:bCs w:val="0"/>
          <w:color w:val="auto"/>
          <w:sz w:val="32"/>
          <w:szCs w:val="32"/>
          <w:shd w:val="clear" w:color="auto" w:fill="FFFFFF"/>
        </w:rPr>
        <w:t> </w:t>
      </w:r>
      <w:r>
        <w:rPr>
          <w:rFonts w:hint="default" w:ascii="Times New Roman" w:hAnsi="Times New Roman" w:eastAsia="方正楷体_GBK" w:cs="Times New Roman"/>
          <w:b w:val="0"/>
          <w:bCs w:val="0"/>
          <w:color w:val="auto"/>
          <w:sz w:val="32"/>
          <w:szCs w:val="32"/>
          <w:highlight w:val="none"/>
          <w:shd w:val="clear" w:color="auto" w:fill="FFFFFF"/>
          <w:lang w:val="en-US" w:eastAsia="zh-CN" w:bidi="ar-SA"/>
        </w:rPr>
        <w:t>（九）基本支出：</w:t>
      </w:r>
      <w:r>
        <w:rPr>
          <w:rFonts w:hint="default" w:ascii="Times New Roman" w:hAnsi="Times New Roman" w:eastAsia="方正仿宋_GBK" w:cs="Times New Roman"/>
          <w:b w:val="0"/>
          <w:bCs w:val="0"/>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8"/>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12"/>
          <w:rFonts w:hint="default" w:ascii="Times New Roman" w:hAnsi="Times New Roman" w:eastAsia="方正仿宋_GBK" w:cs="Times New Roman"/>
          <w:b w:val="0"/>
          <w:bCs w:val="0"/>
          <w:color w:val="auto"/>
          <w:sz w:val="32"/>
          <w:szCs w:val="32"/>
          <w:shd w:val="clear" w:color="auto" w:fill="FFFFFF"/>
        </w:rPr>
        <w:t> </w:t>
      </w:r>
      <w:r>
        <w:rPr>
          <w:rFonts w:hint="default" w:ascii="Times New Roman" w:hAnsi="Times New Roman" w:eastAsia="方正楷体_GBK" w:cs="Times New Roman"/>
          <w:b w:val="0"/>
          <w:bCs w:val="0"/>
          <w:color w:val="auto"/>
          <w:sz w:val="32"/>
          <w:szCs w:val="32"/>
          <w:highlight w:val="none"/>
          <w:shd w:val="clear" w:color="auto" w:fill="FFFFFF"/>
          <w:lang w:val="en-US" w:eastAsia="zh-CN" w:bidi="ar-SA"/>
        </w:rPr>
        <w:t>（十）项目支出：</w:t>
      </w:r>
      <w:r>
        <w:rPr>
          <w:rFonts w:hint="default" w:ascii="Times New Roman" w:hAnsi="Times New Roman" w:eastAsia="方正仿宋_GBK" w:cs="Times New Roman"/>
          <w:b w:val="0"/>
          <w:bCs w:val="0"/>
          <w:color w:val="auto"/>
          <w:sz w:val="32"/>
          <w:szCs w:val="32"/>
          <w:shd w:val="clear" w:color="auto" w:fill="FFFFFF"/>
        </w:rPr>
        <w:t>指在基本支出之外为完成特定行政任务和事业发展目标所发生的支出。</w:t>
      </w:r>
    </w:p>
    <w:p>
      <w:pPr>
        <w:pStyle w:val="8"/>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highlight w:val="none"/>
          <w:shd w:val="clear" w:color="auto" w:fill="FFFFFF"/>
          <w:lang w:val="en-US" w:eastAsia="zh-CN" w:bidi="ar-SA"/>
        </w:rPr>
        <w:t> （十一）经营支出：</w:t>
      </w:r>
      <w:r>
        <w:rPr>
          <w:rFonts w:hint="default" w:ascii="Times New Roman" w:hAnsi="Times New Roman" w:eastAsia="方正仿宋_GBK" w:cs="Times New Roman"/>
          <w:b w:val="0"/>
          <w:bCs w:val="0"/>
          <w:color w:val="auto"/>
          <w:sz w:val="32"/>
          <w:szCs w:val="32"/>
          <w:shd w:val="clear" w:color="auto" w:fill="FFFFFF"/>
        </w:rPr>
        <w:t>指事业单位在专业业务活动及其辅助活动之外开展非独立核算经营活动发生的支出。</w:t>
      </w:r>
    </w:p>
    <w:p>
      <w:pPr>
        <w:pStyle w:val="8"/>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12"/>
          <w:rFonts w:hint="default" w:ascii="Times New Roman" w:hAnsi="Times New Roman" w:eastAsia="方正仿宋_GBK" w:cs="Times New Roman"/>
          <w:b w:val="0"/>
          <w:bCs w:val="0"/>
          <w:color w:val="auto"/>
          <w:sz w:val="32"/>
          <w:szCs w:val="32"/>
          <w:shd w:val="clear" w:color="auto" w:fill="FFFFFF"/>
        </w:rPr>
        <w:t> </w:t>
      </w:r>
      <w:r>
        <w:rPr>
          <w:rFonts w:hint="default" w:ascii="Times New Roman" w:hAnsi="Times New Roman" w:eastAsia="方正楷体_GBK" w:cs="Times New Roman"/>
          <w:b w:val="0"/>
          <w:bCs w:val="0"/>
          <w:color w:val="auto"/>
          <w:sz w:val="32"/>
          <w:szCs w:val="32"/>
          <w:highlight w:val="none"/>
          <w:shd w:val="clear" w:color="auto" w:fill="FFFFFF"/>
          <w:lang w:val="en-US" w:eastAsia="zh-CN" w:bidi="ar-SA"/>
        </w:rPr>
        <w:t>（十二）“三公”经费：</w:t>
      </w:r>
      <w:r>
        <w:rPr>
          <w:rFonts w:hint="default" w:ascii="Times New Roman" w:hAnsi="Times New Roman" w:eastAsia="方正仿宋_GBK" w:cs="Times New Roman"/>
          <w:b w:val="0"/>
          <w:bCs w:val="0"/>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12"/>
          <w:rFonts w:hint="default" w:ascii="Times New Roman" w:hAnsi="Times New Roman" w:eastAsia="方正仿宋_GBK" w:cs="Times New Roman"/>
          <w:b w:val="0"/>
          <w:bCs w:val="0"/>
          <w:color w:val="auto"/>
          <w:sz w:val="32"/>
          <w:szCs w:val="32"/>
          <w:shd w:val="clear" w:color="auto" w:fill="FFFFFF"/>
        </w:rPr>
        <w:t> </w:t>
      </w:r>
      <w:r>
        <w:rPr>
          <w:rFonts w:hint="default" w:ascii="Times New Roman" w:hAnsi="Times New Roman" w:eastAsia="方正楷体_GBK" w:cs="Times New Roman"/>
          <w:b w:val="0"/>
          <w:bCs w:val="0"/>
          <w:color w:val="auto"/>
          <w:sz w:val="32"/>
          <w:szCs w:val="32"/>
          <w:highlight w:val="none"/>
          <w:shd w:val="clear" w:color="auto" w:fill="FFFFFF"/>
          <w:lang w:val="en-US" w:eastAsia="zh-CN" w:bidi="ar-SA"/>
        </w:rPr>
        <w:t>（十三）机关运行经费：</w:t>
      </w:r>
      <w:r>
        <w:rPr>
          <w:rFonts w:hint="default" w:ascii="Times New Roman" w:hAnsi="Times New Roman" w:eastAsia="方正仿宋_GBK" w:cs="Times New Roman"/>
          <w:b w:val="0"/>
          <w:bCs w:val="0"/>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12"/>
          <w:rFonts w:hint="default" w:ascii="Times New Roman" w:hAnsi="Times New Roman" w:eastAsia="方正仿宋_GBK" w:cs="Times New Roman"/>
          <w:b w:val="0"/>
          <w:bCs w:val="0"/>
          <w:color w:val="auto"/>
          <w:sz w:val="32"/>
          <w:szCs w:val="32"/>
          <w:shd w:val="clear" w:color="auto" w:fill="FFFFFF"/>
        </w:rPr>
        <w:t> </w:t>
      </w:r>
      <w:r>
        <w:rPr>
          <w:rFonts w:hint="default" w:ascii="Times New Roman" w:hAnsi="Times New Roman" w:eastAsia="方正楷体_GBK" w:cs="Times New Roman"/>
          <w:b w:val="0"/>
          <w:bCs w:val="0"/>
          <w:color w:val="auto"/>
          <w:sz w:val="32"/>
          <w:szCs w:val="32"/>
          <w:highlight w:val="none"/>
          <w:shd w:val="clear" w:color="auto" w:fill="FFFFFF"/>
          <w:lang w:val="en-US" w:eastAsia="zh-CN" w:bidi="ar-SA"/>
        </w:rPr>
        <w:t>（十四）工资福利支出（支出经济分类科目类级）：</w:t>
      </w:r>
      <w:r>
        <w:rPr>
          <w:rFonts w:hint="default" w:ascii="Times New Roman" w:hAnsi="Times New Roman" w:eastAsia="方正仿宋_GBK" w:cs="Times New Roman"/>
          <w:b w:val="0"/>
          <w:bCs w:val="0"/>
          <w:color w:val="auto"/>
          <w:sz w:val="32"/>
          <w:szCs w:val="32"/>
          <w:shd w:val="clear" w:color="auto" w:fill="FFFFFF"/>
        </w:rPr>
        <w:t>反映单位开支的在职职工和编制外长期聘用人员的各类劳动报酬，以及为上述人员缴纳的各项社会保险费等。</w:t>
      </w:r>
    </w:p>
    <w:p>
      <w:pPr>
        <w:pStyle w:val="8"/>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12"/>
          <w:rFonts w:hint="default" w:ascii="Times New Roman" w:hAnsi="Times New Roman" w:eastAsia="方正仿宋_GBK" w:cs="Times New Roman"/>
          <w:b w:val="0"/>
          <w:bCs w:val="0"/>
          <w:color w:val="auto"/>
          <w:sz w:val="32"/>
          <w:szCs w:val="32"/>
          <w:shd w:val="clear" w:color="auto" w:fill="FFFFFF"/>
        </w:rPr>
        <w:t> </w:t>
      </w:r>
      <w:r>
        <w:rPr>
          <w:rFonts w:hint="default" w:ascii="Times New Roman" w:hAnsi="Times New Roman" w:eastAsia="方正楷体_GBK" w:cs="Times New Roman"/>
          <w:b w:val="0"/>
          <w:bCs w:val="0"/>
          <w:color w:val="auto"/>
          <w:sz w:val="32"/>
          <w:szCs w:val="32"/>
          <w:highlight w:val="none"/>
          <w:shd w:val="clear" w:color="auto" w:fill="FFFFFF"/>
          <w:lang w:val="en-US" w:eastAsia="zh-CN" w:bidi="ar-SA"/>
        </w:rPr>
        <w:t>（十五）商品和服务支出（支出经济分类科目类级）：</w:t>
      </w:r>
      <w:r>
        <w:rPr>
          <w:rFonts w:hint="default" w:ascii="Times New Roman" w:hAnsi="Times New Roman" w:eastAsia="方正仿宋_GBK" w:cs="Times New Roman"/>
          <w:b w:val="0"/>
          <w:bCs w:val="0"/>
          <w:color w:val="auto"/>
          <w:sz w:val="32"/>
          <w:szCs w:val="32"/>
          <w:shd w:val="clear" w:color="auto" w:fill="FFFFFF"/>
        </w:rPr>
        <w:t>反映单位购买商品和服务的支出（不包括用于购置固定资产的支出、战略性和应急储备支出）。</w:t>
      </w:r>
    </w:p>
    <w:p>
      <w:pPr>
        <w:pStyle w:val="8"/>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12"/>
          <w:rFonts w:hint="default" w:ascii="Times New Roman" w:hAnsi="Times New Roman" w:eastAsia="楷体" w:cs="Times New Roman"/>
          <w:b w:val="0"/>
          <w:bCs w:val="0"/>
          <w:color w:val="auto"/>
          <w:sz w:val="32"/>
          <w:szCs w:val="32"/>
          <w:shd w:val="clear" w:color="auto" w:fill="FFFFFF"/>
        </w:rPr>
        <w:t> </w:t>
      </w:r>
      <w:r>
        <w:rPr>
          <w:rFonts w:hint="default" w:ascii="Times New Roman" w:hAnsi="Times New Roman" w:eastAsia="方正楷体_GBK" w:cs="Times New Roman"/>
          <w:b w:val="0"/>
          <w:bCs w:val="0"/>
          <w:color w:val="auto"/>
          <w:sz w:val="32"/>
          <w:szCs w:val="32"/>
          <w:highlight w:val="none"/>
          <w:shd w:val="clear" w:color="auto" w:fill="FFFFFF"/>
          <w:lang w:val="en-US" w:eastAsia="zh-CN" w:bidi="ar-SA"/>
        </w:rPr>
        <w:t>（十六）对个人和家庭的补助（支出经济分类科目类级）：</w:t>
      </w:r>
      <w:r>
        <w:rPr>
          <w:rFonts w:hint="default" w:ascii="Times New Roman" w:hAnsi="Times New Roman" w:eastAsia="方正仿宋_GBK" w:cs="Times New Roman"/>
          <w:b w:val="0"/>
          <w:bCs w:val="0"/>
          <w:color w:val="auto"/>
          <w:sz w:val="32"/>
          <w:szCs w:val="32"/>
          <w:shd w:val="clear" w:color="auto" w:fill="FFFFFF"/>
        </w:rPr>
        <w:t>反映用于对个人和家庭的补助支出。</w:t>
      </w:r>
    </w:p>
    <w:p>
      <w:pPr>
        <w:pStyle w:val="8"/>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12"/>
          <w:rFonts w:hint="default" w:ascii="Times New Roman" w:hAnsi="Times New Roman" w:eastAsia="方正仿宋_GBK" w:cs="Times New Roman"/>
          <w:b w:val="0"/>
          <w:bCs w:val="0"/>
          <w:color w:val="auto"/>
          <w:sz w:val="32"/>
          <w:szCs w:val="32"/>
          <w:shd w:val="clear" w:color="auto" w:fill="FFFFFF"/>
        </w:rPr>
        <w:t> </w:t>
      </w:r>
      <w:r>
        <w:rPr>
          <w:rFonts w:hint="default" w:ascii="Times New Roman" w:hAnsi="Times New Roman" w:eastAsia="方正楷体_GBK" w:cs="Times New Roman"/>
          <w:b w:val="0"/>
          <w:bCs w:val="0"/>
          <w:color w:val="auto"/>
          <w:sz w:val="32"/>
          <w:szCs w:val="32"/>
          <w:highlight w:val="none"/>
          <w:shd w:val="clear" w:color="auto" w:fill="FFFFFF"/>
          <w:lang w:val="en-US" w:eastAsia="zh-CN" w:bidi="ar-SA"/>
        </w:rPr>
        <w:t>（十七）其他资本性支出（支出经济分类科目类级）：</w:t>
      </w:r>
      <w:r>
        <w:rPr>
          <w:rFonts w:hint="default" w:ascii="Times New Roman" w:hAnsi="Times New Roman" w:eastAsia="方正仿宋_GBK" w:cs="Times New Roman"/>
          <w:b w:val="0"/>
          <w:bCs w:val="0"/>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8"/>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Style w:val="12"/>
          <w:rFonts w:hint="eastAsia" w:ascii="Times New Roman" w:hAnsi="Times New Roman" w:eastAsia="方正黑体_GBK" w:cs="方正黑体_GBK"/>
          <w:b w:val="0"/>
          <w:bCs w:val="0"/>
          <w:color w:val="auto"/>
          <w:sz w:val="32"/>
          <w:szCs w:val="32"/>
          <w:shd w:val="clear" w:color="auto" w:fill="FFFFFF"/>
        </w:rPr>
      </w:pPr>
      <w:r>
        <w:rPr>
          <w:rStyle w:val="12"/>
          <w:rFonts w:hint="eastAsia" w:ascii="Times New Roman" w:hAnsi="Times New Roman" w:eastAsia="方正黑体_GBK" w:cs="方正黑体_GBK"/>
          <w:b w:val="0"/>
          <w:bCs w:val="0"/>
          <w:color w:val="auto"/>
          <w:sz w:val="32"/>
          <w:szCs w:val="32"/>
          <w:shd w:val="clear" w:color="auto" w:fill="FFFFFF"/>
        </w:rPr>
        <w:t>七、决算公开联系方式及信息反馈渠道</w:t>
      </w:r>
    </w:p>
    <w:p>
      <w:pPr>
        <w:pStyle w:val="8"/>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z w:val="32"/>
          <w:szCs w:val="32"/>
          <w:shd w:val="clear" w:color="auto" w:fill="FFFFFF"/>
          <w:lang w:val="en-US" w:eastAsia="zh-CN"/>
        </w:rPr>
      </w:pPr>
      <w:r>
        <w:rPr>
          <w:rFonts w:hint="default" w:ascii="Times New Roman" w:hAnsi="Times New Roman" w:eastAsia="方正仿宋_GBK" w:cs="Times New Roman"/>
          <w:b w:val="0"/>
          <w:bCs w:val="0"/>
          <w:color w:val="auto"/>
          <w:sz w:val="32"/>
          <w:szCs w:val="32"/>
          <w:shd w:val="clear" w:color="auto" w:fill="FFFFFF"/>
        </w:rPr>
        <w:t>本单位决算公开信息反馈和联系方式：</w:t>
      </w:r>
      <w:r>
        <w:rPr>
          <w:rFonts w:hint="default" w:ascii="Times New Roman" w:hAnsi="Times New Roman" w:eastAsia="方正仿宋_GBK" w:cs="Times New Roman"/>
          <w:b w:val="0"/>
          <w:bCs w:val="0"/>
          <w:color w:val="auto"/>
          <w:sz w:val="32"/>
          <w:szCs w:val="32"/>
          <w:shd w:val="clear" w:color="auto" w:fill="FFFFFF"/>
          <w:lang w:val="en-US" w:eastAsia="zh-CN"/>
        </w:rPr>
        <w:t>023-58258033</w:t>
      </w:r>
    </w:p>
    <w:p>
      <w:pPr>
        <w:pStyle w:val="8"/>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z w:val="32"/>
          <w:szCs w:val="32"/>
          <w:shd w:val="clear" w:color="auto" w:fill="FFFFFF"/>
          <w:lang w:val="en-US" w:eastAsia="zh-CN"/>
        </w:rPr>
      </w:pPr>
    </w:p>
    <w:p>
      <w:pPr>
        <w:pStyle w:val="8"/>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z w:val="32"/>
          <w:szCs w:val="32"/>
          <w:shd w:val="clear" w:color="auto" w:fill="FFFFFF"/>
          <w:lang w:val="en-US" w:eastAsia="zh-CN"/>
        </w:rPr>
      </w:pPr>
    </w:p>
    <w:p>
      <w:pPr>
        <w:pStyle w:val="8"/>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z w:val="32"/>
          <w:szCs w:val="32"/>
          <w:shd w:val="clear" w:color="auto" w:fill="FFFFFF"/>
          <w:lang w:val="en-US" w:eastAsia="zh-CN"/>
        </w:rPr>
      </w:pPr>
    </w:p>
    <w:p>
      <w:pPr>
        <w:pStyle w:val="8"/>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z w:val="32"/>
          <w:szCs w:val="32"/>
          <w:shd w:val="clear" w:color="auto" w:fill="FFFFFF"/>
          <w:lang w:val="en-US" w:eastAsia="zh-CN"/>
        </w:rPr>
      </w:pPr>
    </w:p>
    <w:p>
      <w:pPr>
        <w:pStyle w:val="8"/>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z w:val="32"/>
          <w:szCs w:val="32"/>
          <w:shd w:val="clear" w:color="auto" w:fill="FFFFFF"/>
          <w:lang w:val="en-US" w:eastAsia="zh-CN"/>
        </w:rPr>
      </w:pPr>
    </w:p>
    <w:p>
      <w:pPr>
        <w:pStyle w:val="8"/>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z w:val="32"/>
          <w:szCs w:val="32"/>
          <w:shd w:val="clear" w:color="auto" w:fill="FFFFFF"/>
          <w:lang w:val="en-US" w:eastAsia="zh-CN"/>
        </w:rPr>
      </w:pPr>
    </w:p>
    <w:p>
      <w:pPr>
        <w:pStyle w:val="8"/>
        <w:keepNext w:val="0"/>
        <w:keepLines w:val="0"/>
        <w:pageBreakBefore w:val="0"/>
        <w:widowControl w:val="0"/>
        <w:kinsoku/>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Times New Roman"/>
          <w:b w:val="0"/>
          <w:bCs w:val="0"/>
          <w:color w:val="auto"/>
          <w:sz w:val="32"/>
          <w:szCs w:val="32"/>
          <w:shd w:val="clear" w:color="auto" w:fill="FFFFFF"/>
          <w:lang w:val="en-US" w:eastAsia="zh-CN"/>
        </w:rPr>
      </w:pPr>
    </w:p>
    <w:p>
      <w:pPr>
        <w:pStyle w:val="8"/>
        <w:keepNext w:val="0"/>
        <w:keepLines w:val="0"/>
        <w:pageBreakBefore w:val="0"/>
        <w:widowControl w:val="0"/>
        <w:kinsoku/>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Times New Roman"/>
          <w:b w:val="0"/>
          <w:bCs w:val="0"/>
          <w:color w:val="auto"/>
          <w:sz w:val="32"/>
          <w:szCs w:val="32"/>
          <w:shd w:val="clear" w:color="auto" w:fill="FFFFFF"/>
          <w:lang w:val="en-US" w:eastAsia="zh-CN"/>
        </w:rPr>
      </w:pPr>
    </w:p>
    <w:p>
      <w:pPr>
        <w:pStyle w:val="8"/>
        <w:keepNext w:val="0"/>
        <w:keepLines w:val="0"/>
        <w:pageBreakBefore w:val="0"/>
        <w:widowControl w:val="0"/>
        <w:kinsoku/>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Times New Roman"/>
          <w:b w:val="0"/>
          <w:bCs w:val="0"/>
          <w:color w:val="auto"/>
          <w:sz w:val="32"/>
          <w:szCs w:val="32"/>
          <w:shd w:val="clear" w:color="auto" w:fill="FFFFFF"/>
          <w:lang w:val="en-US" w:eastAsia="zh-CN"/>
        </w:rPr>
        <w:sectPr>
          <w:pgSz w:w="11850" w:h="16783"/>
          <w:pgMar w:top="2098" w:right="1531" w:bottom="1984" w:left="1531" w:header="0" w:footer="1304" w:gutter="0"/>
          <w:pgNumType w:fmt="decimal"/>
          <w:cols w:space="720" w:num="1"/>
          <w:docGrid w:type="lines" w:linePitch="326" w:charSpace="0"/>
        </w:sectPr>
      </w:pPr>
    </w:p>
    <w:tbl>
      <w:tblPr>
        <w:tblStyle w:val="9"/>
        <w:tblpPr w:leftFromText="180" w:rightFromText="180" w:vertAnchor="text" w:horzAnchor="page" w:tblpX="1016" w:tblpY="238"/>
        <w:tblOverlap w:val="never"/>
        <w:tblW w:w="15337" w:type="dxa"/>
        <w:tblInd w:w="0" w:type="dxa"/>
        <w:tblLayout w:type="fixed"/>
        <w:tblCellMar>
          <w:top w:w="0" w:type="dxa"/>
          <w:left w:w="0" w:type="dxa"/>
          <w:bottom w:w="0" w:type="dxa"/>
          <w:right w:w="0" w:type="dxa"/>
        </w:tblCellMar>
      </w:tblPr>
      <w:tblGrid>
        <w:gridCol w:w="5105"/>
        <w:gridCol w:w="2012"/>
        <w:gridCol w:w="4791"/>
        <w:gridCol w:w="3429"/>
      </w:tblGrid>
      <w:tr>
        <w:tblPrEx>
          <w:tblCellMar>
            <w:top w:w="0" w:type="dxa"/>
            <w:left w:w="0" w:type="dxa"/>
            <w:bottom w:w="0" w:type="dxa"/>
            <w:right w:w="0" w:type="dxa"/>
          </w:tblCellMar>
        </w:tblPrEx>
        <w:trPr>
          <w:trHeight w:val="232" w:hRule="atLeast"/>
        </w:trPr>
        <w:tc>
          <w:tcPr>
            <w:tcW w:w="15337" w:type="dxa"/>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400" w:lineRule="exact"/>
              <w:jc w:val="center"/>
              <w:textAlignment w:val="bottom"/>
              <w:rPr>
                <w:rFonts w:hint="default" w:ascii="Times New Roman" w:hAnsi="Times New Roman" w:cs="Times New Roman"/>
                <w:b w:val="0"/>
                <w:bCs w:val="0"/>
                <w:color w:val="auto"/>
                <w:sz w:val="32"/>
                <w:szCs w:val="32"/>
              </w:rPr>
            </w:pPr>
            <w:r>
              <w:rPr>
                <w:rFonts w:hint="default" w:ascii="Times New Roman" w:hAnsi="Times New Roman" w:cs="Times New Roman"/>
                <w:b w:val="0"/>
                <w:bCs w:val="0"/>
                <w:color w:val="auto"/>
                <w:sz w:val="32"/>
                <w:szCs w:val="32"/>
              </w:rPr>
              <w:t>收入支出决算总表</w:t>
            </w:r>
          </w:p>
        </w:tc>
      </w:tr>
      <w:tr>
        <w:tblPrEx>
          <w:tblCellMar>
            <w:top w:w="0" w:type="dxa"/>
            <w:left w:w="0" w:type="dxa"/>
            <w:bottom w:w="0" w:type="dxa"/>
            <w:right w:w="0" w:type="dxa"/>
          </w:tblCellMar>
        </w:tblPrEx>
        <w:trPr>
          <w:trHeight w:val="232" w:hRule="atLeast"/>
        </w:trPr>
        <w:tc>
          <w:tcPr>
            <w:tcW w:w="510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rPr>
                <w:rFonts w:hint="default" w:ascii="Times New Roman" w:hAnsi="Times New Roman" w:cs="Times New Roman"/>
                <w:b w:val="0"/>
                <w:bCs w:val="0"/>
                <w:color w:val="auto"/>
                <w:sz w:val="20"/>
                <w:szCs w:val="20"/>
              </w:rPr>
            </w:pPr>
          </w:p>
        </w:tc>
        <w:tc>
          <w:tcPr>
            <w:tcW w:w="201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jc w:val="right"/>
              <w:rPr>
                <w:rFonts w:hint="default" w:ascii="Times New Roman" w:hAnsi="Times New Roman" w:cs="Times New Roman"/>
                <w:b w:val="0"/>
                <w:bCs w:val="0"/>
                <w:color w:val="auto"/>
                <w:sz w:val="20"/>
                <w:szCs w:val="20"/>
              </w:rPr>
            </w:pPr>
          </w:p>
        </w:tc>
        <w:tc>
          <w:tcPr>
            <w:tcW w:w="479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rPr>
                <w:rFonts w:hint="default" w:ascii="Times New Roman" w:hAnsi="Times New Roman" w:cs="Times New Roman"/>
                <w:b w:val="0"/>
                <w:bCs w:val="0"/>
                <w:color w:val="auto"/>
                <w:sz w:val="20"/>
                <w:szCs w:val="20"/>
              </w:rPr>
            </w:pPr>
          </w:p>
        </w:tc>
        <w:tc>
          <w:tcPr>
            <w:tcW w:w="342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80" w:lineRule="exact"/>
              <w:jc w:val="right"/>
              <w:textAlignment w:val="bottom"/>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公开01表</w:t>
            </w:r>
          </w:p>
        </w:tc>
      </w:tr>
      <w:tr>
        <w:tblPrEx>
          <w:tblCellMar>
            <w:top w:w="0" w:type="dxa"/>
            <w:left w:w="0" w:type="dxa"/>
            <w:bottom w:w="0" w:type="dxa"/>
            <w:right w:w="0" w:type="dxa"/>
          </w:tblCellMar>
        </w:tblPrEx>
        <w:trPr>
          <w:trHeight w:val="232" w:hRule="atLeast"/>
        </w:trPr>
        <w:tc>
          <w:tcPr>
            <w:tcW w:w="7117"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rPr>
                <w:rFonts w:hint="default" w:ascii="Times New Roman" w:hAnsi="Times New Roman" w:cs="Times New Roman"/>
                <w:b w:val="0"/>
                <w:bCs w:val="0"/>
                <w:color w:val="auto"/>
                <w:sz w:val="22"/>
                <w:szCs w:val="22"/>
              </w:rPr>
            </w:pPr>
            <w:r>
              <w:rPr>
                <w:rFonts w:hint="default" w:ascii="Times New Roman" w:hAnsi="Times New Roman" w:cs="Times New Roman"/>
                <w:b w:val="0"/>
                <w:bCs w:val="0"/>
                <w:color w:val="auto"/>
                <w:sz w:val="20"/>
                <w:szCs w:val="20"/>
              </w:rPr>
              <w:t>公开部门：</w:t>
            </w:r>
            <w:r>
              <w:rPr>
                <w:rFonts w:hint="default" w:ascii="Times New Roman" w:hAnsi="Times New Roman" w:cs="Times New Roman"/>
                <w:b w:val="0"/>
                <w:bCs w:val="0"/>
                <w:color w:val="auto"/>
                <w:sz w:val="20"/>
                <w:u w:color="auto"/>
              </w:rPr>
              <w:t>重庆市万州区发展和改革委员会</w:t>
            </w:r>
          </w:p>
        </w:tc>
        <w:tc>
          <w:tcPr>
            <w:tcW w:w="479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rPr>
                <w:rFonts w:hint="default" w:ascii="Times New Roman" w:hAnsi="Times New Roman" w:cs="Times New Roman"/>
                <w:b w:val="0"/>
                <w:bCs w:val="0"/>
                <w:color w:val="auto"/>
                <w:sz w:val="22"/>
                <w:szCs w:val="22"/>
              </w:rPr>
            </w:pPr>
          </w:p>
        </w:tc>
        <w:tc>
          <w:tcPr>
            <w:tcW w:w="342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80" w:lineRule="exact"/>
              <w:jc w:val="right"/>
              <w:textAlignment w:val="bottom"/>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单位：万元</w:t>
            </w:r>
          </w:p>
        </w:tc>
      </w:tr>
      <w:tr>
        <w:tblPrEx>
          <w:tblCellMar>
            <w:top w:w="0" w:type="dxa"/>
            <w:left w:w="0" w:type="dxa"/>
            <w:bottom w:w="0" w:type="dxa"/>
            <w:right w:w="0" w:type="dxa"/>
          </w:tblCellMar>
        </w:tblPrEx>
        <w:trPr>
          <w:trHeight w:val="243" w:hRule="atLeast"/>
        </w:trPr>
        <w:tc>
          <w:tcPr>
            <w:tcW w:w="711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收入</w:t>
            </w:r>
          </w:p>
        </w:tc>
        <w:tc>
          <w:tcPr>
            <w:tcW w:w="8220"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支出</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项目</w:t>
            </w:r>
          </w:p>
        </w:tc>
        <w:tc>
          <w:tcPr>
            <w:tcW w:w="20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决算数</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功能分类科目</w:t>
            </w:r>
          </w:p>
        </w:tc>
        <w:tc>
          <w:tcPr>
            <w:tcW w:w="342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决算数</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一、一般公共预算财政拨款收入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7,229.56</w:t>
            </w:r>
            <w:r>
              <w:rPr>
                <w:rFonts w:hint="default" w:ascii="Times New Roman" w:hAnsi="Times New Roman" w:cs="Times New Roman"/>
                <w:b w:val="0"/>
                <w:bCs w:val="0"/>
                <w:color w:val="auto"/>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一、一般公共服务支出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3,728.61</w:t>
            </w: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二、政府性基金预算财政拨款收入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二、外交支出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三、国有资本经营预算财政拨款收入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三、国防支出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628.09</w:t>
            </w: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四、上级补助收入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四、公共安全支出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五、事业收入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五、教育支出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六、经营收入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六、科学技术支出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七、附属单位上缴收入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七、文化旅游体育与传媒支出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八、其他收入</w:t>
            </w:r>
          </w:p>
        </w:tc>
        <w:tc>
          <w:tcPr>
            <w:tcW w:w="2012" w:type="dxa"/>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八、社会保障和就业支出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892.33</w:t>
            </w: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rPr>
                <w:rFonts w:hint="default" w:ascii="Times New Roman" w:hAnsi="Times New Roman" w:cs="Times New Roman"/>
                <w:b w:val="0"/>
                <w:bCs w:val="0"/>
                <w:color w:val="auto"/>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40" w:lineRule="exact"/>
              <w:jc w:val="right"/>
              <w:rPr>
                <w:rFonts w:hint="default" w:ascii="Times New Roman" w:hAnsi="Times New Roman" w:cs="Times New Roman"/>
                <w:b w:val="0"/>
                <w:bCs w:val="0"/>
                <w:color w:val="auto"/>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九、卫生健康支出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123.67</w:t>
            </w: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rPr>
                <w:rFonts w:hint="default" w:ascii="Times New Roman" w:hAnsi="Times New Roman" w:cs="Times New Roman"/>
                <w:b w:val="0"/>
                <w:bCs w:val="0"/>
                <w:color w:val="auto"/>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40" w:lineRule="exact"/>
              <w:jc w:val="right"/>
              <w:rPr>
                <w:rFonts w:hint="default" w:ascii="Times New Roman" w:hAnsi="Times New Roman" w:cs="Times New Roman"/>
                <w:b w:val="0"/>
                <w:bCs w:val="0"/>
                <w:color w:val="auto"/>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十、节能环保支出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rPr>
                <w:rFonts w:hint="default" w:ascii="Times New Roman" w:hAnsi="Times New Roman" w:cs="Times New Roman"/>
                <w:b w:val="0"/>
                <w:bCs w:val="0"/>
                <w:color w:val="auto"/>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40" w:lineRule="exact"/>
              <w:jc w:val="right"/>
              <w:rPr>
                <w:rFonts w:hint="default" w:ascii="Times New Roman" w:hAnsi="Times New Roman" w:cs="Times New Roman"/>
                <w:b w:val="0"/>
                <w:bCs w:val="0"/>
                <w:color w:val="auto"/>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十一、城乡社区支出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rPr>
                <w:rFonts w:hint="default" w:ascii="Times New Roman" w:hAnsi="Times New Roman" w:cs="Times New Roman"/>
                <w:b w:val="0"/>
                <w:bCs w:val="0"/>
                <w:color w:val="auto"/>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40" w:lineRule="exact"/>
              <w:jc w:val="right"/>
              <w:rPr>
                <w:rFonts w:hint="default" w:ascii="Times New Roman" w:hAnsi="Times New Roman" w:cs="Times New Roman"/>
                <w:b w:val="0"/>
                <w:bCs w:val="0"/>
                <w:color w:val="auto"/>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十二、农林水支出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rPr>
                <w:rFonts w:hint="default" w:ascii="Times New Roman" w:hAnsi="Times New Roman" w:cs="Times New Roman"/>
                <w:b w:val="0"/>
                <w:bCs w:val="0"/>
                <w:color w:val="auto"/>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jc w:val="right"/>
              <w:rPr>
                <w:rFonts w:hint="default" w:ascii="Times New Roman" w:hAnsi="Times New Roman" w:cs="Times New Roman"/>
                <w:b w:val="0"/>
                <w:bCs w:val="0"/>
                <w:color w:val="auto"/>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十三、交通运输支出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rPr>
                <w:rFonts w:hint="default" w:ascii="Times New Roman" w:hAnsi="Times New Roman" w:cs="Times New Roman"/>
                <w:b w:val="0"/>
                <w:bCs w:val="0"/>
                <w:color w:val="auto"/>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jc w:val="right"/>
              <w:rPr>
                <w:rFonts w:hint="default" w:ascii="Times New Roman" w:hAnsi="Times New Roman" w:cs="Times New Roman"/>
                <w:b w:val="0"/>
                <w:bCs w:val="0"/>
                <w:color w:val="auto"/>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十四、资源勘探工业信息等支出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rPr>
                <w:rFonts w:hint="default" w:ascii="Times New Roman" w:hAnsi="Times New Roman" w:cs="Times New Roman"/>
                <w:b w:val="0"/>
                <w:bCs w:val="0"/>
                <w:color w:val="auto"/>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jc w:val="right"/>
              <w:rPr>
                <w:rFonts w:hint="default" w:ascii="Times New Roman" w:hAnsi="Times New Roman" w:cs="Times New Roman"/>
                <w:b w:val="0"/>
                <w:bCs w:val="0"/>
                <w:color w:val="auto"/>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十五、商业服务业等支出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rPr>
                <w:rFonts w:hint="default" w:ascii="Times New Roman" w:hAnsi="Times New Roman" w:cs="Times New Roman"/>
                <w:b w:val="0"/>
                <w:bCs w:val="0"/>
                <w:color w:val="auto"/>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jc w:val="right"/>
              <w:rPr>
                <w:rFonts w:hint="default" w:ascii="Times New Roman" w:hAnsi="Times New Roman" w:cs="Times New Roman"/>
                <w:b w:val="0"/>
                <w:bCs w:val="0"/>
                <w:color w:val="auto"/>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十六、金融支出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rPr>
                <w:rFonts w:hint="default" w:ascii="Times New Roman" w:hAnsi="Times New Roman" w:cs="Times New Roman"/>
                <w:b w:val="0"/>
                <w:bCs w:val="0"/>
                <w:color w:val="auto"/>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jc w:val="right"/>
              <w:rPr>
                <w:rFonts w:hint="default" w:ascii="Times New Roman" w:hAnsi="Times New Roman" w:cs="Times New Roman"/>
                <w:b w:val="0"/>
                <w:bCs w:val="0"/>
                <w:color w:val="auto"/>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十七、援助其他地区支出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rPr>
                <w:rFonts w:hint="default" w:ascii="Times New Roman" w:hAnsi="Times New Roman" w:cs="Times New Roman"/>
                <w:b w:val="0"/>
                <w:bCs w:val="0"/>
                <w:color w:val="auto"/>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jc w:val="right"/>
              <w:rPr>
                <w:rFonts w:hint="default" w:ascii="Times New Roman" w:hAnsi="Times New Roman" w:cs="Times New Roman"/>
                <w:b w:val="0"/>
                <w:bCs w:val="0"/>
                <w:color w:val="auto"/>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十八、自然资源海洋气象等支出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rPr>
                <w:rFonts w:hint="default" w:ascii="Times New Roman" w:hAnsi="Times New Roman" w:cs="Times New Roman"/>
                <w:b w:val="0"/>
                <w:bCs w:val="0"/>
                <w:color w:val="auto"/>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jc w:val="right"/>
              <w:rPr>
                <w:rFonts w:hint="default" w:ascii="Times New Roman" w:hAnsi="Times New Roman" w:cs="Times New Roman"/>
                <w:b w:val="0"/>
                <w:bCs w:val="0"/>
                <w:color w:val="auto"/>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十九、住房保障支出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112.50</w:t>
            </w: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rPr>
                <w:rFonts w:hint="default" w:ascii="Times New Roman" w:hAnsi="Times New Roman" w:cs="Times New Roman"/>
                <w:b w:val="0"/>
                <w:bCs w:val="0"/>
                <w:color w:val="auto"/>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jc w:val="right"/>
              <w:rPr>
                <w:rFonts w:hint="default" w:ascii="Times New Roman" w:hAnsi="Times New Roman" w:cs="Times New Roman"/>
                <w:b w:val="0"/>
                <w:bCs w:val="0"/>
                <w:color w:val="auto"/>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二十、粮油物资储备支出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1,971.30</w:t>
            </w: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rPr>
                <w:rFonts w:hint="default" w:ascii="Times New Roman" w:hAnsi="Times New Roman" w:cs="Times New Roman"/>
                <w:b w:val="0"/>
                <w:bCs w:val="0"/>
                <w:color w:val="auto"/>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jc w:val="right"/>
              <w:rPr>
                <w:rFonts w:hint="default" w:ascii="Times New Roman" w:hAnsi="Times New Roman" w:cs="Times New Roman"/>
                <w:b w:val="0"/>
                <w:bCs w:val="0"/>
                <w:color w:val="auto"/>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二十一、国有资本经营预算支出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rPr>
                <w:rFonts w:hint="default" w:ascii="Times New Roman" w:hAnsi="Times New Roman" w:cs="Times New Roman"/>
                <w:b w:val="0"/>
                <w:bCs w:val="0"/>
                <w:color w:val="auto"/>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jc w:val="right"/>
              <w:rPr>
                <w:rFonts w:hint="default" w:ascii="Times New Roman" w:hAnsi="Times New Roman" w:cs="Times New Roman"/>
                <w:b w:val="0"/>
                <w:bCs w:val="0"/>
                <w:color w:val="auto"/>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二十二、灾害防治及应急管理支出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rPr>
                <w:rFonts w:hint="default" w:ascii="Times New Roman" w:hAnsi="Times New Roman" w:cs="Times New Roman"/>
                <w:b w:val="0"/>
                <w:bCs w:val="0"/>
                <w:color w:val="auto"/>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jc w:val="right"/>
              <w:rPr>
                <w:rFonts w:hint="default" w:ascii="Times New Roman" w:hAnsi="Times New Roman" w:cs="Times New Roman"/>
                <w:b w:val="0"/>
                <w:bCs w:val="0"/>
                <w:color w:val="auto"/>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二十三、其他支出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jc w:val="center"/>
              <w:rPr>
                <w:rFonts w:hint="default" w:ascii="Times New Roman" w:hAnsi="Times New Roman" w:cs="Times New Roman"/>
                <w:b w:val="0"/>
                <w:bCs w:val="0"/>
                <w:color w:val="auto"/>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jc w:val="right"/>
              <w:rPr>
                <w:rFonts w:hint="default" w:ascii="Times New Roman" w:hAnsi="Times New Roman" w:cs="Times New Roman"/>
                <w:b w:val="0"/>
                <w:bCs w:val="0"/>
                <w:color w:val="auto"/>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二十四、债务还本支出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rPr>
                <w:rFonts w:hint="default" w:ascii="Times New Roman" w:hAnsi="Times New Roman" w:cs="Times New Roman"/>
                <w:b w:val="0"/>
                <w:bCs w:val="0"/>
                <w:color w:val="auto"/>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jc w:val="right"/>
              <w:rPr>
                <w:rFonts w:hint="default" w:ascii="Times New Roman" w:hAnsi="Times New Roman" w:cs="Times New Roman"/>
                <w:b w:val="0"/>
                <w:bCs w:val="0"/>
                <w:color w:val="auto"/>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二十五、债务付息支出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rPr>
                <w:rFonts w:hint="default" w:ascii="Times New Roman" w:hAnsi="Times New Roman" w:cs="Times New Roman"/>
                <w:b w:val="0"/>
                <w:bCs w:val="0"/>
                <w:color w:val="auto"/>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jc w:val="right"/>
              <w:rPr>
                <w:rFonts w:hint="default" w:ascii="Times New Roman" w:hAnsi="Times New Roman" w:cs="Times New Roman"/>
                <w:b w:val="0"/>
                <w:bCs w:val="0"/>
                <w:color w:val="auto"/>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二十六、抗疫特别国债安排的支出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本年收入合计</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7,229.56</w:t>
            </w:r>
            <w:r>
              <w:rPr>
                <w:rFonts w:hint="default" w:ascii="Times New Roman" w:hAnsi="Times New Roman" w:cs="Times New Roman"/>
                <w:b w:val="0"/>
                <w:bCs w:val="0"/>
                <w:color w:val="auto"/>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本年支出合计</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7,456.51</w:t>
            </w: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使用非财政拨款结余和专用结余</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结余分配</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年初结转和结余</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226.95</w:t>
            </w:r>
            <w:r>
              <w:rPr>
                <w:rFonts w:hint="default" w:ascii="Times New Roman" w:hAnsi="Times New Roman" w:cs="Times New Roman"/>
                <w:b w:val="0"/>
                <w:bCs w:val="0"/>
                <w:color w:val="auto"/>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年末结转和结余</w:t>
            </w:r>
          </w:p>
        </w:tc>
        <w:tc>
          <w:tcPr>
            <w:tcW w:w="3429"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25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总计</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7,456.51</w:t>
            </w:r>
            <w:r>
              <w:rPr>
                <w:rFonts w:hint="default" w:ascii="Times New Roman" w:hAnsi="Times New Roman" w:cs="Times New Roman"/>
                <w:b w:val="0"/>
                <w:bCs w:val="0"/>
                <w:color w:val="auto"/>
                <w:sz w:val="20"/>
                <w:u w:color="auto"/>
              </w:rPr>
              <w:t xml:space="preserve"> </w:t>
            </w:r>
          </w:p>
        </w:tc>
        <w:tc>
          <w:tcPr>
            <w:tcW w:w="4791"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总计</w:t>
            </w:r>
          </w:p>
        </w:tc>
        <w:tc>
          <w:tcPr>
            <w:tcW w:w="3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7,456.51</w:t>
            </w:r>
            <w:r>
              <w:rPr>
                <w:rFonts w:hint="default" w:ascii="Times New Roman" w:hAnsi="Times New Roman" w:cs="Times New Roman"/>
                <w:b w:val="0"/>
                <w:bCs w:val="0"/>
                <w:color w:val="auto"/>
                <w:sz w:val="20"/>
                <w:u w:color="auto"/>
              </w:rPr>
              <w:t xml:space="preserve"> </w:t>
            </w:r>
          </w:p>
        </w:tc>
      </w:tr>
    </w:tbl>
    <w:p>
      <w:pPr>
        <w:keepNext w:val="0"/>
        <w:keepLines w:val="0"/>
        <w:pageBreakBefore w:val="0"/>
        <w:widowControl w:val="0"/>
        <w:kinsoku/>
        <w:overflowPunct/>
        <w:topLinePunct w:val="0"/>
        <w:autoSpaceDN/>
        <w:bidi w:val="0"/>
        <w:adjustRightInd/>
        <w:spacing w:beforeAutospacing="0" w:afterAutospacing="0" w:line="240" w:lineRule="exact"/>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备注：1.本表反映部门本年度的总收支和年末结转结余情况。</w:t>
      </w:r>
      <w:r>
        <w:rPr>
          <w:rFonts w:hint="default" w:ascii="Times New Roman" w:hAnsi="Times New Roman" w:cs="Times New Roman"/>
          <w:b w:val="0"/>
          <w:bCs w:val="0"/>
          <w:color w:val="auto"/>
          <w:sz w:val="20"/>
          <w:szCs w:val="20"/>
        </w:rPr>
        <w:br w:type="textWrapping"/>
      </w:r>
      <w:r>
        <w:rPr>
          <w:rFonts w:hint="default" w:ascii="Times New Roman" w:hAnsi="Times New Roman" w:cs="Times New Roman"/>
          <w:b w:val="0"/>
          <w:bCs w:val="0"/>
          <w:color w:val="auto"/>
          <w:sz w:val="20"/>
          <w:szCs w:val="20"/>
        </w:rPr>
        <w:t xml:space="preserve">      2.本套报表金额单位转换时可能存在尾数误差。</w:t>
      </w:r>
      <w:r>
        <w:rPr>
          <w:rFonts w:hint="default" w:ascii="Times New Roman" w:hAnsi="Times New Roman" w:cs="Times New Roman"/>
          <w:b w:val="0"/>
          <w:bCs w:val="0"/>
          <w:color w:val="auto"/>
          <w:sz w:val="20"/>
          <w:szCs w:val="20"/>
        </w:rPr>
        <w:br w:type="textWrapping"/>
      </w:r>
      <w:r>
        <w:rPr>
          <w:rFonts w:hint="default" w:ascii="Times New Roman" w:hAnsi="Times New Roman" w:cs="Times New Roman"/>
          <w:b w:val="0"/>
          <w:bCs w:val="0"/>
          <w:color w:val="auto"/>
          <w:sz w:val="20"/>
          <w:szCs w:val="20"/>
        </w:rPr>
        <w:br w:type="textWrapping"/>
      </w:r>
    </w:p>
    <w:tbl>
      <w:tblPr>
        <w:tblStyle w:val="9"/>
        <w:tblW w:w="15322" w:type="dxa"/>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CellMar>
            <w:top w:w="0" w:type="dxa"/>
            <w:left w:w="0" w:type="dxa"/>
            <w:bottom w:w="0" w:type="dxa"/>
            <w:right w:w="0" w:type="dxa"/>
          </w:tblCellMar>
        </w:tblPrEx>
        <w:trPr>
          <w:trHeight w:val="641" w:hRule="atLeast"/>
        </w:trPr>
        <w:tc>
          <w:tcPr>
            <w:tcW w:w="15322" w:type="dxa"/>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jc w:val="center"/>
              <w:textAlignment w:val="bottom"/>
              <w:rPr>
                <w:rFonts w:hint="default" w:ascii="Times New Roman" w:hAnsi="Times New Roman" w:cs="Times New Roman"/>
                <w:b w:val="0"/>
                <w:bCs w:val="0"/>
                <w:color w:val="auto"/>
                <w:sz w:val="32"/>
                <w:szCs w:val="32"/>
              </w:rPr>
            </w:pPr>
            <w:r>
              <w:rPr>
                <w:rFonts w:hint="default" w:ascii="Times New Roman" w:hAnsi="Times New Roman" w:cs="Times New Roman"/>
                <w:b w:val="0"/>
                <w:bCs w:val="0"/>
                <w:color w:val="auto"/>
                <w:sz w:val="32"/>
                <w:szCs w:val="32"/>
              </w:rPr>
              <w:t>收入决算表</w:t>
            </w:r>
          </w:p>
        </w:tc>
      </w:tr>
      <w:tr>
        <w:tblPrEx>
          <w:tblCellMar>
            <w:top w:w="0" w:type="dxa"/>
            <w:left w:w="0" w:type="dxa"/>
            <w:bottom w:w="0" w:type="dxa"/>
            <w:right w:w="0" w:type="dxa"/>
          </w:tblCellMar>
        </w:tblPrEx>
        <w:trPr>
          <w:trHeight w:val="328" w:hRule="atLeast"/>
        </w:trPr>
        <w:tc>
          <w:tcPr>
            <w:tcW w:w="6082"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公开部门：</w:t>
            </w:r>
            <w:r>
              <w:rPr>
                <w:rFonts w:hint="default" w:ascii="Times New Roman" w:hAnsi="Times New Roman" w:cs="Times New Roman"/>
                <w:b w:val="0"/>
                <w:bCs w:val="0"/>
                <w:color w:val="auto"/>
                <w:sz w:val="20"/>
                <w:u w:color="auto"/>
              </w:rPr>
              <w:t>重庆市万州区发展和改革委员会</w:t>
            </w:r>
          </w:p>
        </w:tc>
        <w:tc>
          <w:tcPr>
            <w:tcW w:w="122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rPr>
                <w:rFonts w:hint="default" w:ascii="Times New Roman" w:hAnsi="Times New Roman" w:cs="Times New Roman"/>
                <w:b w:val="0"/>
                <w:bCs w:val="0"/>
                <w:color w:val="auto"/>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rPr>
                <w:rFonts w:hint="default" w:ascii="Times New Roman" w:hAnsi="Times New Roman" w:cs="Times New Roman"/>
                <w:b w:val="0"/>
                <w:bCs w:val="0"/>
                <w:color w:val="auto"/>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rPr>
                <w:rFonts w:hint="default" w:ascii="Times New Roman" w:hAnsi="Times New Roman" w:cs="Times New Roman"/>
                <w:b w:val="0"/>
                <w:bCs w:val="0"/>
                <w:color w:val="auto"/>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rPr>
                <w:rFonts w:hint="default" w:ascii="Times New Roman" w:hAnsi="Times New Roman" w:cs="Times New Roman"/>
                <w:b w:val="0"/>
                <w:bCs w:val="0"/>
                <w:color w:val="auto"/>
                <w:sz w:val="20"/>
                <w:szCs w:val="20"/>
              </w:rPr>
            </w:pPr>
          </w:p>
        </w:tc>
        <w:tc>
          <w:tcPr>
            <w:tcW w:w="130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rPr>
                <w:rFonts w:hint="default" w:ascii="Times New Roman" w:hAnsi="Times New Roman" w:cs="Times New Roman"/>
                <w:b w:val="0"/>
                <w:bCs w:val="0"/>
                <w:color w:val="auto"/>
                <w:sz w:val="20"/>
                <w:szCs w:val="20"/>
              </w:rPr>
            </w:pPr>
          </w:p>
        </w:tc>
        <w:tc>
          <w:tcPr>
            <w:tcW w:w="1434"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rPr>
                <w:rFonts w:hint="default" w:ascii="Times New Roman" w:hAnsi="Times New Roman" w:cs="Times New Roman"/>
                <w:b w:val="0"/>
                <w:bCs w:val="0"/>
                <w:color w:val="auto"/>
                <w:sz w:val="20"/>
                <w:szCs w:val="20"/>
              </w:rPr>
            </w:pPr>
          </w:p>
        </w:tc>
        <w:tc>
          <w:tcPr>
            <w:tcW w:w="145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jc w:val="right"/>
              <w:textAlignment w:val="bottom"/>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公开02表</w:t>
            </w:r>
          </w:p>
        </w:tc>
      </w:tr>
      <w:tr>
        <w:tblPrEx>
          <w:tblCellMar>
            <w:top w:w="0" w:type="dxa"/>
            <w:left w:w="0" w:type="dxa"/>
            <w:bottom w:w="0" w:type="dxa"/>
            <w:right w:w="0" w:type="dxa"/>
          </w:tblCellMar>
        </w:tblPrEx>
        <w:trPr>
          <w:trHeight w:val="328" w:hRule="atLeast"/>
        </w:trPr>
        <w:tc>
          <w:tcPr>
            <w:tcW w:w="6082"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rPr>
                <w:rFonts w:hint="default" w:ascii="Times New Roman" w:hAnsi="Times New Roman" w:cs="Times New Roman"/>
                <w:b w:val="0"/>
                <w:bCs w:val="0"/>
                <w:color w:val="auto"/>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rPr>
                <w:rFonts w:hint="default" w:ascii="Times New Roman" w:hAnsi="Times New Roman" w:cs="Times New Roman"/>
                <w:b w:val="0"/>
                <w:bCs w:val="0"/>
                <w:color w:val="auto"/>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rPr>
                <w:rFonts w:hint="default" w:ascii="Times New Roman" w:hAnsi="Times New Roman" w:cs="Times New Roman"/>
                <w:b w:val="0"/>
                <w:bCs w:val="0"/>
                <w:color w:val="auto"/>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rPr>
                <w:rFonts w:hint="default" w:ascii="Times New Roman" w:hAnsi="Times New Roman" w:cs="Times New Roman"/>
                <w:b w:val="0"/>
                <w:bCs w:val="0"/>
                <w:color w:val="auto"/>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rPr>
                <w:rFonts w:hint="default" w:ascii="Times New Roman" w:hAnsi="Times New Roman" w:cs="Times New Roman"/>
                <w:b w:val="0"/>
                <w:bCs w:val="0"/>
                <w:color w:val="auto"/>
                <w:sz w:val="20"/>
                <w:szCs w:val="20"/>
              </w:rPr>
            </w:pPr>
          </w:p>
        </w:tc>
        <w:tc>
          <w:tcPr>
            <w:tcW w:w="130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rPr>
                <w:rFonts w:hint="default" w:ascii="Times New Roman" w:hAnsi="Times New Roman" w:cs="Times New Roman"/>
                <w:b w:val="0"/>
                <w:bCs w:val="0"/>
                <w:color w:val="auto"/>
                <w:sz w:val="20"/>
                <w:szCs w:val="20"/>
              </w:rPr>
            </w:pPr>
          </w:p>
        </w:tc>
        <w:tc>
          <w:tcPr>
            <w:tcW w:w="1434"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rPr>
                <w:rFonts w:hint="default" w:ascii="Times New Roman" w:hAnsi="Times New Roman" w:cs="Times New Roman"/>
                <w:b w:val="0"/>
                <w:bCs w:val="0"/>
                <w:color w:val="auto"/>
                <w:sz w:val="20"/>
                <w:szCs w:val="20"/>
              </w:rPr>
            </w:pPr>
          </w:p>
        </w:tc>
        <w:tc>
          <w:tcPr>
            <w:tcW w:w="145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jc w:val="right"/>
              <w:textAlignment w:val="bottom"/>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单位：万元</w:t>
            </w:r>
          </w:p>
        </w:tc>
      </w:tr>
      <w:tr>
        <w:tblPrEx>
          <w:tblCellMar>
            <w:top w:w="0" w:type="dxa"/>
            <w:left w:w="0" w:type="dxa"/>
            <w:bottom w:w="0" w:type="dxa"/>
            <w:right w:w="0" w:type="dxa"/>
          </w:tblCellMar>
        </w:tblPrEx>
        <w:trPr>
          <w:trHeight w:val="431" w:hRule="atLeast"/>
        </w:trPr>
        <w:tc>
          <w:tcPr>
            <w:tcW w:w="485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jc w:val="center"/>
              <w:textAlignment w:val="bottom"/>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项目</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本年收入合计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财政拨款收入</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上级补助收入</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jc w:val="center"/>
              <w:textAlignment w:val="bottom"/>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事业收入</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经营收入</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附属单位上缴收入</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其他收入</w:t>
            </w:r>
          </w:p>
        </w:tc>
      </w:tr>
      <w:tr>
        <w:tblPrEx>
          <w:tblCellMar>
            <w:top w:w="0" w:type="dxa"/>
            <w:left w:w="0" w:type="dxa"/>
            <w:bottom w:w="0" w:type="dxa"/>
            <w:right w:w="0" w:type="dxa"/>
          </w:tblCellMar>
        </w:tblPrEx>
        <w:trPr>
          <w:trHeight w:val="334" w:hRule="atLeast"/>
        </w:trPr>
        <w:tc>
          <w:tcPr>
            <w:tcW w:w="1694"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功能分类科目编码</w:t>
            </w:r>
          </w:p>
        </w:tc>
        <w:tc>
          <w:tcPr>
            <w:tcW w:w="3159"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项目（按“项”级功能分类科目）</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其中：教育收费</w:t>
            </w: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r>
      <w:tr>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r>
      <w:tr>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r>
      <w:tr>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r>
      <w:tr>
        <w:tblPrEx>
          <w:tblCellMar>
            <w:top w:w="0" w:type="dxa"/>
            <w:left w:w="0" w:type="dxa"/>
            <w:bottom w:w="0" w:type="dxa"/>
            <w:right w:w="0" w:type="dxa"/>
          </w:tblCellMar>
        </w:tblPrEx>
        <w:trPr>
          <w:trHeight w:val="338" w:hRule="atLeast"/>
        </w:trPr>
        <w:tc>
          <w:tcPr>
            <w:tcW w:w="485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合计</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7,229.56</w:t>
            </w:r>
            <w:r>
              <w:rPr>
                <w:rFonts w:hint="default" w:ascii="Times New Roman" w:hAnsi="Times New Roman" w:cs="Times New Roman"/>
                <w:b w:val="0"/>
                <w:bCs w:val="0"/>
                <w:color w:val="auto"/>
                <w:sz w:val="20"/>
                <w:u w:color="auto"/>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7,229.56</w:t>
            </w:r>
            <w:r>
              <w:rPr>
                <w:rFonts w:hint="default" w:ascii="Times New Roman" w:hAnsi="Times New Roman" w:cs="Times New Roman"/>
                <w:b w:val="0"/>
                <w:bCs w:val="0"/>
                <w:color w:val="auto"/>
                <w:sz w:val="20"/>
                <w:u w:color="auto"/>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一般公共服务支出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3,501.66</w:t>
            </w: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3,501.66</w:t>
            </w: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政府办公厅（室）及相关机构事务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46.33</w:t>
            </w: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46.33</w:t>
            </w: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2010308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信访事务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46.33</w:t>
            </w: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46.33</w:t>
            </w: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发展与改革事务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3,449.33</w:t>
            </w: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3,449.33</w:t>
            </w: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2010401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1,107.90</w:t>
            </w: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1,107.90</w:t>
            </w: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2010402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一般行政管理事务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685.34</w:t>
            </w: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685.34</w:t>
            </w: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2010404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战略规划与实施</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118.00</w:t>
            </w: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118.00</w:t>
            </w: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2010406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社会事业发展规划</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19.80</w:t>
            </w: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19.80</w:t>
            </w: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2010408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物价管理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13.17</w:t>
            </w: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13.17</w:t>
            </w: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2010450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749.10</w:t>
            </w: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749.10</w:t>
            </w: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2010499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其他发展与改革事务支出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756.03</w:t>
            </w: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756.03</w:t>
            </w: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20113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商贸事务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6.00</w:t>
            </w: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6.00</w:t>
            </w: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2011308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招商引资</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6.00</w:t>
            </w: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6.00</w:t>
            </w: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国防支出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628.09</w:t>
            </w: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628.09</w:t>
            </w: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892.33</w:t>
            </w: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892.33</w:t>
            </w: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732.61</w:t>
            </w: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732.61</w:t>
            </w: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2080501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行政单位离退休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32.45</w:t>
            </w: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32.45</w:t>
            </w: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2080502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事业单位离退休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14.88</w:t>
            </w: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14.88</w:t>
            </w: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2080505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机关事业单位基本养老保险缴费支出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182.57</w:t>
            </w: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182.57</w:t>
            </w: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2080506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机关事业单位职业年金缴费支出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93.71</w:t>
            </w: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93.71</w:t>
            </w: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2080599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408.99</w:t>
            </w: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408.99</w:t>
            </w: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抚恤</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156.26</w:t>
            </w: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156.26</w:t>
            </w: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2080801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死亡抚恤</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156.26</w:t>
            </w: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156.26</w:t>
            </w: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退役安置</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1.24</w:t>
            </w: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1.24</w:t>
            </w: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2080905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军队转业干部安置</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1.24</w:t>
            </w: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1.24</w:t>
            </w: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2.23</w:t>
            </w: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2.23</w:t>
            </w: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2089999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2.23</w:t>
            </w: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2.23</w:t>
            </w: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123.67</w:t>
            </w: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123.67</w:t>
            </w: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21011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行政事业单位医疗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123.67</w:t>
            </w: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123.67</w:t>
            </w: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2101101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行政单位医疗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45.38</w:t>
            </w: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45.38</w:t>
            </w: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2101102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34.42</w:t>
            </w: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34.42</w:t>
            </w: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2101199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其他行政事业单位医疗支出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43.87</w:t>
            </w: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43.87</w:t>
            </w: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住房保障支出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112.50</w:t>
            </w: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112.50</w:t>
            </w: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住房改革支出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112.50</w:t>
            </w: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112.50</w:t>
            </w: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2210201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住房公积金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112.50</w:t>
            </w: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112.50</w:t>
            </w: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粮油物资储备支出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1,971.30</w:t>
            </w: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1,971.30</w:t>
            </w: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粮油物资事务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281.26</w:t>
            </w: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281.26</w:t>
            </w: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2220150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223.01</w:t>
            </w: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223.01</w:t>
            </w: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2220199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其他粮油物资事务支出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58.25</w:t>
            </w: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58.25</w:t>
            </w: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22204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粮油储备</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1,690.05</w:t>
            </w: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1,690.05</w:t>
            </w: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2220401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储备粮油补贴</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1,690.05</w:t>
            </w: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1,690.05</w:t>
            </w: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bl>
    <w:p>
      <w:pPr>
        <w:keepNext w:val="0"/>
        <w:keepLines w:val="0"/>
        <w:pageBreakBefore w:val="0"/>
        <w:widowControl w:val="0"/>
        <w:kinsoku/>
        <w:overflowPunct/>
        <w:topLinePunct w:val="0"/>
        <w:autoSpaceDN/>
        <w:bidi w:val="0"/>
        <w:adjustRightInd/>
        <w:spacing w:beforeAutospacing="0" w:afterAutospacing="0"/>
        <w:ind w:left="600" w:hanging="600" w:hangingChars="300"/>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备注：1.本表反映部门本年度取得的各项收入情况。</w:t>
      </w:r>
      <w:r>
        <w:rPr>
          <w:rFonts w:hint="default" w:ascii="Times New Roman" w:hAnsi="Times New Roman" w:cs="Times New Roman"/>
          <w:b w:val="0"/>
          <w:bCs w:val="0"/>
          <w:color w:val="auto"/>
          <w:sz w:val="20"/>
          <w:szCs w:val="20"/>
        </w:rPr>
        <w:br w:type="textWrapping"/>
      </w:r>
      <w:r>
        <w:rPr>
          <w:rFonts w:hint="default" w:ascii="Times New Roman" w:hAnsi="Times New Roman" w:cs="Times New Roman"/>
          <w:b w:val="0"/>
          <w:bCs w:val="0"/>
          <w:color w:val="auto"/>
          <w:sz w:val="20"/>
          <w:szCs w:val="20"/>
        </w:rPr>
        <w:t>2.本套报表金额单位转换时可能存在尾数误差。</w:t>
      </w:r>
      <w:r>
        <w:rPr>
          <w:rFonts w:hint="default" w:ascii="Times New Roman" w:hAnsi="Times New Roman" w:cs="Times New Roman"/>
          <w:b w:val="0"/>
          <w:bCs w:val="0"/>
          <w:color w:val="auto"/>
          <w:sz w:val="20"/>
          <w:szCs w:val="20"/>
        </w:rPr>
        <w:br w:type="textWrapping"/>
      </w:r>
      <w:r>
        <w:rPr>
          <w:rFonts w:hint="default" w:ascii="Times New Roman" w:hAnsi="Times New Roman" w:cs="Times New Roman"/>
          <w:b w:val="0"/>
          <w:bCs w:val="0"/>
          <w:color w:val="auto"/>
          <w:sz w:val="20"/>
          <w:szCs w:val="20"/>
        </w:rPr>
        <w:br w:type="textWrapping"/>
      </w:r>
    </w:p>
    <w:p>
      <w:pPr>
        <w:keepNext w:val="0"/>
        <w:keepLines w:val="0"/>
        <w:pageBreakBefore w:val="0"/>
        <w:widowControl w:val="0"/>
        <w:kinsoku/>
        <w:overflowPunct/>
        <w:topLinePunct w:val="0"/>
        <w:autoSpaceDN/>
        <w:bidi w:val="0"/>
        <w:adjustRightInd/>
        <w:spacing w:beforeAutospacing="0" w:afterAutospacing="0"/>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br w:type="page"/>
      </w:r>
    </w:p>
    <w:tbl>
      <w:tblPr>
        <w:tblStyle w:val="9"/>
        <w:tblW w:w="15322" w:type="dxa"/>
        <w:tblInd w:w="0" w:type="dxa"/>
        <w:tblLayout w:type="fixed"/>
        <w:tblCellMar>
          <w:top w:w="0" w:type="dxa"/>
          <w:left w:w="0" w:type="dxa"/>
          <w:bottom w:w="0" w:type="dxa"/>
          <w:right w:w="0" w:type="dxa"/>
        </w:tblCellMar>
      </w:tblPr>
      <w:tblGrid>
        <w:gridCol w:w="1795"/>
        <w:gridCol w:w="3343"/>
        <w:gridCol w:w="1695"/>
        <w:gridCol w:w="1695"/>
        <w:gridCol w:w="1695"/>
        <w:gridCol w:w="1679"/>
        <w:gridCol w:w="1679"/>
        <w:gridCol w:w="1741"/>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jc w:val="center"/>
              <w:textAlignment w:val="bottom"/>
              <w:rPr>
                <w:rFonts w:hint="default" w:ascii="Times New Roman" w:hAnsi="Times New Roman" w:cs="Times New Roman"/>
                <w:b w:val="0"/>
                <w:bCs w:val="0"/>
                <w:color w:val="auto"/>
                <w:sz w:val="32"/>
                <w:szCs w:val="32"/>
              </w:rPr>
            </w:pPr>
            <w:r>
              <w:rPr>
                <w:rFonts w:hint="default" w:ascii="Times New Roman" w:hAnsi="Times New Roman" w:cs="Times New Roman"/>
                <w:b w:val="0"/>
                <w:bCs w:val="0"/>
                <w:color w:val="auto"/>
                <w:sz w:val="32"/>
                <w:szCs w:val="32"/>
              </w:rPr>
              <w:t>支出决算表</w:t>
            </w:r>
          </w:p>
        </w:tc>
      </w:tr>
      <w:tr>
        <w:tblPrEx>
          <w:tblCellMar>
            <w:top w:w="0" w:type="dxa"/>
            <w:left w:w="0" w:type="dxa"/>
            <w:bottom w:w="0" w:type="dxa"/>
            <w:right w:w="0" w:type="dxa"/>
          </w:tblCellMar>
        </w:tblPrEx>
        <w:trPr>
          <w:trHeight w:val="342" w:hRule="atLeast"/>
        </w:trPr>
        <w:tc>
          <w:tcPr>
            <w:tcW w:w="6833"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 xml:space="preserve">公开部门： </w:t>
            </w:r>
            <w:r>
              <w:rPr>
                <w:rFonts w:hint="default" w:ascii="Times New Roman" w:hAnsi="Times New Roman" w:cs="Times New Roman"/>
                <w:b w:val="0"/>
                <w:bCs w:val="0"/>
                <w:color w:val="auto"/>
                <w:sz w:val="20"/>
                <w:u w:color="auto"/>
              </w:rPr>
              <w:t xml:space="preserve">重庆市万州区发展和改革委员会 </w:t>
            </w:r>
          </w:p>
        </w:tc>
        <w:tc>
          <w:tcPr>
            <w:tcW w:w="169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rPr>
                <w:rFonts w:hint="default" w:ascii="Times New Roman" w:hAnsi="Times New Roman" w:cs="Times New Roman"/>
                <w:b w:val="0"/>
                <w:bCs w:val="0"/>
                <w:color w:val="auto"/>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rPr>
                <w:rFonts w:hint="default" w:ascii="Times New Roman" w:hAnsi="Times New Roman" w:cs="Times New Roman"/>
                <w:b w:val="0"/>
                <w:bCs w:val="0"/>
                <w:color w:val="auto"/>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rPr>
                <w:rFonts w:hint="default" w:ascii="Times New Roman" w:hAnsi="Times New Roman" w:cs="Times New Roman"/>
                <w:b w:val="0"/>
                <w:bCs w:val="0"/>
                <w:color w:val="auto"/>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rPr>
                <w:rFonts w:hint="default" w:ascii="Times New Roman" w:hAnsi="Times New Roman" w:cs="Times New Roman"/>
                <w:b w:val="0"/>
                <w:bCs w:val="0"/>
                <w:color w:val="auto"/>
                <w:sz w:val="20"/>
                <w:szCs w:val="20"/>
              </w:rPr>
            </w:pPr>
          </w:p>
        </w:tc>
        <w:tc>
          <w:tcPr>
            <w:tcW w:w="174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jc w:val="right"/>
              <w:textAlignment w:val="bottom"/>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公开03表</w:t>
            </w:r>
          </w:p>
        </w:tc>
      </w:tr>
      <w:tr>
        <w:tblPrEx>
          <w:tblCellMar>
            <w:top w:w="0" w:type="dxa"/>
            <w:left w:w="0" w:type="dxa"/>
            <w:bottom w:w="0" w:type="dxa"/>
            <w:right w:w="0" w:type="dxa"/>
          </w:tblCellMar>
        </w:tblPrEx>
        <w:trPr>
          <w:trHeight w:val="342" w:hRule="atLeast"/>
        </w:trPr>
        <w:tc>
          <w:tcPr>
            <w:tcW w:w="6833"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rPr>
                <w:rFonts w:hint="default" w:ascii="Times New Roman" w:hAnsi="Times New Roman" w:cs="Times New Roman"/>
                <w:b w:val="0"/>
                <w:bCs w:val="0"/>
                <w:color w:val="auto"/>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rPr>
                <w:rFonts w:hint="default" w:ascii="Times New Roman" w:hAnsi="Times New Roman" w:cs="Times New Roman"/>
                <w:b w:val="0"/>
                <w:bCs w:val="0"/>
                <w:color w:val="auto"/>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rPr>
                <w:rFonts w:hint="default" w:ascii="Times New Roman" w:hAnsi="Times New Roman" w:cs="Times New Roman"/>
                <w:b w:val="0"/>
                <w:bCs w:val="0"/>
                <w:color w:val="auto"/>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rPr>
                <w:rFonts w:hint="default" w:ascii="Times New Roman" w:hAnsi="Times New Roman" w:cs="Times New Roman"/>
                <w:b w:val="0"/>
                <w:bCs w:val="0"/>
                <w:color w:val="auto"/>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rPr>
                <w:rFonts w:hint="default" w:ascii="Times New Roman" w:hAnsi="Times New Roman" w:cs="Times New Roman"/>
                <w:b w:val="0"/>
                <w:bCs w:val="0"/>
                <w:color w:val="auto"/>
                <w:sz w:val="20"/>
                <w:szCs w:val="20"/>
              </w:rPr>
            </w:pPr>
          </w:p>
        </w:tc>
        <w:tc>
          <w:tcPr>
            <w:tcW w:w="174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jc w:val="right"/>
              <w:textAlignment w:val="bottom"/>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单位：万元</w:t>
            </w:r>
          </w:p>
        </w:tc>
      </w:tr>
      <w:tr>
        <w:tblPrEx>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jc w:val="center"/>
              <w:textAlignment w:val="bottom"/>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项目</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本年支出合计</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基本支出</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项目支出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上缴上级支出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经营支出</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对附属单位补助支出</w:t>
            </w:r>
          </w:p>
        </w:tc>
      </w:tr>
      <w:tr>
        <w:tblPrEx>
          <w:tblCellMar>
            <w:top w:w="0" w:type="dxa"/>
            <w:left w:w="0" w:type="dxa"/>
            <w:bottom w:w="0" w:type="dxa"/>
            <w:right w:w="0" w:type="dxa"/>
          </w:tblCellMar>
        </w:tblPrEx>
        <w:trPr>
          <w:trHeight w:val="338" w:hRule="atLeast"/>
        </w:trPr>
        <w:tc>
          <w:tcPr>
            <w:tcW w:w="1795"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功能分类科目编码</w:t>
            </w:r>
          </w:p>
        </w:tc>
        <w:tc>
          <w:tcPr>
            <w:tcW w:w="3343"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项目（按“项”级功能分类科目）</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r>
      <w:tr>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r>
      <w:tr>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r>
      <w:tr>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r>
      <w:tr>
        <w:tblPrEx>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合计</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7,456.51</w:t>
            </w:r>
            <w:r>
              <w:rPr>
                <w:rFonts w:hint="default" w:ascii="Times New Roman" w:hAnsi="Times New Roman" w:cs="Times New Roman"/>
                <w:b w:val="0"/>
                <w:bCs w:val="0"/>
                <w:color w:val="auto"/>
                <w:sz w:val="20"/>
                <w:u w:color="auto"/>
              </w:rPr>
              <w:t xml:space="preserve">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3,299.10</w:t>
            </w:r>
            <w:r>
              <w:rPr>
                <w:rFonts w:hint="default" w:ascii="Times New Roman" w:hAnsi="Times New Roman" w:cs="Times New Roman"/>
                <w:b w:val="0"/>
                <w:bCs w:val="0"/>
                <w:color w:val="auto"/>
                <w:sz w:val="20"/>
                <w:u w:color="auto"/>
              </w:rPr>
              <w:t xml:space="preserve">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4,157.41</w:t>
            </w:r>
            <w:r>
              <w:rPr>
                <w:rFonts w:hint="default" w:ascii="Times New Roman" w:hAnsi="Times New Roman" w:cs="Times New Roman"/>
                <w:b w:val="0"/>
                <w:bCs w:val="0"/>
                <w:color w:val="auto"/>
                <w:sz w:val="20"/>
                <w:u w:color="auto"/>
              </w:rPr>
              <w:t xml:space="preserve"> </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一般公共服务支出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3,728.61</w:t>
            </w:r>
            <w:r>
              <w:rPr>
                <w:rFonts w:hint="default" w:ascii="Times New Roman" w:hAnsi="Times New Roman" w:cs="Times New Roman"/>
                <w:b w:val="0"/>
                <w:bCs w:val="0"/>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1,948.82</w:t>
            </w:r>
            <w:r>
              <w:rPr>
                <w:rFonts w:hint="default" w:ascii="Times New Roman" w:hAnsi="Times New Roman" w:cs="Times New Roman"/>
                <w:b w:val="0"/>
                <w:bCs w:val="0"/>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1,779.79</w:t>
            </w:r>
            <w:r>
              <w:rPr>
                <w:rFonts w:hint="default" w:ascii="Times New Roman" w:hAnsi="Times New Roman" w:cs="Times New Roman"/>
                <w:b w:val="0"/>
                <w:bCs w:val="0"/>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政府办公厅（室）及相关机构事务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46.33</w:t>
            </w:r>
            <w:r>
              <w:rPr>
                <w:rFonts w:hint="default" w:ascii="Times New Roman" w:hAnsi="Times New Roman" w:cs="Times New Roman"/>
                <w:b w:val="0"/>
                <w:bCs w:val="0"/>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46.33</w:t>
            </w:r>
            <w:r>
              <w:rPr>
                <w:rFonts w:hint="default" w:ascii="Times New Roman" w:hAnsi="Times New Roman" w:cs="Times New Roman"/>
                <w:b w:val="0"/>
                <w:bCs w:val="0"/>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2010308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信访事务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46.33</w:t>
            </w:r>
            <w:r>
              <w:rPr>
                <w:rFonts w:hint="default" w:ascii="Times New Roman" w:hAnsi="Times New Roman" w:cs="Times New Roman"/>
                <w:b w:val="0"/>
                <w:bCs w:val="0"/>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46.33</w:t>
            </w:r>
            <w:r>
              <w:rPr>
                <w:rFonts w:hint="default" w:ascii="Times New Roman" w:hAnsi="Times New Roman" w:cs="Times New Roman"/>
                <w:b w:val="0"/>
                <w:bCs w:val="0"/>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发展与改革事务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3,676.28</w:t>
            </w:r>
            <w:r>
              <w:rPr>
                <w:rFonts w:hint="default" w:ascii="Times New Roman" w:hAnsi="Times New Roman" w:cs="Times New Roman"/>
                <w:b w:val="0"/>
                <w:bCs w:val="0"/>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1,948.82</w:t>
            </w:r>
            <w:r>
              <w:rPr>
                <w:rFonts w:hint="default" w:ascii="Times New Roman" w:hAnsi="Times New Roman" w:cs="Times New Roman"/>
                <w:b w:val="0"/>
                <w:bCs w:val="0"/>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1,727.46</w:t>
            </w:r>
            <w:r>
              <w:rPr>
                <w:rFonts w:hint="default" w:ascii="Times New Roman" w:hAnsi="Times New Roman" w:cs="Times New Roman"/>
                <w:b w:val="0"/>
                <w:bCs w:val="0"/>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2010401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1,107.90</w:t>
            </w:r>
            <w:r>
              <w:rPr>
                <w:rFonts w:hint="default" w:ascii="Times New Roman" w:hAnsi="Times New Roman" w:cs="Times New Roman"/>
                <w:b w:val="0"/>
                <w:bCs w:val="0"/>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1,107.90</w:t>
            </w:r>
            <w:r>
              <w:rPr>
                <w:rFonts w:hint="default" w:ascii="Times New Roman" w:hAnsi="Times New Roman" w:cs="Times New Roman"/>
                <w:b w:val="0"/>
                <w:bCs w:val="0"/>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2010402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一般行政管理事务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912.29</w:t>
            </w:r>
            <w:r>
              <w:rPr>
                <w:rFonts w:hint="default" w:ascii="Times New Roman" w:hAnsi="Times New Roman" w:cs="Times New Roman"/>
                <w:b w:val="0"/>
                <w:bCs w:val="0"/>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912.29</w:t>
            </w:r>
            <w:r>
              <w:rPr>
                <w:rFonts w:hint="default" w:ascii="Times New Roman" w:hAnsi="Times New Roman" w:cs="Times New Roman"/>
                <w:b w:val="0"/>
                <w:bCs w:val="0"/>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2010404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战略规划与实施</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118.00</w:t>
            </w:r>
            <w:r>
              <w:rPr>
                <w:rFonts w:hint="default" w:ascii="Times New Roman" w:hAnsi="Times New Roman" w:cs="Times New Roman"/>
                <w:b w:val="0"/>
                <w:bCs w:val="0"/>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118.00</w:t>
            </w:r>
            <w:r>
              <w:rPr>
                <w:rFonts w:hint="default" w:ascii="Times New Roman" w:hAnsi="Times New Roman" w:cs="Times New Roman"/>
                <w:b w:val="0"/>
                <w:bCs w:val="0"/>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2010406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社会事业发展规划</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19.80</w:t>
            </w:r>
            <w:r>
              <w:rPr>
                <w:rFonts w:hint="default" w:ascii="Times New Roman" w:hAnsi="Times New Roman" w:cs="Times New Roman"/>
                <w:b w:val="0"/>
                <w:bCs w:val="0"/>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19.80</w:t>
            </w:r>
            <w:r>
              <w:rPr>
                <w:rFonts w:hint="default" w:ascii="Times New Roman" w:hAnsi="Times New Roman" w:cs="Times New Roman"/>
                <w:b w:val="0"/>
                <w:bCs w:val="0"/>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2010408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物价管理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13.17</w:t>
            </w:r>
            <w:r>
              <w:rPr>
                <w:rFonts w:hint="default" w:ascii="Times New Roman" w:hAnsi="Times New Roman" w:cs="Times New Roman"/>
                <w:b w:val="0"/>
                <w:bCs w:val="0"/>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13.17</w:t>
            </w:r>
            <w:r>
              <w:rPr>
                <w:rFonts w:hint="default" w:ascii="Times New Roman" w:hAnsi="Times New Roman" w:cs="Times New Roman"/>
                <w:b w:val="0"/>
                <w:bCs w:val="0"/>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2010450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749.10</w:t>
            </w:r>
            <w:r>
              <w:rPr>
                <w:rFonts w:hint="default" w:ascii="Times New Roman" w:hAnsi="Times New Roman" w:cs="Times New Roman"/>
                <w:b w:val="0"/>
                <w:bCs w:val="0"/>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749.10</w:t>
            </w:r>
            <w:r>
              <w:rPr>
                <w:rFonts w:hint="default" w:ascii="Times New Roman" w:hAnsi="Times New Roman" w:cs="Times New Roman"/>
                <w:b w:val="0"/>
                <w:bCs w:val="0"/>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2010499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其他发展与改革事务支出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756.03</w:t>
            </w:r>
            <w:r>
              <w:rPr>
                <w:rFonts w:hint="default" w:ascii="Times New Roman" w:hAnsi="Times New Roman" w:cs="Times New Roman"/>
                <w:b w:val="0"/>
                <w:bCs w:val="0"/>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91.83</w:t>
            </w:r>
            <w:r>
              <w:rPr>
                <w:rFonts w:hint="default" w:ascii="Times New Roman" w:hAnsi="Times New Roman" w:cs="Times New Roman"/>
                <w:b w:val="0"/>
                <w:bCs w:val="0"/>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664.20</w:t>
            </w:r>
            <w:r>
              <w:rPr>
                <w:rFonts w:hint="default" w:ascii="Times New Roman" w:hAnsi="Times New Roman" w:cs="Times New Roman"/>
                <w:b w:val="0"/>
                <w:bCs w:val="0"/>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20113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商贸事务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6.00</w:t>
            </w:r>
            <w:r>
              <w:rPr>
                <w:rFonts w:hint="default" w:ascii="Times New Roman" w:hAnsi="Times New Roman" w:cs="Times New Roman"/>
                <w:b w:val="0"/>
                <w:bCs w:val="0"/>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6.00</w:t>
            </w:r>
            <w:r>
              <w:rPr>
                <w:rFonts w:hint="default" w:ascii="Times New Roman" w:hAnsi="Times New Roman" w:cs="Times New Roman"/>
                <w:b w:val="0"/>
                <w:bCs w:val="0"/>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2011308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招商引资</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6.00</w:t>
            </w:r>
            <w:r>
              <w:rPr>
                <w:rFonts w:hint="default" w:ascii="Times New Roman" w:hAnsi="Times New Roman" w:cs="Times New Roman"/>
                <w:b w:val="0"/>
                <w:bCs w:val="0"/>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6.00</w:t>
            </w:r>
            <w:r>
              <w:rPr>
                <w:rFonts w:hint="default" w:ascii="Times New Roman" w:hAnsi="Times New Roman" w:cs="Times New Roman"/>
                <w:b w:val="0"/>
                <w:bCs w:val="0"/>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国防支出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628.09</w:t>
            </w:r>
            <w:r>
              <w:rPr>
                <w:rFonts w:hint="default" w:ascii="Times New Roman" w:hAnsi="Times New Roman" w:cs="Times New Roman"/>
                <w:b w:val="0"/>
                <w:bCs w:val="0"/>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628.09</w:t>
            </w:r>
            <w:r>
              <w:rPr>
                <w:rFonts w:hint="default" w:ascii="Times New Roman" w:hAnsi="Times New Roman" w:cs="Times New Roman"/>
                <w:b w:val="0"/>
                <w:bCs w:val="0"/>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892.33</w:t>
            </w:r>
            <w:r>
              <w:rPr>
                <w:rFonts w:hint="default" w:ascii="Times New Roman" w:hAnsi="Times New Roman" w:cs="Times New Roman"/>
                <w:b w:val="0"/>
                <w:bCs w:val="0"/>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891.09</w:t>
            </w:r>
            <w:r>
              <w:rPr>
                <w:rFonts w:hint="default" w:ascii="Times New Roman" w:hAnsi="Times New Roman" w:cs="Times New Roman"/>
                <w:b w:val="0"/>
                <w:bCs w:val="0"/>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1.24</w:t>
            </w:r>
            <w:r>
              <w:rPr>
                <w:rFonts w:hint="default" w:ascii="Times New Roman" w:hAnsi="Times New Roman" w:cs="Times New Roman"/>
                <w:b w:val="0"/>
                <w:bCs w:val="0"/>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732.61</w:t>
            </w:r>
            <w:r>
              <w:rPr>
                <w:rFonts w:hint="default" w:ascii="Times New Roman" w:hAnsi="Times New Roman" w:cs="Times New Roman"/>
                <w:b w:val="0"/>
                <w:bCs w:val="0"/>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732.61</w:t>
            </w:r>
            <w:r>
              <w:rPr>
                <w:rFonts w:hint="default" w:ascii="Times New Roman" w:hAnsi="Times New Roman" w:cs="Times New Roman"/>
                <w:b w:val="0"/>
                <w:bCs w:val="0"/>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2080501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行政单位离退休</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32.45</w:t>
            </w:r>
            <w:r>
              <w:rPr>
                <w:rFonts w:hint="default" w:ascii="Times New Roman" w:hAnsi="Times New Roman" w:cs="Times New Roman"/>
                <w:b w:val="0"/>
                <w:bCs w:val="0"/>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32.45</w:t>
            </w:r>
            <w:r>
              <w:rPr>
                <w:rFonts w:hint="default" w:ascii="Times New Roman" w:hAnsi="Times New Roman" w:cs="Times New Roman"/>
                <w:b w:val="0"/>
                <w:bCs w:val="0"/>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2080502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事业单位离退休</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14.88</w:t>
            </w:r>
            <w:r>
              <w:rPr>
                <w:rFonts w:hint="default" w:ascii="Times New Roman" w:hAnsi="Times New Roman" w:cs="Times New Roman"/>
                <w:b w:val="0"/>
                <w:bCs w:val="0"/>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14.88</w:t>
            </w:r>
            <w:r>
              <w:rPr>
                <w:rFonts w:hint="default" w:ascii="Times New Roman" w:hAnsi="Times New Roman" w:cs="Times New Roman"/>
                <w:b w:val="0"/>
                <w:bCs w:val="0"/>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2080505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机关事业单位基本养老保险缴费支出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182.57</w:t>
            </w:r>
            <w:r>
              <w:rPr>
                <w:rFonts w:hint="default" w:ascii="Times New Roman" w:hAnsi="Times New Roman" w:cs="Times New Roman"/>
                <w:b w:val="0"/>
                <w:bCs w:val="0"/>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182.57</w:t>
            </w:r>
            <w:r>
              <w:rPr>
                <w:rFonts w:hint="default" w:ascii="Times New Roman" w:hAnsi="Times New Roman" w:cs="Times New Roman"/>
                <w:b w:val="0"/>
                <w:bCs w:val="0"/>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2080506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机关事业单位职业年金缴费支出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93.71</w:t>
            </w:r>
            <w:r>
              <w:rPr>
                <w:rFonts w:hint="default" w:ascii="Times New Roman" w:hAnsi="Times New Roman" w:cs="Times New Roman"/>
                <w:b w:val="0"/>
                <w:bCs w:val="0"/>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93.71</w:t>
            </w:r>
            <w:r>
              <w:rPr>
                <w:rFonts w:hint="default" w:ascii="Times New Roman" w:hAnsi="Times New Roman" w:cs="Times New Roman"/>
                <w:b w:val="0"/>
                <w:bCs w:val="0"/>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2080599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408.99</w:t>
            </w:r>
            <w:r>
              <w:rPr>
                <w:rFonts w:hint="default" w:ascii="Times New Roman" w:hAnsi="Times New Roman" w:cs="Times New Roman"/>
                <w:b w:val="0"/>
                <w:bCs w:val="0"/>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408.99</w:t>
            </w:r>
            <w:r>
              <w:rPr>
                <w:rFonts w:hint="default" w:ascii="Times New Roman" w:hAnsi="Times New Roman" w:cs="Times New Roman"/>
                <w:b w:val="0"/>
                <w:bCs w:val="0"/>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抚恤</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156.26</w:t>
            </w:r>
            <w:r>
              <w:rPr>
                <w:rFonts w:hint="default" w:ascii="Times New Roman" w:hAnsi="Times New Roman" w:cs="Times New Roman"/>
                <w:b w:val="0"/>
                <w:bCs w:val="0"/>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156.26</w:t>
            </w:r>
            <w:r>
              <w:rPr>
                <w:rFonts w:hint="default" w:ascii="Times New Roman" w:hAnsi="Times New Roman" w:cs="Times New Roman"/>
                <w:b w:val="0"/>
                <w:bCs w:val="0"/>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2080801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死亡抚恤</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156.26</w:t>
            </w:r>
            <w:r>
              <w:rPr>
                <w:rFonts w:hint="default" w:ascii="Times New Roman" w:hAnsi="Times New Roman" w:cs="Times New Roman"/>
                <w:b w:val="0"/>
                <w:bCs w:val="0"/>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156.26</w:t>
            </w:r>
            <w:r>
              <w:rPr>
                <w:rFonts w:hint="default" w:ascii="Times New Roman" w:hAnsi="Times New Roman" w:cs="Times New Roman"/>
                <w:b w:val="0"/>
                <w:bCs w:val="0"/>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退役安置</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1.24</w:t>
            </w:r>
            <w:r>
              <w:rPr>
                <w:rFonts w:hint="default" w:ascii="Times New Roman" w:hAnsi="Times New Roman" w:cs="Times New Roman"/>
                <w:b w:val="0"/>
                <w:bCs w:val="0"/>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1.24</w:t>
            </w:r>
            <w:r>
              <w:rPr>
                <w:rFonts w:hint="default" w:ascii="Times New Roman" w:hAnsi="Times New Roman" w:cs="Times New Roman"/>
                <w:b w:val="0"/>
                <w:bCs w:val="0"/>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2080905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军队转业干部安置</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1.24</w:t>
            </w:r>
            <w:r>
              <w:rPr>
                <w:rFonts w:hint="default" w:ascii="Times New Roman" w:hAnsi="Times New Roman" w:cs="Times New Roman"/>
                <w:b w:val="0"/>
                <w:bCs w:val="0"/>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1.24</w:t>
            </w:r>
            <w:r>
              <w:rPr>
                <w:rFonts w:hint="default" w:ascii="Times New Roman" w:hAnsi="Times New Roman" w:cs="Times New Roman"/>
                <w:b w:val="0"/>
                <w:bCs w:val="0"/>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2.23</w:t>
            </w:r>
            <w:r>
              <w:rPr>
                <w:rFonts w:hint="default" w:ascii="Times New Roman" w:hAnsi="Times New Roman" w:cs="Times New Roman"/>
                <w:b w:val="0"/>
                <w:bCs w:val="0"/>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2.23</w:t>
            </w:r>
            <w:r>
              <w:rPr>
                <w:rFonts w:hint="default" w:ascii="Times New Roman" w:hAnsi="Times New Roman" w:cs="Times New Roman"/>
                <w:b w:val="0"/>
                <w:bCs w:val="0"/>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2089999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2.23</w:t>
            </w:r>
            <w:r>
              <w:rPr>
                <w:rFonts w:hint="default" w:ascii="Times New Roman" w:hAnsi="Times New Roman" w:cs="Times New Roman"/>
                <w:b w:val="0"/>
                <w:bCs w:val="0"/>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2.23</w:t>
            </w:r>
            <w:r>
              <w:rPr>
                <w:rFonts w:hint="default" w:ascii="Times New Roman" w:hAnsi="Times New Roman" w:cs="Times New Roman"/>
                <w:b w:val="0"/>
                <w:bCs w:val="0"/>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123.67</w:t>
            </w:r>
            <w:r>
              <w:rPr>
                <w:rFonts w:hint="default" w:ascii="Times New Roman" w:hAnsi="Times New Roman" w:cs="Times New Roman"/>
                <w:b w:val="0"/>
                <w:bCs w:val="0"/>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123.67</w:t>
            </w:r>
            <w:r>
              <w:rPr>
                <w:rFonts w:hint="default" w:ascii="Times New Roman" w:hAnsi="Times New Roman" w:cs="Times New Roman"/>
                <w:b w:val="0"/>
                <w:bCs w:val="0"/>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21011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行政事业单位医疗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123.67</w:t>
            </w:r>
            <w:r>
              <w:rPr>
                <w:rFonts w:hint="default" w:ascii="Times New Roman" w:hAnsi="Times New Roman" w:cs="Times New Roman"/>
                <w:b w:val="0"/>
                <w:bCs w:val="0"/>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123.67</w:t>
            </w:r>
            <w:r>
              <w:rPr>
                <w:rFonts w:hint="default" w:ascii="Times New Roman" w:hAnsi="Times New Roman" w:cs="Times New Roman"/>
                <w:b w:val="0"/>
                <w:bCs w:val="0"/>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2101101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行政单位医疗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45.38</w:t>
            </w:r>
            <w:r>
              <w:rPr>
                <w:rFonts w:hint="default" w:ascii="Times New Roman" w:hAnsi="Times New Roman" w:cs="Times New Roman"/>
                <w:b w:val="0"/>
                <w:bCs w:val="0"/>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45.38</w:t>
            </w:r>
            <w:r>
              <w:rPr>
                <w:rFonts w:hint="default" w:ascii="Times New Roman" w:hAnsi="Times New Roman" w:cs="Times New Roman"/>
                <w:b w:val="0"/>
                <w:bCs w:val="0"/>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2101102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34.42</w:t>
            </w:r>
            <w:r>
              <w:rPr>
                <w:rFonts w:hint="default" w:ascii="Times New Roman" w:hAnsi="Times New Roman" w:cs="Times New Roman"/>
                <w:b w:val="0"/>
                <w:bCs w:val="0"/>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34.42</w:t>
            </w:r>
            <w:r>
              <w:rPr>
                <w:rFonts w:hint="default" w:ascii="Times New Roman" w:hAnsi="Times New Roman" w:cs="Times New Roman"/>
                <w:b w:val="0"/>
                <w:bCs w:val="0"/>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2101199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其他行政事业单位医疗支出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43.87</w:t>
            </w:r>
            <w:r>
              <w:rPr>
                <w:rFonts w:hint="default" w:ascii="Times New Roman" w:hAnsi="Times New Roman" w:cs="Times New Roman"/>
                <w:b w:val="0"/>
                <w:bCs w:val="0"/>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43.87</w:t>
            </w:r>
            <w:r>
              <w:rPr>
                <w:rFonts w:hint="default" w:ascii="Times New Roman" w:hAnsi="Times New Roman" w:cs="Times New Roman"/>
                <w:b w:val="0"/>
                <w:bCs w:val="0"/>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住房保障支出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112.50</w:t>
            </w:r>
            <w:r>
              <w:rPr>
                <w:rFonts w:hint="default" w:ascii="Times New Roman" w:hAnsi="Times New Roman" w:cs="Times New Roman"/>
                <w:b w:val="0"/>
                <w:bCs w:val="0"/>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112.50</w:t>
            </w:r>
            <w:r>
              <w:rPr>
                <w:rFonts w:hint="default" w:ascii="Times New Roman" w:hAnsi="Times New Roman" w:cs="Times New Roman"/>
                <w:b w:val="0"/>
                <w:bCs w:val="0"/>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22102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住房改革支出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112.50</w:t>
            </w:r>
            <w:r>
              <w:rPr>
                <w:rFonts w:hint="default" w:ascii="Times New Roman" w:hAnsi="Times New Roman" w:cs="Times New Roman"/>
                <w:b w:val="0"/>
                <w:bCs w:val="0"/>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112.50</w:t>
            </w:r>
            <w:r>
              <w:rPr>
                <w:rFonts w:hint="default" w:ascii="Times New Roman" w:hAnsi="Times New Roman" w:cs="Times New Roman"/>
                <w:b w:val="0"/>
                <w:bCs w:val="0"/>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2210201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住房公积金</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112.50</w:t>
            </w:r>
            <w:r>
              <w:rPr>
                <w:rFonts w:hint="default" w:ascii="Times New Roman" w:hAnsi="Times New Roman" w:cs="Times New Roman"/>
                <w:b w:val="0"/>
                <w:bCs w:val="0"/>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112.50</w:t>
            </w:r>
            <w:r>
              <w:rPr>
                <w:rFonts w:hint="default" w:ascii="Times New Roman" w:hAnsi="Times New Roman" w:cs="Times New Roman"/>
                <w:b w:val="0"/>
                <w:bCs w:val="0"/>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粮油物资储备支出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1,971.30</w:t>
            </w:r>
            <w:r>
              <w:rPr>
                <w:rFonts w:hint="default" w:ascii="Times New Roman" w:hAnsi="Times New Roman" w:cs="Times New Roman"/>
                <w:b w:val="0"/>
                <w:bCs w:val="0"/>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223.01</w:t>
            </w:r>
            <w:r>
              <w:rPr>
                <w:rFonts w:hint="default" w:ascii="Times New Roman" w:hAnsi="Times New Roman" w:cs="Times New Roman"/>
                <w:b w:val="0"/>
                <w:bCs w:val="0"/>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1,748.29</w:t>
            </w:r>
            <w:r>
              <w:rPr>
                <w:rFonts w:hint="default" w:ascii="Times New Roman" w:hAnsi="Times New Roman" w:cs="Times New Roman"/>
                <w:b w:val="0"/>
                <w:bCs w:val="0"/>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粮油物资事务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281.26</w:t>
            </w:r>
            <w:r>
              <w:rPr>
                <w:rFonts w:hint="default" w:ascii="Times New Roman" w:hAnsi="Times New Roman" w:cs="Times New Roman"/>
                <w:b w:val="0"/>
                <w:bCs w:val="0"/>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223.01</w:t>
            </w:r>
            <w:r>
              <w:rPr>
                <w:rFonts w:hint="default" w:ascii="Times New Roman" w:hAnsi="Times New Roman" w:cs="Times New Roman"/>
                <w:b w:val="0"/>
                <w:bCs w:val="0"/>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58.25</w:t>
            </w:r>
            <w:r>
              <w:rPr>
                <w:rFonts w:hint="default" w:ascii="Times New Roman" w:hAnsi="Times New Roman" w:cs="Times New Roman"/>
                <w:b w:val="0"/>
                <w:bCs w:val="0"/>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2220150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223.01</w:t>
            </w:r>
            <w:r>
              <w:rPr>
                <w:rFonts w:hint="default" w:ascii="Times New Roman" w:hAnsi="Times New Roman" w:cs="Times New Roman"/>
                <w:b w:val="0"/>
                <w:bCs w:val="0"/>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223.01</w:t>
            </w:r>
            <w:r>
              <w:rPr>
                <w:rFonts w:hint="default" w:ascii="Times New Roman" w:hAnsi="Times New Roman" w:cs="Times New Roman"/>
                <w:b w:val="0"/>
                <w:bCs w:val="0"/>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2220199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其他粮油物资事务支出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58.25</w:t>
            </w:r>
            <w:r>
              <w:rPr>
                <w:rFonts w:hint="default" w:ascii="Times New Roman" w:hAnsi="Times New Roman" w:cs="Times New Roman"/>
                <w:b w:val="0"/>
                <w:bCs w:val="0"/>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58.25</w:t>
            </w:r>
            <w:r>
              <w:rPr>
                <w:rFonts w:hint="default" w:ascii="Times New Roman" w:hAnsi="Times New Roman" w:cs="Times New Roman"/>
                <w:b w:val="0"/>
                <w:bCs w:val="0"/>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22204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粮油储备</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1,690.05</w:t>
            </w:r>
            <w:r>
              <w:rPr>
                <w:rFonts w:hint="default" w:ascii="Times New Roman" w:hAnsi="Times New Roman" w:cs="Times New Roman"/>
                <w:b w:val="0"/>
                <w:bCs w:val="0"/>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1,690.05</w:t>
            </w:r>
            <w:r>
              <w:rPr>
                <w:rFonts w:hint="default" w:ascii="Times New Roman" w:hAnsi="Times New Roman" w:cs="Times New Roman"/>
                <w:b w:val="0"/>
                <w:bCs w:val="0"/>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2220401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储备粮油补贴</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1,690.05</w:t>
            </w:r>
            <w:r>
              <w:rPr>
                <w:rFonts w:hint="default" w:ascii="Times New Roman" w:hAnsi="Times New Roman" w:cs="Times New Roman"/>
                <w:b w:val="0"/>
                <w:bCs w:val="0"/>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1,690.05</w:t>
            </w:r>
            <w:r>
              <w:rPr>
                <w:rFonts w:hint="default" w:ascii="Times New Roman" w:hAnsi="Times New Roman" w:cs="Times New Roman"/>
                <w:b w:val="0"/>
                <w:bCs w:val="0"/>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bl>
    <w:p>
      <w:pPr>
        <w:keepNext w:val="0"/>
        <w:keepLines w:val="0"/>
        <w:pageBreakBefore w:val="0"/>
        <w:widowControl w:val="0"/>
        <w:kinsoku/>
        <w:overflowPunct/>
        <w:topLinePunct w:val="0"/>
        <w:autoSpaceDN/>
        <w:bidi w:val="0"/>
        <w:adjustRightInd/>
        <w:spacing w:beforeAutospacing="0" w:afterAutospacing="0"/>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备注：1.本表反映部门本年度各项支出情况。</w:t>
      </w:r>
      <w:r>
        <w:rPr>
          <w:rFonts w:hint="default" w:ascii="Times New Roman" w:hAnsi="Times New Roman" w:cs="Times New Roman"/>
          <w:b w:val="0"/>
          <w:bCs w:val="0"/>
          <w:color w:val="auto"/>
          <w:sz w:val="20"/>
          <w:szCs w:val="20"/>
        </w:rPr>
        <w:br w:type="textWrapping"/>
      </w:r>
      <w:r>
        <w:rPr>
          <w:rFonts w:hint="default" w:ascii="Times New Roman" w:hAnsi="Times New Roman" w:cs="Times New Roman"/>
          <w:b w:val="0"/>
          <w:bCs w:val="0"/>
          <w:color w:val="auto"/>
          <w:sz w:val="20"/>
          <w:szCs w:val="20"/>
        </w:rPr>
        <w:t xml:space="preserve">      2.本套报表金额单位转换时可能存在尾数误差。</w:t>
      </w:r>
      <w:r>
        <w:rPr>
          <w:rFonts w:hint="default" w:ascii="Times New Roman" w:hAnsi="Times New Roman" w:cs="Times New Roman"/>
          <w:b w:val="0"/>
          <w:bCs w:val="0"/>
          <w:color w:val="auto"/>
          <w:sz w:val="20"/>
          <w:szCs w:val="20"/>
        </w:rPr>
        <w:br w:type="textWrapping"/>
      </w:r>
      <w:r>
        <w:rPr>
          <w:rFonts w:hint="default" w:ascii="Times New Roman" w:hAnsi="Times New Roman" w:cs="Times New Roman"/>
          <w:b w:val="0"/>
          <w:bCs w:val="0"/>
          <w:color w:val="auto"/>
          <w:sz w:val="20"/>
          <w:szCs w:val="20"/>
        </w:rPr>
        <w:br w:type="textWrapping"/>
      </w:r>
    </w:p>
    <w:tbl>
      <w:tblPr>
        <w:tblStyle w:val="9"/>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400" w:lineRule="exact"/>
              <w:jc w:val="center"/>
              <w:textAlignment w:val="bottom"/>
              <w:rPr>
                <w:rFonts w:hint="default" w:ascii="Times New Roman" w:hAnsi="Times New Roman" w:cs="Times New Roman"/>
                <w:b w:val="0"/>
                <w:bCs w:val="0"/>
                <w:color w:val="auto"/>
                <w:sz w:val="32"/>
                <w:szCs w:val="32"/>
              </w:rPr>
            </w:pPr>
            <w:r>
              <w:rPr>
                <w:rFonts w:hint="default" w:ascii="Times New Roman" w:hAnsi="Times New Roman" w:cs="Times New Roman"/>
                <w:b w:val="0"/>
                <w:bCs w:val="0"/>
                <w:color w:val="auto"/>
                <w:sz w:val="21"/>
                <w:szCs w:val="21"/>
              </w:rPr>
              <w:br w:type="page"/>
            </w:r>
            <w:r>
              <w:rPr>
                <w:rFonts w:hint="default" w:ascii="Times New Roman" w:hAnsi="Times New Roman" w:cs="Times New Roman"/>
                <w:b w:val="0"/>
                <w:bCs w:val="0"/>
                <w:color w:val="auto"/>
                <w:sz w:val="32"/>
                <w:szCs w:val="32"/>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20"/>
                <w:szCs w:val="20"/>
              </w:rPr>
              <w:t xml:space="preserve">公开部门： </w:t>
            </w:r>
            <w:r>
              <w:rPr>
                <w:rFonts w:hint="default" w:ascii="Times New Roman" w:hAnsi="Times New Roman" w:cs="Times New Roman"/>
                <w:b w:val="0"/>
                <w:bCs w:val="0"/>
                <w:color w:val="auto"/>
                <w:sz w:val="20"/>
                <w:u w:color="auto"/>
              </w:rPr>
              <w:t>重庆市万州区发展和改革委员会</w:t>
            </w:r>
          </w:p>
        </w:tc>
        <w:tc>
          <w:tcPr>
            <w:tcW w:w="1694"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rPr>
                <w:rFonts w:hint="default" w:ascii="Times New Roman" w:hAnsi="Times New Roman" w:cs="Times New Roman"/>
                <w:b w:val="0"/>
                <w:bCs w:val="0"/>
                <w:color w:val="auto"/>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rPr>
                <w:rFonts w:hint="default" w:ascii="Times New Roman" w:hAnsi="Times New Roman" w:cs="Times New Roman"/>
                <w:b w:val="0"/>
                <w:bCs w:val="0"/>
                <w:color w:val="auto"/>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rPr>
                <w:rFonts w:hint="default" w:ascii="Times New Roman" w:hAnsi="Times New Roman" w:cs="Times New Roman"/>
                <w:b w:val="0"/>
                <w:bCs w:val="0"/>
                <w:color w:val="auto"/>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40" w:lineRule="exact"/>
              <w:jc w:val="right"/>
              <w:textAlignment w:val="bottom"/>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公开04表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rPr>
                <w:rFonts w:hint="default" w:ascii="Times New Roman" w:hAnsi="Times New Roman" w:cs="Times New Roman"/>
                <w:b w:val="0"/>
                <w:bCs w:val="0"/>
                <w:color w:val="auto"/>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rPr>
                <w:rFonts w:hint="default" w:ascii="Times New Roman" w:hAnsi="Times New Roman" w:cs="Times New Roman"/>
                <w:b w:val="0"/>
                <w:bCs w:val="0"/>
                <w:color w:val="auto"/>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rPr>
                <w:rFonts w:hint="default" w:ascii="Times New Roman" w:hAnsi="Times New Roman" w:cs="Times New Roman"/>
                <w:b w:val="0"/>
                <w:bCs w:val="0"/>
                <w:color w:val="auto"/>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rPr>
                <w:rFonts w:hint="default" w:ascii="Times New Roman" w:hAnsi="Times New Roman" w:cs="Times New Roman"/>
                <w:b w:val="0"/>
                <w:bCs w:val="0"/>
                <w:color w:val="auto"/>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80" w:lineRule="exact"/>
              <w:jc w:val="right"/>
              <w:textAlignment w:val="bottom"/>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单位：万元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决算数</w:t>
            </w:r>
          </w:p>
        </w:tc>
        <w:tc>
          <w:tcPr>
            <w:tcW w:w="317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功能分类科目</w:t>
            </w:r>
          </w:p>
        </w:tc>
        <w:tc>
          <w:tcPr>
            <w:tcW w:w="7011"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center"/>
              <w:rPr>
                <w:rFonts w:hint="default" w:ascii="Times New Roman" w:hAnsi="Times New Roman" w:cs="Times New Roman"/>
                <w:b w:val="0"/>
                <w:bCs w:val="0"/>
                <w:color w:val="auto"/>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center"/>
              <w:rPr>
                <w:rFonts w:hint="default" w:ascii="Times New Roman" w:hAnsi="Times New Roman" w:cs="Times New Roman"/>
                <w:b w:val="0"/>
                <w:bCs w:val="0"/>
                <w:color w:val="auto"/>
                <w:sz w:val="18"/>
                <w:szCs w:val="18"/>
              </w:rPr>
            </w:pPr>
          </w:p>
        </w:tc>
        <w:tc>
          <w:tcPr>
            <w:tcW w:w="317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center"/>
              <w:rPr>
                <w:rFonts w:hint="default" w:ascii="Times New Roman" w:hAnsi="Times New Roman" w:cs="Times New Roman"/>
                <w:b w:val="0"/>
                <w:bCs w:val="0"/>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7,229.56</w:t>
            </w:r>
            <w:r>
              <w:rPr>
                <w:rFonts w:hint="default" w:ascii="Times New Roman" w:hAnsi="Times New Roman" w:cs="Times New Roman"/>
                <w:b w:val="0"/>
                <w:bCs w:val="0"/>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3,728.61</w:t>
            </w: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3,728.61</w:t>
            </w: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628.09</w:t>
            </w: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628.09</w:t>
            </w: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rPr>
                <w:rFonts w:hint="default" w:ascii="Times New Roman" w:hAnsi="Times New Roman" w:cs="Times New Roman"/>
                <w:b w:val="0"/>
                <w:bCs w:val="0"/>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rPr>
                <w:rFonts w:hint="default" w:ascii="Times New Roman" w:hAnsi="Times New Roman" w:cs="Times New Roman"/>
                <w:b w:val="0"/>
                <w:bCs w:val="0"/>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rPr>
                <w:rFonts w:hint="default" w:ascii="Times New Roman" w:hAnsi="Times New Roman" w:cs="Times New Roman"/>
                <w:b w:val="0"/>
                <w:bCs w:val="0"/>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rPr>
                <w:rFonts w:hint="default" w:ascii="Times New Roman" w:hAnsi="Times New Roman" w:cs="Times New Roman"/>
                <w:b w:val="0"/>
                <w:bCs w:val="0"/>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rPr>
                <w:rFonts w:hint="default" w:ascii="Times New Roman" w:hAnsi="Times New Roman" w:cs="Times New Roman"/>
                <w:b w:val="0"/>
                <w:bCs w:val="0"/>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rPr>
                <w:rFonts w:hint="default" w:ascii="Times New Roman" w:hAnsi="Times New Roman" w:cs="Times New Roman"/>
                <w:b w:val="0"/>
                <w:bCs w:val="0"/>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rPr>
                <w:rFonts w:hint="default" w:ascii="Times New Roman" w:hAnsi="Times New Roman" w:cs="Times New Roman"/>
                <w:b w:val="0"/>
                <w:bCs w:val="0"/>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rPr>
                <w:rFonts w:hint="default" w:ascii="Times New Roman" w:hAnsi="Times New Roman" w:cs="Times New Roman"/>
                <w:b w:val="0"/>
                <w:bCs w:val="0"/>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rPr>
                <w:rFonts w:hint="default" w:ascii="Times New Roman" w:hAnsi="Times New Roman" w:cs="Times New Roman"/>
                <w:b w:val="0"/>
                <w:bCs w:val="0"/>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rPr>
                <w:rFonts w:hint="default" w:ascii="Times New Roman" w:hAnsi="Times New Roman" w:cs="Times New Roman"/>
                <w:b w:val="0"/>
                <w:bCs w:val="0"/>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892.33</w:t>
            </w: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892.33</w:t>
            </w: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rPr>
                <w:rFonts w:hint="default" w:ascii="Times New Roman" w:hAnsi="Times New Roman" w:cs="Times New Roman"/>
                <w:b w:val="0"/>
                <w:bCs w:val="0"/>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rPr>
                <w:rFonts w:hint="default" w:ascii="Times New Roman" w:hAnsi="Times New Roman" w:cs="Times New Roman"/>
                <w:b w:val="0"/>
                <w:bCs w:val="0"/>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123.67</w:t>
            </w: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123.67</w:t>
            </w: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rPr>
                <w:rFonts w:hint="default" w:ascii="Times New Roman" w:hAnsi="Times New Roman" w:cs="Times New Roman"/>
                <w:b w:val="0"/>
                <w:bCs w:val="0"/>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right"/>
              <w:rPr>
                <w:rFonts w:hint="default" w:ascii="Times New Roman" w:hAnsi="Times New Roman" w:cs="Times New Roman"/>
                <w:b w:val="0"/>
                <w:bCs w:val="0"/>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rPr>
                <w:rFonts w:hint="default" w:ascii="Times New Roman" w:hAnsi="Times New Roman" w:cs="Times New Roman"/>
                <w:b w:val="0"/>
                <w:bCs w:val="0"/>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right"/>
              <w:rPr>
                <w:rFonts w:hint="default" w:ascii="Times New Roman" w:hAnsi="Times New Roman" w:cs="Times New Roman"/>
                <w:b w:val="0"/>
                <w:bCs w:val="0"/>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rPr>
                <w:rFonts w:hint="default" w:ascii="Times New Roman" w:hAnsi="Times New Roman" w:cs="Times New Roman"/>
                <w:b w:val="0"/>
                <w:bCs w:val="0"/>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right"/>
              <w:rPr>
                <w:rFonts w:hint="default" w:ascii="Times New Roman" w:hAnsi="Times New Roman" w:cs="Times New Roman"/>
                <w:b w:val="0"/>
                <w:bCs w:val="0"/>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rPr>
                <w:rFonts w:hint="default" w:ascii="Times New Roman" w:hAnsi="Times New Roman" w:cs="Times New Roman"/>
                <w:b w:val="0"/>
                <w:bCs w:val="0"/>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right"/>
              <w:rPr>
                <w:rFonts w:hint="default" w:ascii="Times New Roman" w:hAnsi="Times New Roman" w:cs="Times New Roman"/>
                <w:b w:val="0"/>
                <w:bCs w:val="0"/>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rPr>
                <w:rFonts w:hint="default" w:ascii="Times New Roman" w:hAnsi="Times New Roman" w:cs="Times New Roman"/>
                <w:b w:val="0"/>
                <w:bCs w:val="0"/>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right"/>
              <w:rPr>
                <w:rFonts w:hint="default" w:ascii="Times New Roman" w:hAnsi="Times New Roman" w:cs="Times New Roman"/>
                <w:b w:val="0"/>
                <w:bCs w:val="0"/>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rPr>
                <w:rFonts w:hint="default" w:ascii="Times New Roman" w:hAnsi="Times New Roman" w:cs="Times New Roman"/>
                <w:b w:val="0"/>
                <w:bCs w:val="0"/>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right"/>
              <w:rPr>
                <w:rFonts w:hint="default" w:ascii="Times New Roman" w:hAnsi="Times New Roman" w:cs="Times New Roman"/>
                <w:b w:val="0"/>
                <w:bCs w:val="0"/>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rPr>
                <w:rFonts w:hint="default" w:ascii="Times New Roman" w:hAnsi="Times New Roman" w:cs="Times New Roman"/>
                <w:b w:val="0"/>
                <w:bCs w:val="0"/>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right"/>
              <w:rPr>
                <w:rFonts w:hint="default" w:ascii="Times New Roman" w:hAnsi="Times New Roman" w:cs="Times New Roman"/>
                <w:b w:val="0"/>
                <w:bCs w:val="0"/>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rPr>
                <w:rFonts w:hint="default" w:ascii="Times New Roman" w:hAnsi="Times New Roman" w:cs="Times New Roman"/>
                <w:b w:val="0"/>
                <w:bCs w:val="0"/>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right"/>
              <w:rPr>
                <w:rFonts w:hint="default" w:ascii="Times New Roman" w:hAnsi="Times New Roman" w:cs="Times New Roman"/>
                <w:b w:val="0"/>
                <w:bCs w:val="0"/>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rPr>
                <w:rFonts w:hint="default" w:ascii="Times New Roman" w:hAnsi="Times New Roman" w:cs="Times New Roman"/>
                <w:b w:val="0"/>
                <w:bCs w:val="0"/>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right"/>
              <w:rPr>
                <w:rFonts w:hint="default" w:ascii="Times New Roman" w:hAnsi="Times New Roman" w:cs="Times New Roman"/>
                <w:b w:val="0"/>
                <w:bCs w:val="0"/>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rPr>
                <w:rFonts w:hint="default" w:ascii="Times New Roman" w:hAnsi="Times New Roman" w:cs="Times New Roman"/>
                <w:b w:val="0"/>
                <w:bCs w:val="0"/>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right"/>
              <w:rPr>
                <w:rFonts w:hint="default" w:ascii="Times New Roman" w:hAnsi="Times New Roman" w:cs="Times New Roman"/>
                <w:b w:val="0"/>
                <w:bCs w:val="0"/>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112.50</w:t>
            </w: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112.50</w:t>
            </w: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rPr>
                <w:rFonts w:hint="default" w:ascii="Times New Roman" w:hAnsi="Times New Roman" w:cs="Times New Roman"/>
                <w:b w:val="0"/>
                <w:bCs w:val="0"/>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right"/>
              <w:rPr>
                <w:rFonts w:hint="default" w:ascii="Times New Roman" w:hAnsi="Times New Roman" w:cs="Times New Roman"/>
                <w:b w:val="0"/>
                <w:bCs w:val="0"/>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1,971.30</w:t>
            </w: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1,971.30</w:t>
            </w: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rPr>
                <w:rFonts w:hint="default" w:ascii="Times New Roman" w:hAnsi="Times New Roman" w:cs="Times New Roman"/>
                <w:b w:val="0"/>
                <w:bCs w:val="0"/>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right"/>
              <w:rPr>
                <w:rFonts w:hint="default" w:ascii="Times New Roman" w:hAnsi="Times New Roman" w:cs="Times New Roman"/>
                <w:b w:val="0"/>
                <w:bCs w:val="0"/>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rPr>
                <w:rFonts w:hint="default" w:ascii="Times New Roman" w:hAnsi="Times New Roman" w:cs="Times New Roman"/>
                <w:b w:val="0"/>
                <w:bCs w:val="0"/>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right"/>
              <w:rPr>
                <w:rFonts w:hint="default" w:ascii="Times New Roman" w:hAnsi="Times New Roman" w:cs="Times New Roman"/>
                <w:b w:val="0"/>
                <w:bCs w:val="0"/>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rPr>
                <w:rFonts w:hint="default" w:ascii="Times New Roman" w:hAnsi="Times New Roman" w:cs="Times New Roman"/>
                <w:b w:val="0"/>
                <w:bCs w:val="0"/>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right"/>
              <w:rPr>
                <w:rFonts w:hint="default" w:ascii="Times New Roman" w:hAnsi="Times New Roman" w:cs="Times New Roman"/>
                <w:b w:val="0"/>
                <w:bCs w:val="0"/>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rPr>
                <w:rFonts w:hint="default" w:ascii="Times New Roman" w:hAnsi="Times New Roman" w:cs="Times New Roman"/>
                <w:b w:val="0"/>
                <w:bCs w:val="0"/>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right"/>
              <w:rPr>
                <w:rFonts w:hint="default" w:ascii="Times New Roman" w:hAnsi="Times New Roman" w:cs="Times New Roman"/>
                <w:b w:val="0"/>
                <w:bCs w:val="0"/>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rPr>
                <w:rFonts w:hint="default" w:ascii="Times New Roman" w:hAnsi="Times New Roman" w:cs="Times New Roman"/>
                <w:b w:val="0"/>
                <w:bCs w:val="0"/>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right"/>
              <w:rPr>
                <w:rFonts w:hint="default" w:ascii="Times New Roman" w:hAnsi="Times New Roman" w:cs="Times New Roman"/>
                <w:b w:val="0"/>
                <w:bCs w:val="0"/>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rPr>
                <w:rFonts w:hint="default" w:ascii="Times New Roman" w:hAnsi="Times New Roman" w:cs="Times New Roman"/>
                <w:b w:val="0"/>
                <w:bCs w:val="0"/>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right"/>
              <w:rPr>
                <w:rFonts w:hint="default" w:ascii="Times New Roman" w:hAnsi="Times New Roman" w:cs="Times New Roman"/>
                <w:b w:val="0"/>
                <w:bCs w:val="0"/>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7,229.56</w:t>
            </w:r>
            <w:r>
              <w:rPr>
                <w:rFonts w:hint="default" w:ascii="Times New Roman" w:hAnsi="Times New Roman" w:cs="Times New Roman"/>
                <w:b w:val="0"/>
                <w:bCs w:val="0"/>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7,456.51</w:t>
            </w: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7,456.51</w:t>
            </w: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226.95</w:t>
            </w:r>
            <w:r>
              <w:rPr>
                <w:rFonts w:hint="default" w:ascii="Times New Roman" w:hAnsi="Times New Roman" w:cs="Times New Roman"/>
                <w:b w:val="0"/>
                <w:bCs w:val="0"/>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226.95</w:t>
            </w:r>
            <w:r>
              <w:rPr>
                <w:rFonts w:hint="default" w:ascii="Times New Roman" w:hAnsi="Times New Roman" w:cs="Times New Roman"/>
                <w:b w:val="0"/>
                <w:bCs w:val="0"/>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rPr>
                <w:rFonts w:hint="default" w:ascii="Times New Roman" w:hAnsi="Times New Roman" w:cs="Times New Roman"/>
                <w:b w:val="0"/>
                <w:bCs w:val="0"/>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rPr>
                <w:rFonts w:hint="default" w:ascii="Times New Roman" w:hAnsi="Times New Roman" w:cs="Times New Roman"/>
                <w:b w:val="0"/>
                <w:bCs w:val="0"/>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rPr>
                <w:rFonts w:hint="default" w:ascii="Times New Roman" w:hAnsi="Times New Roman" w:cs="Times New Roman"/>
                <w:b w:val="0"/>
                <w:bCs w:val="0"/>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rPr>
                <w:rFonts w:hint="default" w:ascii="Times New Roman" w:hAnsi="Times New Roman" w:cs="Times New Roman"/>
                <w:b w:val="0"/>
                <w:bCs w:val="0"/>
                <w:color w:val="auto"/>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rPr>
                <w:rFonts w:hint="default" w:ascii="Times New Roman" w:hAnsi="Times New Roman" w:cs="Times New Roman"/>
                <w:b w:val="0"/>
                <w:bCs w:val="0"/>
                <w:color w:val="auto"/>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center"/>
              <w:rPr>
                <w:rFonts w:hint="default" w:ascii="Times New Roman" w:hAnsi="Times New Roman" w:cs="Times New Roman"/>
                <w:b w:val="0"/>
                <w:bCs w:val="0"/>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right"/>
              <w:rPr>
                <w:rFonts w:hint="default" w:ascii="Times New Roman" w:hAnsi="Times New Roman" w:cs="Times New Roman"/>
                <w:b w:val="0"/>
                <w:bCs w:val="0"/>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right"/>
              <w:rPr>
                <w:rFonts w:hint="default" w:ascii="Times New Roman" w:hAnsi="Times New Roman" w:cs="Times New Roman"/>
                <w:b w:val="0"/>
                <w:bCs w:val="0"/>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right"/>
              <w:rPr>
                <w:rFonts w:hint="default" w:ascii="Times New Roman" w:hAnsi="Times New Roman" w:cs="Times New Roman"/>
                <w:b w:val="0"/>
                <w:bCs w:val="0"/>
                <w:color w:val="auto"/>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right"/>
              <w:rPr>
                <w:rFonts w:hint="default" w:ascii="Times New Roman" w:hAnsi="Times New Roman" w:cs="Times New Roman"/>
                <w:b w:val="0"/>
                <w:bCs w:val="0"/>
                <w:color w:val="auto"/>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center"/>
              <w:rPr>
                <w:rFonts w:hint="default" w:ascii="Times New Roman" w:hAnsi="Times New Roman" w:cs="Times New Roman"/>
                <w:b w:val="0"/>
                <w:bCs w:val="0"/>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right"/>
              <w:rPr>
                <w:rFonts w:hint="default" w:ascii="Times New Roman" w:hAnsi="Times New Roman" w:cs="Times New Roman"/>
                <w:b w:val="0"/>
                <w:bCs w:val="0"/>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right"/>
              <w:rPr>
                <w:rFonts w:hint="default" w:ascii="Times New Roman" w:hAnsi="Times New Roman" w:cs="Times New Roman"/>
                <w:b w:val="0"/>
                <w:bCs w:val="0"/>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right"/>
              <w:rPr>
                <w:rFonts w:hint="default" w:ascii="Times New Roman" w:hAnsi="Times New Roman" w:cs="Times New Roman"/>
                <w:b w:val="0"/>
                <w:bCs w:val="0"/>
                <w:color w:val="auto"/>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right"/>
              <w:rPr>
                <w:rFonts w:hint="default" w:ascii="Times New Roman" w:hAnsi="Times New Roman" w:cs="Times New Roman"/>
                <w:b w:val="0"/>
                <w:bCs w:val="0"/>
                <w:color w:val="auto"/>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7,456.51</w:t>
            </w:r>
            <w:r>
              <w:rPr>
                <w:rFonts w:hint="default" w:ascii="Times New Roman" w:hAnsi="Times New Roman" w:cs="Times New Roman"/>
                <w:b w:val="0"/>
                <w:bCs w:val="0"/>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7,456.51</w:t>
            </w: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7,456.51</w:t>
            </w: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bl>
    <w:p>
      <w:pPr>
        <w:keepNext w:val="0"/>
        <w:keepLines w:val="0"/>
        <w:pageBreakBefore w:val="0"/>
        <w:widowControl w:val="0"/>
        <w:kinsoku/>
        <w:overflowPunct/>
        <w:topLinePunct w:val="0"/>
        <w:autoSpaceDN/>
        <w:bidi w:val="0"/>
        <w:adjustRightInd/>
        <w:spacing w:beforeAutospacing="0" w:afterAutospacing="0" w:line="240" w:lineRule="exact"/>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备注：1.本表反映部门本年度一般公共预算财政拨款、政府性基金预算财政拨款及国有资本经营预算财政拨款的总收支和年末结转结余情况。</w:t>
      </w:r>
      <w:r>
        <w:rPr>
          <w:rFonts w:hint="default" w:ascii="Times New Roman" w:hAnsi="Times New Roman" w:cs="Times New Roman"/>
          <w:b w:val="0"/>
          <w:bCs w:val="0"/>
          <w:color w:val="auto"/>
          <w:sz w:val="20"/>
          <w:szCs w:val="20"/>
        </w:rPr>
        <w:br w:type="textWrapping"/>
      </w:r>
      <w:r>
        <w:rPr>
          <w:rFonts w:hint="default" w:ascii="Times New Roman" w:hAnsi="Times New Roman" w:cs="Times New Roman"/>
          <w:b w:val="0"/>
          <w:bCs w:val="0"/>
          <w:color w:val="auto"/>
          <w:sz w:val="20"/>
          <w:szCs w:val="20"/>
        </w:rPr>
        <w:t xml:space="preserve">      2.本套报表金额单位转换时可能存在尾数误差。</w:t>
      </w:r>
      <w:r>
        <w:rPr>
          <w:rFonts w:hint="default" w:ascii="Times New Roman" w:hAnsi="Times New Roman" w:cs="Times New Roman"/>
          <w:b w:val="0"/>
          <w:bCs w:val="0"/>
          <w:color w:val="auto"/>
          <w:sz w:val="20"/>
          <w:szCs w:val="20"/>
        </w:rPr>
        <w:br w:type="textWrapping"/>
      </w:r>
      <w:r>
        <w:rPr>
          <w:rFonts w:hint="default" w:ascii="Times New Roman" w:hAnsi="Times New Roman" w:cs="Times New Roman"/>
          <w:b w:val="0"/>
          <w:bCs w:val="0"/>
          <w:color w:val="auto"/>
          <w:sz w:val="20"/>
          <w:szCs w:val="20"/>
        </w:rPr>
        <w:br w:type="textWrapping"/>
      </w:r>
      <w:r>
        <w:rPr>
          <w:rFonts w:hint="default" w:ascii="Times New Roman" w:hAnsi="Times New Roman" w:cs="Times New Roman"/>
          <w:b w:val="0"/>
          <w:bCs w:val="0"/>
          <w:color w:val="auto"/>
          <w:sz w:val="21"/>
          <w:szCs w:val="21"/>
        </w:rPr>
        <w:br w:type="page"/>
      </w:r>
    </w:p>
    <w:tbl>
      <w:tblPr>
        <w:tblStyle w:val="9"/>
        <w:tblW w:w="15322" w:type="dxa"/>
        <w:tblInd w:w="0" w:type="dxa"/>
        <w:tblLayout w:type="fixed"/>
        <w:tblCellMar>
          <w:top w:w="0" w:type="dxa"/>
          <w:left w:w="0" w:type="dxa"/>
          <w:bottom w:w="0" w:type="dxa"/>
          <w:right w:w="0" w:type="dxa"/>
        </w:tblCellMar>
      </w:tblPr>
      <w:tblGrid>
        <w:gridCol w:w="1852"/>
        <w:gridCol w:w="3536"/>
        <w:gridCol w:w="3306"/>
        <w:gridCol w:w="3306"/>
        <w:gridCol w:w="3322"/>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jc w:val="center"/>
              <w:textAlignment w:val="bottom"/>
              <w:rPr>
                <w:rFonts w:hint="default" w:ascii="Times New Roman" w:hAnsi="Times New Roman" w:cs="Times New Roman"/>
                <w:b w:val="0"/>
                <w:bCs w:val="0"/>
                <w:color w:val="auto"/>
                <w:sz w:val="32"/>
                <w:szCs w:val="32"/>
              </w:rPr>
            </w:pPr>
            <w:r>
              <w:rPr>
                <w:rFonts w:hint="default" w:ascii="Times New Roman" w:hAnsi="Times New Roman" w:cs="Times New Roman"/>
                <w:b w:val="0"/>
                <w:bCs w:val="0"/>
                <w:color w:val="auto"/>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694"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 xml:space="preserve">公开部门： </w:t>
            </w:r>
            <w:r>
              <w:rPr>
                <w:rFonts w:hint="default" w:ascii="Times New Roman" w:hAnsi="Times New Roman" w:cs="Times New Roman"/>
                <w:b w:val="0"/>
                <w:bCs w:val="0"/>
                <w:color w:val="auto"/>
                <w:sz w:val="20"/>
                <w:u w:color="auto"/>
              </w:rPr>
              <w:t>重庆市万州区发展和改革委员会</w:t>
            </w:r>
          </w:p>
        </w:tc>
        <w:tc>
          <w:tcPr>
            <w:tcW w:w="330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rPr>
                <w:rFonts w:hint="default" w:ascii="Times New Roman" w:hAnsi="Times New Roman" w:cs="Times New Roman"/>
                <w:b w:val="0"/>
                <w:bCs w:val="0"/>
                <w:color w:val="auto"/>
                <w:sz w:val="20"/>
                <w:szCs w:val="20"/>
              </w:rPr>
            </w:pPr>
          </w:p>
        </w:tc>
        <w:tc>
          <w:tcPr>
            <w:tcW w:w="332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jc w:val="right"/>
              <w:textAlignment w:val="bottom"/>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公开05表</w:t>
            </w:r>
          </w:p>
        </w:tc>
      </w:tr>
      <w:tr>
        <w:tblPrEx>
          <w:tblCellMar>
            <w:top w:w="0" w:type="dxa"/>
            <w:left w:w="0" w:type="dxa"/>
            <w:bottom w:w="0" w:type="dxa"/>
            <w:right w:w="0" w:type="dxa"/>
          </w:tblCellMar>
        </w:tblPrEx>
        <w:trPr>
          <w:trHeight w:val="285" w:hRule="atLeast"/>
        </w:trPr>
        <w:tc>
          <w:tcPr>
            <w:tcW w:w="8694"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rPr>
                <w:rFonts w:hint="default" w:ascii="Times New Roman" w:hAnsi="Times New Roman" w:cs="Times New Roman"/>
                <w:b w:val="0"/>
                <w:bCs w:val="0"/>
                <w:color w:val="auto"/>
                <w:sz w:val="20"/>
                <w:szCs w:val="20"/>
              </w:rPr>
            </w:pPr>
          </w:p>
        </w:tc>
        <w:tc>
          <w:tcPr>
            <w:tcW w:w="330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rPr>
                <w:rFonts w:hint="default" w:ascii="Times New Roman" w:hAnsi="Times New Roman" w:cs="Times New Roman"/>
                <w:b w:val="0"/>
                <w:bCs w:val="0"/>
                <w:color w:val="auto"/>
                <w:sz w:val="20"/>
                <w:szCs w:val="20"/>
              </w:rPr>
            </w:pPr>
          </w:p>
        </w:tc>
        <w:tc>
          <w:tcPr>
            <w:tcW w:w="332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jc w:val="right"/>
              <w:textAlignment w:val="bottom"/>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单位：万元</w:t>
            </w:r>
          </w:p>
        </w:tc>
      </w:tr>
      <w:tr>
        <w:tblPrEx>
          <w:tblCellMar>
            <w:top w:w="0" w:type="dxa"/>
            <w:left w:w="0" w:type="dxa"/>
            <w:bottom w:w="0" w:type="dxa"/>
            <w:right w:w="0" w:type="dxa"/>
          </w:tblCellMar>
        </w:tblPrEx>
        <w:trPr>
          <w:trHeight w:val="308" w:hRule="atLeast"/>
        </w:trPr>
        <w:tc>
          <w:tcPr>
            <w:tcW w:w="53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项目</w:t>
            </w:r>
          </w:p>
        </w:tc>
        <w:tc>
          <w:tcPr>
            <w:tcW w:w="993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本年支出</w:t>
            </w:r>
          </w:p>
        </w:tc>
      </w:tr>
      <w:tr>
        <w:tblPrEx>
          <w:tblCellMar>
            <w:top w:w="0" w:type="dxa"/>
            <w:left w:w="0" w:type="dxa"/>
            <w:bottom w:w="0" w:type="dxa"/>
            <w:right w:w="0" w:type="dxa"/>
          </w:tblCellMar>
        </w:tblPrEx>
        <w:trPr>
          <w:trHeight w:val="326" w:hRule="atLeast"/>
        </w:trPr>
        <w:tc>
          <w:tcPr>
            <w:tcW w:w="185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功能分类科目编码</w:t>
            </w:r>
          </w:p>
        </w:tc>
        <w:tc>
          <w:tcPr>
            <w:tcW w:w="353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合计</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基本支出</w:t>
            </w:r>
          </w:p>
        </w:tc>
        <w:tc>
          <w:tcPr>
            <w:tcW w:w="332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项目支出</w:t>
            </w:r>
          </w:p>
        </w:tc>
      </w:tr>
      <w:tr>
        <w:tblPrEx>
          <w:tblCellMar>
            <w:top w:w="0" w:type="dxa"/>
            <w:left w:w="0" w:type="dxa"/>
            <w:bottom w:w="0" w:type="dxa"/>
            <w:right w:w="0" w:type="dxa"/>
          </w:tblCellMar>
        </w:tblPrEx>
        <w:trPr>
          <w:trHeight w:val="326"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r>
      <w:tr>
        <w:tblPrEx>
          <w:tblCellMar>
            <w:top w:w="0" w:type="dxa"/>
            <w:left w:w="0" w:type="dxa"/>
            <w:bottom w:w="0" w:type="dxa"/>
            <w:right w:w="0" w:type="dxa"/>
          </w:tblCellMar>
        </w:tblPrEx>
        <w:trPr>
          <w:trHeight w:val="615"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r>
      <w:tr>
        <w:tblPrEx>
          <w:tblCellMar>
            <w:top w:w="0" w:type="dxa"/>
            <w:left w:w="0" w:type="dxa"/>
            <w:bottom w:w="0" w:type="dxa"/>
            <w:right w:w="0" w:type="dxa"/>
          </w:tblCellMar>
        </w:tblPrEx>
        <w:trPr>
          <w:trHeight w:val="308" w:hRule="atLeast"/>
        </w:trPr>
        <w:tc>
          <w:tcPr>
            <w:tcW w:w="5388"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7,456.51</w:t>
            </w:r>
            <w:r>
              <w:rPr>
                <w:rFonts w:hint="default" w:ascii="Times New Roman" w:hAnsi="Times New Roman" w:cs="Times New Roman"/>
                <w:b w:val="0"/>
                <w:bCs w:val="0"/>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3,299.10</w:t>
            </w:r>
            <w:r>
              <w:rPr>
                <w:rFonts w:hint="default" w:ascii="Times New Roman" w:hAnsi="Times New Roman" w:cs="Times New Roman"/>
                <w:b w:val="0"/>
                <w:bCs w:val="0"/>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4,157.41</w:t>
            </w: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3,728.61</w:t>
            </w:r>
            <w:r>
              <w:rPr>
                <w:rFonts w:hint="default" w:ascii="Times New Roman" w:hAnsi="Times New Roman" w:cs="Times New Roman"/>
                <w:b w:val="0"/>
                <w:bCs w:val="0"/>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1,948.82</w:t>
            </w:r>
            <w:r>
              <w:rPr>
                <w:rFonts w:hint="default" w:ascii="Times New Roman" w:hAnsi="Times New Roman" w:cs="Times New Roman"/>
                <w:b w:val="0"/>
                <w:bCs w:val="0"/>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1,779.79</w:t>
            </w: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政府办公厅（室）及相关机构事务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46.33</w:t>
            </w:r>
            <w:r>
              <w:rPr>
                <w:rFonts w:hint="default" w:ascii="Times New Roman" w:hAnsi="Times New Roman" w:cs="Times New Roman"/>
                <w:b w:val="0"/>
                <w:bCs w:val="0"/>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46.33</w:t>
            </w: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2010308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信访事务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46.33</w:t>
            </w:r>
            <w:r>
              <w:rPr>
                <w:rFonts w:hint="default" w:ascii="Times New Roman" w:hAnsi="Times New Roman" w:cs="Times New Roman"/>
                <w:b w:val="0"/>
                <w:bCs w:val="0"/>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46.33</w:t>
            </w: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发展与改革事务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3,676.28</w:t>
            </w:r>
            <w:r>
              <w:rPr>
                <w:rFonts w:hint="default" w:ascii="Times New Roman" w:hAnsi="Times New Roman" w:cs="Times New Roman"/>
                <w:b w:val="0"/>
                <w:bCs w:val="0"/>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1,948.82</w:t>
            </w:r>
            <w:r>
              <w:rPr>
                <w:rFonts w:hint="default" w:ascii="Times New Roman" w:hAnsi="Times New Roman" w:cs="Times New Roman"/>
                <w:b w:val="0"/>
                <w:bCs w:val="0"/>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1,727.46</w:t>
            </w: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2010401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1,107.90</w:t>
            </w:r>
            <w:r>
              <w:rPr>
                <w:rFonts w:hint="default" w:ascii="Times New Roman" w:hAnsi="Times New Roman" w:cs="Times New Roman"/>
                <w:b w:val="0"/>
                <w:bCs w:val="0"/>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1,107.90</w:t>
            </w:r>
            <w:r>
              <w:rPr>
                <w:rFonts w:hint="default" w:ascii="Times New Roman" w:hAnsi="Times New Roman" w:cs="Times New Roman"/>
                <w:b w:val="0"/>
                <w:bCs w:val="0"/>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2010402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912.29</w:t>
            </w:r>
            <w:r>
              <w:rPr>
                <w:rFonts w:hint="default" w:ascii="Times New Roman" w:hAnsi="Times New Roman" w:cs="Times New Roman"/>
                <w:b w:val="0"/>
                <w:bCs w:val="0"/>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912.29</w:t>
            </w: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2010404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战略规划与实施</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118.00</w:t>
            </w:r>
            <w:r>
              <w:rPr>
                <w:rFonts w:hint="default" w:ascii="Times New Roman" w:hAnsi="Times New Roman" w:cs="Times New Roman"/>
                <w:b w:val="0"/>
                <w:bCs w:val="0"/>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118.00</w:t>
            </w: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2010406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社会事业发展规划</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19.80</w:t>
            </w:r>
            <w:r>
              <w:rPr>
                <w:rFonts w:hint="default" w:ascii="Times New Roman" w:hAnsi="Times New Roman" w:cs="Times New Roman"/>
                <w:b w:val="0"/>
                <w:bCs w:val="0"/>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19.80</w:t>
            </w: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2010408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物价管理</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13.17</w:t>
            </w:r>
            <w:r>
              <w:rPr>
                <w:rFonts w:hint="default" w:ascii="Times New Roman" w:hAnsi="Times New Roman" w:cs="Times New Roman"/>
                <w:b w:val="0"/>
                <w:bCs w:val="0"/>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13.17</w:t>
            </w: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2010450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749.10</w:t>
            </w:r>
            <w:r>
              <w:rPr>
                <w:rFonts w:hint="default" w:ascii="Times New Roman" w:hAnsi="Times New Roman" w:cs="Times New Roman"/>
                <w:b w:val="0"/>
                <w:bCs w:val="0"/>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749.10</w:t>
            </w:r>
            <w:r>
              <w:rPr>
                <w:rFonts w:hint="default" w:ascii="Times New Roman" w:hAnsi="Times New Roman" w:cs="Times New Roman"/>
                <w:b w:val="0"/>
                <w:bCs w:val="0"/>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2010499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其他发展与改革事务支出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756.03</w:t>
            </w:r>
            <w:r>
              <w:rPr>
                <w:rFonts w:hint="default" w:ascii="Times New Roman" w:hAnsi="Times New Roman" w:cs="Times New Roman"/>
                <w:b w:val="0"/>
                <w:bCs w:val="0"/>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91.83</w:t>
            </w:r>
            <w:r>
              <w:rPr>
                <w:rFonts w:hint="default" w:ascii="Times New Roman" w:hAnsi="Times New Roman" w:cs="Times New Roman"/>
                <w:b w:val="0"/>
                <w:bCs w:val="0"/>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664.20</w:t>
            </w: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20113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商贸事务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6.00</w:t>
            </w:r>
            <w:r>
              <w:rPr>
                <w:rFonts w:hint="default" w:ascii="Times New Roman" w:hAnsi="Times New Roman" w:cs="Times New Roman"/>
                <w:b w:val="0"/>
                <w:bCs w:val="0"/>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6.00</w:t>
            </w: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2011308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招商引资</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6.00</w:t>
            </w:r>
            <w:r>
              <w:rPr>
                <w:rFonts w:hint="default" w:ascii="Times New Roman" w:hAnsi="Times New Roman" w:cs="Times New Roman"/>
                <w:b w:val="0"/>
                <w:bCs w:val="0"/>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6.00</w:t>
            </w: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国防支出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628.09</w:t>
            </w:r>
            <w:r>
              <w:rPr>
                <w:rFonts w:hint="default" w:ascii="Times New Roman" w:hAnsi="Times New Roman" w:cs="Times New Roman"/>
                <w:b w:val="0"/>
                <w:bCs w:val="0"/>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628.09</w:t>
            </w: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892.33</w:t>
            </w:r>
            <w:r>
              <w:rPr>
                <w:rFonts w:hint="default" w:ascii="Times New Roman" w:hAnsi="Times New Roman" w:cs="Times New Roman"/>
                <w:b w:val="0"/>
                <w:bCs w:val="0"/>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891.09</w:t>
            </w:r>
            <w:r>
              <w:rPr>
                <w:rFonts w:hint="default" w:ascii="Times New Roman" w:hAnsi="Times New Roman" w:cs="Times New Roman"/>
                <w:b w:val="0"/>
                <w:bCs w:val="0"/>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1.24</w:t>
            </w: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732.61</w:t>
            </w:r>
            <w:r>
              <w:rPr>
                <w:rFonts w:hint="default" w:ascii="Times New Roman" w:hAnsi="Times New Roman" w:cs="Times New Roman"/>
                <w:b w:val="0"/>
                <w:bCs w:val="0"/>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732.61</w:t>
            </w:r>
            <w:r>
              <w:rPr>
                <w:rFonts w:hint="default" w:ascii="Times New Roman" w:hAnsi="Times New Roman" w:cs="Times New Roman"/>
                <w:b w:val="0"/>
                <w:bCs w:val="0"/>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2080501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行政单位离退休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32.45</w:t>
            </w:r>
            <w:r>
              <w:rPr>
                <w:rFonts w:hint="default" w:ascii="Times New Roman" w:hAnsi="Times New Roman" w:cs="Times New Roman"/>
                <w:b w:val="0"/>
                <w:bCs w:val="0"/>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32.45</w:t>
            </w:r>
            <w:r>
              <w:rPr>
                <w:rFonts w:hint="default" w:ascii="Times New Roman" w:hAnsi="Times New Roman" w:cs="Times New Roman"/>
                <w:b w:val="0"/>
                <w:bCs w:val="0"/>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2080502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事业单位离退休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14.88</w:t>
            </w:r>
            <w:r>
              <w:rPr>
                <w:rFonts w:hint="default" w:ascii="Times New Roman" w:hAnsi="Times New Roman" w:cs="Times New Roman"/>
                <w:b w:val="0"/>
                <w:bCs w:val="0"/>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14.88</w:t>
            </w:r>
            <w:r>
              <w:rPr>
                <w:rFonts w:hint="default" w:ascii="Times New Roman" w:hAnsi="Times New Roman" w:cs="Times New Roman"/>
                <w:b w:val="0"/>
                <w:bCs w:val="0"/>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2080505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182.57</w:t>
            </w:r>
            <w:r>
              <w:rPr>
                <w:rFonts w:hint="default" w:ascii="Times New Roman" w:hAnsi="Times New Roman" w:cs="Times New Roman"/>
                <w:b w:val="0"/>
                <w:bCs w:val="0"/>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182.57</w:t>
            </w:r>
            <w:r>
              <w:rPr>
                <w:rFonts w:hint="default" w:ascii="Times New Roman" w:hAnsi="Times New Roman" w:cs="Times New Roman"/>
                <w:b w:val="0"/>
                <w:bCs w:val="0"/>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2080506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93.71</w:t>
            </w:r>
            <w:r>
              <w:rPr>
                <w:rFonts w:hint="default" w:ascii="Times New Roman" w:hAnsi="Times New Roman" w:cs="Times New Roman"/>
                <w:b w:val="0"/>
                <w:bCs w:val="0"/>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93.71</w:t>
            </w:r>
            <w:r>
              <w:rPr>
                <w:rFonts w:hint="default" w:ascii="Times New Roman" w:hAnsi="Times New Roman" w:cs="Times New Roman"/>
                <w:b w:val="0"/>
                <w:bCs w:val="0"/>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2080599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408.99</w:t>
            </w:r>
            <w:r>
              <w:rPr>
                <w:rFonts w:hint="default" w:ascii="Times New Roman" w:hAnsi="Times New Roman" w:cs="Times New Roman"/>
                <w:b w:val="0"/>
                <w:bCs w:val="0"/>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408.99</w:t>
            </w:r>
            <w:r>
              <w:rPr>
                <w:rFonts w:hint="default" w:ascii="Times New Roman" w:hAnsi="Times New Roman" w:cs="Times New Roman"/>
                <w:b w:val="0"/>
                <w:bCs w:val="0"/>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抚恤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156.26</w:t>
            </w:r>
            <w:r>
              <w:rPr>
                <w:rFonts w:hint="default" w:ascii="Times New Roman" w:hAnsi="Times New Roman" w:cs="Times New Roman"/>
                <w:b w:val="0"/>
                <w:bCs w:val="0"/>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156.26</w:t>
            </w:r>
            <w:r>
              <w:rPr>
                <w:rFonts w:hint="default" w:ascii="Times New Roman" w:hAnsi="Times New Roman" w:cs="Times New Roman"/>
                <w:b w:val="0"/>
                <w:bCs w:val="0"/>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2080801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死亡抚恤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156.26</w:t>
            </w:r>
            <w:r>
              <w:rPr>
                <w:rFonts w:hint="default" w:ascii="Times New Roman" w:hAnsi="Times New Roman" w:cs="Times New Roman"/>
                <w:b w:val="0"/>
                <w:bCs w:val="0"/>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156.26</w:t>
            </w:r>
            <w:r>
              <w:rPr>
                <w:rFonts w:hint="default" w:ascii="Times New Roman" w:hAnsi="Times New Roman" w:cs="Times New Roman"/>
                <w:b w:val="0"/>
                <w:bCs w:val="0"/>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退役安置</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1.24</w:t>
            </w:r>
            <w:r>
              <w:rPr>
                <w:rFonts w:hint="default" w:ascii="Times New Roman" w:hAnsi="Times New Roman" w:cs="Times New Roman"/>
                <w:b w:val="0"/>
                <w:bCs w:val="0"/>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1.24</w:t>
            </w: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2080905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军队转业干部安置</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1.24</w:t>
            </w:r>
            <w:r>
              <w:rPr>
                <w:rFonts w:hint="default" w:ascii="Times New Roman" w:hAnsi="Times New Roman" w:cs="Times New Roman"/>
                <w:b w:val="0"/>
                <w:bCs w:val="0"/>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1.24</w:t>
            </w: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2.23</w:t>
            </w:r>
            <w:r>
              <w:rPr>
                <w:rFonts w:hint="default" w:ascii="Times New Roman" w:hAnsi="Times New Roman" w:cs="Times New Roman"/>
                <w:b w:val="0"/>
                <w:bCs w:val="0"/>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2.23</w:t>
            </w:r>
            <w:r>
              <w:rPr>
                <w:rFonts w:hint="default" w:ascii="Times New Roman" w:hAnsi="Times New Roman" w:cs="Times New Roman"/>
                <w:b w:val="0"/>
                <w:bCs w:val="0"/>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2089999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2.23</w:t>
            </w:r>
            <w:r>
              <w:rPr>
                <w:rFonts w:hint="default" w:ascii="Times New Roman" w:hAnsi="Times New Roman" w:cs="Times New Roman"/>
                <w:b w:val="0"/>
                <w:bCs w:val="0"/>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2.23</w:t>
            </w:r>
            <w:r>
              <w:rPr>
                <w:rFonts w:hint="default" w:ascii="Times New Roman" w:hAnsi="Times New Roman" w:cs="Times New Roman"/>
                <w:b w:val="0"/>
                <w:bCs w:val="0"/>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123.67</w:t>
            </w:r>
            <w:r>
              <w:rPr>
                <w:rFonts w:hint="default" w:ascii="Times New Roman" w:hAnsi="Times New Roman" w:cs="Times New Roman"/>
                <w:b w:val="0"/>
                <w:bCs w:val="0"/>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123.67</w:t>
            </w:r>
            <w:r>
              <w:rPr>
                <w:rFonts w:hint="default" w:ascii="Times New Roman" w:hAnsi="Times New Roman" w:cs="Times New Roman"/>
                <w:b w:val="0"/>
                <w:bCs w:val="0"/>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21011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123.67</w:t>
            </w:r>
            <w:r>
              <w:rPr>
                <w:rFonts w:hint="default" w:ascii="Times New Roman" w:hAnsi="Times New Roman" w:cs="Times New Roman"/>
                <w:b w:val="0"/>
                <w:bCs w:val="0"/>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123.67</w:t>
            </w:r>
            <w:r>
              <w:rPr>
                <w:rFonts w:hint="default" w:ascii="Times New Roman" w:hAnsi="Times New Roman" w:cs="Times New Roman"/>
                <w:b w:val="0"/>
                <w:bCs w:val="0"/>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2101101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行政单位医疗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45.38</w:t>
            </w:r>
            <w:r>
              <w:rPr>
                <w:rFonts w:hint="default" w:ascii="Times New Roman" w:hAnsi="Times New Roman" w:cs="Times New Roman"/>
                <w:b w:val="0"/>
                <w:bCs w:val="0"/>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45.38</w:t>
            </w:r>
            <w:r>
              <w:rPr>
                <w:rFonts w:hint="default" w:ascii="Times New Roman" w:hAnsi="Times New Roman" w:cs="Times New Roman"/>
                <w:b w:val="0"/>
                <w:bCs w:val="0"/>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2101102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34.42</w:t>
            </w:r>
            <w:r>
              <w:rPr>
                <w:rFonts w:hint="default" w:ascii="Times New Roman" w:hAnsi="Times New Roman" w:cs="Times New Roman"/>
                <w:b w:val="0"/>
                <w:bCs w:val="0"/>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34.42</w:t>
            </w:r>
            <w:r>
              <w:rPr>
                <w:rFonts w:hint="default" w:ascii="Times New Roman" w:hAnsi="Times New Roman" w:cs="Times New Roman"/>
                <w:b w:val="0"/>
                <w:bCs w:val="0"/>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2101199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43.87</w:t>
            </w:r>
            <w:r>
              <w:rPr>
                <w:rFonts w:hint="default" w:ascii="Times New Roman" w:hAnsi="Times New Roman" w:cs="Times New Roman"/>
                <w:b w:val="0"/>
                <w:bCs w:val="0"/>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43.87</w:t>
            </w:r>
            <w:r>
              <w:rPr>
                <w:rFonts w:hint="default" w:ascii="Times New Roman" w:hAnsi="Times New Roman" w:cs="Times New Roman"/>
                <w:b w:val="0"/>
                <w:bCs w:val="0"/>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112.50</w:t>
            </w:r>
            <w:r>
              <w:rPr>
                <w:rFonts w:hint="default" w:ascii="Times New Roman" w:hAnsi="Times New Roman" w:cs="Times New Roman"/>
                <w:b w:val="0"/>
                <w:bCs w:val="0"/>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112.50</w:t>
            </w:r>
            <w:r>
              <w:rPr>
                <w:rFonts w:hint="default" w:ascii="Times New Roman" w:hAnsi="Times New Roman" w:cs="Times New Roman"/>
                <w:b w:val="0"/>
                <w:bCs w:val="0"/>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22102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112.50</w:t>
            </w:r>
            <w:r>
              <w:rPr>
                <w:rFonts w:hint="default" w:ascii="Times New Roman" w:hAnsi="Times New Roman" w:cs="Times New Roman"/>
                <w:b w:val="0"/>
                <w:bCs w:val="0"/>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112.50</w:t>
            </w:r>
            <w:r>
              <w:rPr>
                <w:rFonts w:hint="default" w:ascii="Times New Roman" w:hAnsi="Times New Roman" w:cs="Times New Roman"/>
                <w:b w:val="0"/>
                <w:bCs w:val="0"/>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2210201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112.50</w:t>
            </w:r>
            <w:r>
              <w:rPr>
                <w:rFonts w:hint="default" w:ascii="Times New Roman" w:hAnsi="Times New Roman" w:cs="Times New Roman"/>
                <w:b w:val="0"/>
                <w:bCs w:val="0"/>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112.50</w:t>
            </w:r>
            <w:r>
              <w:rPr>
                <w:rFonts w:hint="default" w:ascii="Times New Roman" w:hAnsi="Times New Roman" w:cs="Times New Roman"/>
                <w:b w:val="0"/>
                <w:bCs w:val="0"/>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粮油物资储备支出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1,971.30</w:t>
            </w:r>
            <w:r>
              <w:rPr>
                <w:rFonts w:hint="default" w:ascii="Times New Roman" w:hAnsi="Times New Roman" w:cs="Times New Roman"/>
                <w:b w:val="0"/>
                <w:bCs w:val="0"/>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223.01</w:t>
            </w:r>
            <w:r>
              <w:rPr>
                <w:rFonts w:hint="default" w:ascii="Times New Roman" w:hAnsi="Times New Roman" w:cs="Times New Roman"/>
                <w:b w:val="0"/>
                <w:bCs w:val="0"/>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1,748.29</w:t>
            </w: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粮油物资事务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281.26</w:t>
            </w:r>
            <w:r>
              <w:rPr>
                <w:rFonts w:hint="default" w:ascii="Times New Roman" w:hAnsi="Times New Roman" w:cs="Times New Roman"/>
                <w:b w:val="0"/>
                <w:bCs w:val="0"/>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223.01</w:t>
            </w:r>
            <w:r>
              <w:rPr>
                <w:rFonts w:hint="default" w:ascii="Times New Roman" w:hAnsi="Times New Roman" w:cs="Times New Roman"/>
                <w:b w:val="0"/>
                <w:bCs w:val="0"/>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58.25</w:t>
            </w: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2220150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223.01</w:t>
            </w:r>
            <w:r>
              <w:rPr>
                <w:rFonts w:hint="default" w:ascii="Times New Roman" w:hAnsi="Times New Roman" w:cs="Times New Roman"/>
                <w:b w:val="0"/>
                <w:bCs w:val="0"/>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223.01</w:t>
            </w:r>
            <w:r>
              <w:rPr>
                <w:rFonts w:hint="default" w:ascii="Times New Roman" w:hAnsi="Times New Roman" w:cs="Times New Roman"/>
                <w:b w:val="0"/>
                <w:bCs w:val="0"/>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2220199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其他粮油物资事务支出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58.25</w:t>
            </w:r>
            <w:r>
              <w:rPr>
                <w:rFonts w:hint="default" w:ascii="Times New Roman" w:hAnsi="Times New Roman" w:cs="Times New Roman"/>
                <w:b w:val="0"/>
                <w:bCs w:val="0"/>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58.25</w:t>
            </w: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22204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粮油储备</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1,690.05</w:t>
            </w:r>
            <w:r>
              <w:rPr>
                <w:rFonts w:hint="default" w:ascii="Times New Roman" w:hAnsi="Times New Roman" w:cs="Times New Roman"/>
                <w:b w:val="0"/>
                <w:bCs w:val="0"/>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1,690.05</w:t>
            </w: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2220401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储备粮油补贴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1,690.05</w:t>
            </w:r>
            <w:r>
              <w:rPr>
                <w:rFonts w:hint="default" w:ascii="Times New Roman" w:hAnsi="Times New Roman" w:cs="Times New Roman"/>
                <w:b w:val="0"/>
                <w:bCs w:val="0"/>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1,690.05</w:t>
            </w:r>
            <w:r>
              <w:rPr>
                <w:rFonts w:hint="default" w:ascii="Times New Roman" w:hAnsi="Times New Roman" w:cs="Times New Roman"/>
                <w:b w:val="0"/>
                <w:bCs w:val="0"/>
                <w:color w:val="auto"/>
                <w:sz w:val="20"/>
                <w:u w:color="auto"/>
              </w:rPr>
              <w:t xml:space="preserve"> </w:t>
            </w:r>
          </w:p>
        </w:tc>
      </w:tr>
    </w:tbl>
    <w:p>
      <w:pPr>
        <w:keepNext w:val="0"/>
        <w:keepLines w:val="0"/>
        <w:pageBreakBefore w:val="0"/>
        <w:widowControl w:val="0"/>
        <w:kinsoku/>
        <w:overflowPunct/>
        <w:topLinePunct w:val="0"/>
        <w:autoSpaceDN/>
        <w:bidi w:val="0"/>
        <w:adjustRightInd/>
        <w:spacing w:beforeAutospacing="0" w:afterAutospacing="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0"/>
          <w:szCs w:val="20"/>
        </w:rPr>
        <w:t>备注：1.本表反映部门本年度一般公共预算财政拨款支出情况。</w:t>
      </w:r>
      <w:r>
        <w:rPr>
          <w:rFonts w:hint="default" w:ascii="Times New Roman" w:hAnsi="Times New Roman" w:cs="Times New Roman"/>
          <w:b w:val="0"/>
          <w:bCs w:val="0"/>
          <w:color w:val="auto"/>
          <w:sz w:val="20"/>
          <w:szCs w:val="20"/>
        </w:rPr>
        <w:br w:type="textWrapping"/>
      </w:r>
      <w:r>
        <w:rPr>
          <w:rFonts w:hint="default" w:ascii="Times New Roman" w:hAnsi="Times New Roman" w:cs="Times New Roman"/>
          <w:b w:val="0"/>
          <w:bCs w:val="0"/>
          <w:color w:val="auto"/>
          <w:sz w:val="20"/>
          <w:szCs w:val="20"/>
        </w:rPr>
        <w:t xml:space="preserve">      2.本套报表金额单位转换时可能存在尾数误差。</w:t>
      </w:r>
      <w:r>
        <w:rPr>
          <w:rFonts w:hint="default" w:ascii="Times New Roman" w:hAnsi="Times New Roman" w:cs="Times New Roman"/>
          <w:b w:val="0"/>
          <w:bCs w:val="0"/>
          <w:color w:val="auto"/>
          <w:sz w:val="20"/>
          <w:szCs w:val="20"/>
        </w:rPr>
        <w:br w:type="textWrapping"/>
      </w:r>
      <w:r>
        <w:rPr>
          <w:rFonts w:hint="default" w:ascii="Times New Roman" w:hAnsi="Times New Roman" w:cs="Times New Roman"/>
          <w:b w:val="0"/>
          <w:bCs w:val="0"/>
          <w:color w:val="auto"/>
          <w:sz w:val="20"/>
          <w:szCs w:val="20"/>
        </w:rPr>
        <w:br w:type="textWrapping"/>
      </w:r>
    </w:p>
    <w:p>
      <w:pPr>
        <w:keepNext w:val="0"/>
        <w:keepLines w:val="0"/>
        <w:pageBreakBefore w:val="0"/>
        <w:widowControl w:val="0"/>
        <w:kinsoku/>
        <w:overflowPunct/>
        <w:topLinePunct w:val="0"/>
        <w:autoSpaceDN/>
        <w:bidi w:val="0"/>
        <w:adjustRightInd/>
        <w:spacing w:beforeAutospacing="0" w:afterAutospacing="0"/>
        <w:ind w:firstLine="630" w:firstLineChars="30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br w:type="page"/>
      </w:r>
    </w:p>
    <w:tbl>
      <w:tblPr>
        <w:tblStyle w:val="9"/>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440" w:lineRule="exact"/>
              <w:jc w:val="center"/>
              <w:textAlignment w:val="bottom"/>
              <w:rPr>
                <w:rFonts w:hint="default" w:ascii="Times New Roman" w:hAnsi="Times New Roman" w:cs="Times New Roman"/>
                <w:b w:val="0"/>
                <w:bCs w:val="0"/>
                <w:color w:val="auto"/>
                <w:sz w:val="32"/>
                <w:szCs w:val="32"/>
              </w:rPr>
            </w:pPr>
            <w:r>
              <w:rPr>
                <w:rFonts w:hint="default" w:ascii="Times New Roman" w:hAnsi="Times New Roman" w:cs="Times New Roman"/>
                <w:b w:val="0"/>
                <w:bCs w:val="0"/>
                <w:color w:val="auto"/>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20"/>
                <w:szCs w:val="20"/>
              </w:rPr>
              <w:t xml:space="preserve">公开部门： </w:t>
            </w:r>
            <w:r>
              <w:rPr>
                <w:rFonts w:hint="default" w:ascii="Times New Roman" w:hAnsi="Times New Roman" w:cs="Times New Roman"/>
                <w:b w:val="0"/>
                <w:bCs w:val="0"/>
                <w:color w:val="auto"/>
                <w:sz w:val="20"/>
                <w:u w:color="auto"/>
              </w:rPr>
              <w:t>重庆市万州区发展和改革委员会</w:t>
            </w:r>
          </w:p>
        </w:tc>
        <w:tc>
          <w:tcPr>
            <w:tcW w:w="165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rPr>
                <w:rFonts w:hint="default" w:ascii="Times New Roman" w:hAnsi="Times New Roman" w:cs="Times New Roman"/>
                <w:b w:val="0"/>
                <w:bCs w:val="0"/>
                <w:color w:val="auto"/>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rPr>
                <w:rFonts w:hint="default" w:ascii="Times New Roman" w:hAnsi="Times New Roman" w:cs="Times New Roman"/>
                <w:b w:val="0"/>
                <w:bCs w:val="0"/>
                <w:color w:val="auto"/>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rPr>
                <w:rFonts w:hint="default" w:ascii="Times New Roman" w:hAnsi="Times New Roman" w:cs="Times New Roman"/>
                <w:b w:val="0"/>
                <w:bCs w:val="0"/>
                <w:color w:val="auto"/>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80" w:lineRule="exact"/>
              <w:jc w:val="right"/>
              <w:textAlignment w:val="bottom"/>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公开06表</w:t>
            </w:r>
          </w:p>
        </w:tc>
      </w:tr>
      <w:tr>
        <w:tblPrEx>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rPr>
                <w:rFonts w:hint="default" w:ascii="Times New Roman" w:hAnsi="Times New Roman" w:cs="Times New Roman"/>
                <w:b w:val="0"/>
                <w:bCs w:val="0"/>
                <w:color w:val="auto"/>
                <w:sz w:val="18"/>
                <w:szCs w:val="18"/>
              </w:rPr>
            </w:pPr>
          </w:p>
        </w:tc>
        <w:tc>
          <w:tcPr>
            <w:tcW w:w="165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rPr>
                <w:rFonts w:hint="default" w:ascii="Times New Roman" w:hAnsi="Times New Roman" w:cs="Times New Roman"/>
                <w:b w:val="0"/>
                <w:bCs w:val="0"/>
                <w:color w:val="auto"/>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rPr>
                <w:rFonts w:hint="default" w:ascii="Times New Roman" w:hAnsi="Times New Roman" w:cs="Times New Roman"/>
                <w:b w:val="0"/>
                <w:bCs w:val="0"/>
                <w:color w:val="auto"/>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rPr>
                <w:rFonts w:hint="default" w:ascii="Times New Roman" w:hAnsi="Times New Roman" w:cs="Times New Roman"/>
                <w:b w:val="0"/>
                <w:bCs w:val="0"/>
                <w:color w:val="auto"/>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80" w:lineRule="exact"/>
              <w:jc w:val="right"/>
              <w:textAlignment w:val="bottom"/>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单位：万元</w:t>
            </w:r>
          </w:p>
        </w:tc>
      </w:tr>
      <w:tr>
        <w:tblPrEx>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公用经费</w:t>
            </w:r>
          </w:p>
        </w:tc>
      </w:tr>
      <w:tr>
        <w:tblPrEx>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经济分类科目编码</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经济分类科目编码</w:t>
            </w:r>
          </w:p>
        </w:tc>
        <w:tc>
          <w:tcPr>
            <w:tcW w:w="19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经济分类科目编码</w:t>
            </w:r>
          </w:p>
        </w:tc>
        <w:tc>
          <w:tcPr>
            <w:tcW w:w="35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金额</w:t>
            </w:r>
          </w:p>
        </w:tc>
      </w:tr>
      <w:tr>
        <w:tblPrEx>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center"/>
              <w:rPr>
                <w:rFonts w:hint="default" w:ascii="Times New Roman" w:hAnsi="Times New Roman" w:cs="Times New Roman"/>
                <w:b w:val="0"/>
                <w:bCs w:val="0"/>
                <w:color w:val="auto"/>
                <w:sz w:val="18"/>
                <w:szCs w:val="18"/>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center"/>
              <w:rPr>
                <w:rFonts w:hint="default" w:ascii="Times New Roman" w:hAnsi="Times New Roman" w:cs="Times New Roman"/>
                <w:b w:val="0"/>
                <w:bCs w:val="0"/>
                <w:color w:val="auto"/>
                <w:sz w:val="18"/>
                <w:szCs w:val="18"/>
              </w:rPr>
            </w:pPr>
          </w:p>
        </w:tc>
        <w:tc>
          <w:tcPr>
            <w:tcW w:w="13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center"/>
              <w:rPr>
                <w:rFonts w:hint="default" w:ascii="Times New Roman" w:hAnsi="Times New Roman" w:cs="Times New Roman"/>
                <w:b w:val="0"/>
                <w:bCs w:val="0"/>
                <w:color w:val="auto"/>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center"/>
              <w:rPr>
                <w:rFonts w:hint="default" w:ascii="Times New Roman" w:hAnsi="Times New Roman" w:cs="Times New Roman"/>
                <w:b w:val="0"/>
                <w:bCs w:val="0"/>
                <w:color w:val="auto"/>
                <w:sz w:val="18"/>
                <w:szCs w:val="18"/>
              </w:rPr>
            </w:pPr>
          </w:p>
        </w:tc>
        <w:tc>
          <w:tcPr>
            <w:tcW w:w="19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center"/>
              <w:rPr>
                <w:rFonts w:hint="default" w:ascii="Times New Roman" w:hAnsi="Times New Roman" w:cs="Times New Roman"/>
                <w:b w:val="0"/>
                <w:bCs w:val="0"/>
                <w:color w:val="auto"/>
                <w:sz w:val="18"/>
                <w:szCs w:val="18"/>
              </w:rPr>
            </w:pPr>
          </w:p>
        </w:tc>
        <w:tc>
          <w:tcPr>
            <w:tcW w:w="16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center"/>
              <w:rPr>
                <w:rFonts w:hint="default" w:ascii="Times New Roman" w:hAnsi="Times New Roman" w:cs="Times New Roman"/>
                <w:b w:val="0"/>
                <w:bCs w:val="0"/>
                <w:color w:val="auto"/>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center"/>
              <w:rPr>
                <w:rFonts w:hint="default" w:ascii="Times New Roman" w:hAnsi="Times New Roman" w:cs="Times New Roman"/>
                <w:b w:val="0"/>
                <w:bCs w:val="0"/>
                <w:color w:val="auto"/>
                <w:sz w:val="18"/>
                <w:szCs w:val="18"/>
              </w:rPr>
            </w:pPr>
          </w:p>
        </w:tc>
        <w:tc>
          <w:tcPr>
            <w:tcW w:w="35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center"/>
              <w:rPr>
                <w:rFonts w:hint="default" w:ascii="Times New Roman" w:hAnsi="Times New Roman" w:cs="Times New Roman"/>
                <w:b w:val="0"/>
                <w:bCs w:val="0"/>
                <w:color w:val="auto"/>
                <w:sz w:val="18"/>
                <w:szCs w:val="18"/>
              </w:rPr>
            </w:pPr>
          </w:p>
        </w:tc>
        <w:tc>
          <w:tcPr>
            <w:tcW w:w="18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center"/>
              <w:rPr>
                <w:rFonts w:hint="default" w:ascii="Times New Roman" w:hAnsi="Times New Roman" w:cs="Times New Roman"/>
                <w:b w:val="0"/>
                <w:bCs w:val="0"/>
                <w:color w:val="auto"/>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2,186.30</w:t>
            </w:r>
            <w:r>
              <w:rPr>
                <w:rFonts w:hint="default" w:ascii="Times New Roman" w:hAnsi="Times New Roman" w:cs="Times New Roman"/>
                <w:b w:val="0"/>
                <w:bCs w:val="0"/>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470.62</w:t>
            </w:r>
            <w:r>
              <w:rPr>
                <w:rFonts w:hint="default" w:ascii="Times New Roman" w:hAnsi="Times New Roman" w:cs="Times New Roman"/>
                <w:b w:val="0"/>
                <w:bCs w:val="0"/>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0.49</w:t>
            </w: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485.66</w:t>
            </w:r>
            <w:r>
              <w:rPr>
                <w:rFonts w:hint="default" w:ascii="Times New Roman" w:hAnsi="Times New Roman" w:cs="Times New Roman"/>
                <w:b w:val="0"/>
                <w:bCs w:val="0"/>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171.06</w:t>
            </w:r>
            <w:r>
              <w:rPr>
                <w:rFonts w:hint="default" w:ascii="Times New Roman" w:hAnsi="Times New Roman" w:cs="Times New Roman"/>
                <w:b w:val="0"/>
                <w:bCs w:val="0"/>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205.04</w:t>
            </w:r>
            <w:r>
              <w:rPr>
                <w:rFonts w:hint="default" w:ascii="Times New Roman" w:hAnsi="Times New Roman" w:cs="Times New Roman"/>
                <w:b w:val="0"/>
                <w:bCs w:val="0"/>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1.98</w:t>
            </w:r>
            <w:r>
              <w:rPr>
                <w:rFonts w:hint="default" w:ascii="Times New Roman" w:hAnsi="Times New Roman" w:cs="Times New Roman"/>
                <w:b w:val="0"/>
                <w:bCs w:val="0"/>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0.49</w:t>
            </w: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383.96</w:t>
            </w:r>
            <w:r>
              <w:rPr>
                <w:rFonts w:hint="default" w:ascii="Times New Roman" w:hAnsi="Times New Roman" w:cs="Times New Roman"/>
                <w:b w:val="0"/>
                <w:bCs w:val="0"/>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439.66</w:t>
            </w:r>
            <w:r>
              <w:rPr>
                <w:rFonts w:hint="default" w:ascii="Times New Roman" w:hAnsi="Times New Roman" w:cs="Times New Roman"/>
                <w:b w:val="0"/>
                <w:bCs w:val="0"/>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3.26</w:t>
            </w:r>
            <w:r>
              <w:rPr>
                <w:rFonts w:hint="default" w:ascii="Times New Roman" w:hAnsi="Times New Roman" w:cs="Times New Roman"/>
                <w:b w:val="0"/>
                <w:bCs w:val="0"/>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187.77</w:t>
            </w:r>
            <w:r>
              <w:rPr>
                <w:rFonts w:hint="default" w:ascii="Times New Roman" w:hAnsi="Times New Roman" w:cs="Times New Roman"/>
                <w:b w:val="0"/>
                <w:bCs w:val="0"/>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32.97</w:t>
            </w:r>
            <w:r>
              <w:rPr>
                <w:rFonts w:hint="default" w:ascii="Times New Roman" w:hAnsi="Times New Roman" w:cs="Times New Roman"/>
                <w:b w:val="0"/>
                <w:bCs w:val="0"/>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93.71</w:t>
            </w:r>
            <w:r>
              <w:rPr>
                <w:rFonts w:hint="default" w:ascii="Times New Roman" w:hAnsi="Times New Roman" w:cs="Times New Roman"/>
                <w:b w:val="0"/>
                <w:bCs w:val="0"/>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25.56</w:t>
            </w:r>
            <w:r>
              <w:rPr>
                <w:rFonts w:hint="default" w:ascii="Times New Roman" w:hAnsi="Times New Roman" w:cs="Times New Roman"/>
                <w:b w:val="0"/>
                <w:bCs w:val="0"/>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82.40</w:t>
            </w:r>
            <w:r>
              <w:rPr>
                <w:rFonts w:hint="default" w:ascii="Times New Roman" w:hAnsi="Times New Roman" w:cs="Times New Roman"/>
                <w:b w:val="0"/>
                <w:bCs w:val="0"/>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5.00</w:t>
            </w:r>
            <w:r>
              <w:rPr>
                <w:rFonts w:hint="default" w:ascii="Times New Roman" w:hAnsi="Times New Roman" w:cs="Times New Roman"/>
                <w:b w:val="0"/>
                <w:bCs w:val="0"/>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2.98</w:t>
            </w:r>
            <w:r>
              <w:rPr>
                <w:rFonts w:hint="default" w:ascii="Times New Roman" w:hAnsi="Times New Roman" w:cs="Times New Roman"/>
                <w:b w:val="0"/>
                <w:bCs w:val="0"/>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21.09</w:t>
            </w:r>
            <w:r>
              <w:rPr>
                <w:rFonts w:hint="default" w:ascii="Times New Roman" w:hAnsi="Times New Roman" w:cs="Times New Roman"/>
                <w:b w:val="0"/>
                <w:bCs w:val="0"/>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133.97</w:t>
            </w:r>
            <w:r>
              <w:rPr>
                <w:rFonts w:hint="default" w:ascii="Times New Roman" w:hAnsi="Times New Roman" w:cs="Times New Roman"/>
                <w:b w:val="0"/>
                <w:bCs w:val="0"/>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16.47</w:t>
            </w:r>
            <w:r>
              <w:rPr>
                <w:rFonts w:hint="default" w:ascii="Times New Roman" w:hAnsi="Times New Roman" w:cs="Times New Roman"/>
                <w:b w:val="0"/>
                <w:bCs w:val="0"/>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2.17</w:t>
            </w:r>
            <w:r>
              <w:rPr>
                <w:rFonts w:hint="default" w:ascii="Times New Roman" w:hAnsi="Times New Roman" w:cs="Times New Roman"/>
                <w:b w:val="0"/>
                <w:bCs w:val="0"/>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154.67</w:t>
            </w:r>
            <w:r>
              <w:rPr>
                <w:rFonts w:hint="default" w:ascii="Times New Roman" w:hAnsi="Times New Roman" w:cs="Times New Roman"/>
                <w:b w:val="0"/>
                <w:bCs w:val="0"/>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1.95</w:t>
            </w:r>
            <w:r>
              <w:rPr>
                <w:rFonts w:hint="default" w:ascii="Times New Roman" w:hAnsi="Times New Roman" w:cs="Times New Roman"/>
                <w:b w:val="0"/>
                <w:bCs w:val="0"/>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641.69</w:t>
            </w:r>
            <w:r>
              <w:rPr>
                <w:rFonts w:hint="default" w:ascii="Times New Roman" w:hAnsi="Times New Roman" w:cs="Times New Roman"/>
                <w:b w:val="0"/>
                <w:bCs w:val="0"/>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0.44</w:t>
            </w:r>
            <w:r>
              <w:rPr>
                <w:rFonts w:hint="default" w:ascii="Times New Roman" w:hAnsi="Times New Roman" w:cs="Times New Roman"/>
                <w:b w:val="0"/>
                <w:bCs w:val="0"/>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31.51</w:t>
            </w:r>
            <w:r>
              <w:rPr>
                <w:rFonts w:hint="default" w:ascii="Times New Roman" w:hAnsi="Times New Roman" w:cs="Times New Roman"/>
                <w:b w:val="0"/>
                <w:bCs w:val="0"/>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4.21</w:t>
            </w:r>
            <w:r>
              <w:rPr>
                <w:rFonts w:hint="default" w:ascii="Times New Roman" w:hAnsi="Times New Roman" w:cs="Times New Roman"/>
                <w:b w:val="0"/>
                <w:bCs w:val="0"/>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5.40</w:t>
            </w:r>
            <w:r>
              <w:rPr>
                <w:rFonts w:hint="default" w:ascii="Times New Roman" w:hAnsi="Times New Roman" w:cs="Times New Roman"/>
                <w:b w:val="0"/>
                <w:bCs w:val="0"/>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20.00</w:t>
            </w:r>
            <w:r>
              <w:rPr>
                <w:rFonts w:hint="default" w:ascii="Times New Roman" w:hAnsi="Times New Roman" w:cs="Times New Roman"/>
                <w:b w:val="0"/>
                <w:bCs w:val="0"/>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156.26</w:t>
            </w:r>
            <w:r>
              <w:rPr>
                <w:rFonts w:hint="default" w:ascii="Times New Roman" w:hAnsi="Times New Roman" w:cs="Times New Roman"/>
                <w:b w:val="0"/>
                <w:bCs w:val="0"/>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424.93</w:t>
            </w:r>
            <w:r>
              <w:rPr>
                <w:rFonts w:hint="default" w:ascii="Times New Roman" w:hAnsi="Times New Roman" w:cs="Times New Roman"/>
                <w:b w:val="0"/>
                <w:bCs w:val="0"/>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16.59</w:t>
            </w:r>
            <w:r>
              <w:rPr>
                <w:rFonts w:hint="default" w:ascii="Times New Roman" w:hAnsi="Times New Roman" w:cs="Times New Roman"/>
                <w:b w:val="0"/>
                <w:bCs w:val="0"/>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29.00</w:t>
            </w:r>
            <w:r>
              <w:rPr>
                <w:rFonts w:hint="default" w:ascii="Times New Roman" w:hAnsi="Times New Roman" w:cs="Times New Roman"/>
                <w:b w:val="0"/>
                <w:bCs w:val="0"/>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9.99</w:t>
            </w:r>
            <w:r>
              <w:rPr>
                <w:rFonts w:hint="default" w:ascii="Times New Roman" w:hAnsi="Times New Roman" w:cs="Times New Roman"/>
                <w:b w:val="0"/>
                <w:bCs w:val="0"/>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20.27</w:t>
            </w:r>
            <w:r>
              <w:rPr>
                <w:rFonts w:hint="default" w:ascii="Times New Roman" w:hAnsi="Times New Roman" w:cs="Times New Roman"/>
                <w:b w:val="0"/>
                <w:bCs w:val="0"/>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14.73</w:t>
            </w:r>
            <w:r>
              <w:rPr>
                <w:rFonts w:hint="default" w:ascii="Times New Roman" w:hAnsi="Times New Roman" w:cs="Times New Roman"/>
                <w:b w:val="0"/>
                <w:bCs w:val="0"/>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49.93</w:t>
            </w:r>
            <w:r>
              <w:rPr>
                <w:rFonts w:hint="default" w:ascii="Times New Roman" w:hAnsi="Times New Roman" w:cs="Times New Roman"/>
                <w:b w:val="0"/>
                <w:bCs w:val="0"/>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rPr>
                <w:rFonts w:hint="default" w:ascii="Times New Roman" w:hAnsi="Times New Roman" w:cs="Times New Roman"/>
                <w:b w:val="0"/>
                <w:bCs w:val="0"/>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rPr>
                <w:rFonts w:hint="default" w:ascii="Times New Roman" w:hAnsi="Times New Roman" w:cs="Times New Roman"/>
                <w:b w:val="0"/>
                <w:bCs w:val="0"/>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rPr>
                <w:rFonts w:hint="default" w:ascii="Times New Roman" w:hAnsi="Times New Roman" w:cs="Times New Roman"/>
                <w:b w:val="0"/>
                <w:bCs w:val="0"/>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64.02</w:t>
            </w:r>
            <w:r>
              <w:rPr>
                <w:rFonts w:hint="default" w:ascii="Times New Roman" w:hAnsi="Times New Roman" w:cs="Times New Roman"/>
                <w:b w:val="0"/>
                <w:bCs w:val="0"/>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rPr>
                <w:rFonts w:hint="default" w:ascii="Times New Roman" w:hAnsi="Times New Roman" w:cs="Times New Roman"/>
                <w:b w:val="0"/>
                <w:bCs w:val="0"/>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rPr>
                <w:rFonts w:hint="default" w:ascii="Times New Roman" w:hAnsi="Times New Roman" w:cs="Times New Roman"/>
                <w:b w:val="0"/>
                <w:bCs w:val="0"/>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rPr>
                <w:rFonts w:hint="default" w:ascii="Times New Roman" w:hAnsi="Times New Roman" w:cs="Times New Roman"/>
                <w:b w:val="0"/>
                <w:bCs w:val="0"/>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rPr>
                <w:rFonts w:hint="default" w:ascii="Times New Roman" w:hAnsi="Times New Roman" w:cs="Times New Roman"/>
                <w:b w:val="0"/>
                <w:bCs w:val="0"/>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rPr>
                <w:rFonts w:hint="default" w:ascii="Times New Roman" w:hAnsi="Times New Roman" w:cs="Times New Roman"/>
                <w:b w:val="0"/>
                <w:bCs w:val="0"/>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rPr>
                <w:rFonts w:hint="default" w:ascii="Times New Roman" w:hAnsi="Times New Roman" w:cs="Times New Roman"/>
                <w:b w:val="0"/>
                <w:bCs w:val="0"/>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rPr>
                <w:rFonts w:hint="default" w:ascii="Times New Roman" w:hAnsi="Times New Roman" w:cs="Times New Roman"/>
                <w:b w:val="0"/>
                <w:bCs w:val="0"/>
                <w:color w:val="auto"/>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rPr>
                <w:rFonts w:hint="default" w:ascii="Times New Roman" w:hAnsi="Times New Roman" w:cs="Times New Roman"/>
                <w:b w:val="0"/>
                <w:bCs w:val="0"/>
                <w:color w:val="auto"/>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right"/>
              <w:rPr>
                <w:rFonts w:hint="default" w:ascii="Times New Roman" w:hAnsi="Times New Roman" w:cs="Times New Roman"/>
                <w:b w:val="0"/>
                <w:bCs w:val="0"/>
                <w:color w:val="auto"/>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rPr>
                <w:rFonts w:hint="default" w:ascii="Times New Roman" w:hAnsi="Times New Roman" w:cs="Times New Roman"/>
                <w:b w:val="0"/>
                <w:bCs w:val="0"/>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rPr>
                <w:rFonts w:hint="default" w:ascii="Times New Roman" w:hAnsi="Times New Roman" w:cs="Times New Roman"/>
                <w:b w:val="0"/>
                <w:bCs w:val="0"/>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rPr>
                <w:rFonts w:hint="default" w:ascii="Times New Roman" w:hAnsi="Times New Roman" w:cs="Times New Roman"/>
                <w:b w:val="0"/>
                <w:bCs w:val="0"/>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rPr>
                <w:rFonts w:hint="default" w:ascii="Times New Roman" w:hAnsi="Times New Roman" w:cs="Times New Roman"/>
                <w:b w:val="0"/>
                <w:bCs w:val="0"/>
                <w:color w:val="auto"/>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rPr>
                <w:rFonts w:hint="default" w:ascii="Times New Roman" w:hAnsi="Times New Roman" w:cs="Times New Roman"/>
                <w:b w:val="0"/>
                <w:bCs w:val="0"/>
                <w:color w:val="auto"/>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right"/>
              <w:rPr>
                <w:rFonts w:hint="default" w:ascii="Times New Roman" w:hAnsi="Times New Roman" w:cs="Times New Roman"/>
                <w:b w:val="0"/>
                <w:bCs w:val="0"/>
                <w:color w:val="auto"/>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rPr>
                <w:rFonts w:hint="default" w:ascii="Times New Roman" w:hAnsi="Times New Roman" w:cs="Times New Roman"/>
                <w:b w:val="0"/>
                <w:bCs w:val="0"/>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rPr>
                <w:rFonts w:hint="default" w:ascii="Times New Roman" w:hAnsi="Times New Roman" w:cs="Times New Roman"/>
                <w:b w:val="0"/>
                <w:bCs w:val="0"/>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rPr>
                <w:rFonts w:hint="default" w:ascii="Times New Roman" w:hAnsi="Times New Roman" w:cs="Times New Roman"/>
                <w:b w:val="0"/>
                <w:bCs w:val="0"/>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rPr>
                <w:rFonts w:hint="default" w:ascii="Times New Roman" w:hAnsi="Times New Roman" w:cs="Times New Roman"/>
                <w:b w:val="0"/>
                <w:bCs w:val="0"/>
                <w:color w:val="auto"/>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rPr>
                <w:rFonts w:hint="default" w:ascii="Times New Roman" w:hAnsi="Times New Roman" w:cs="Times New Roman"/>
                <w:b w:val="0"/>
                <w:bCs w:val="0"/>
                <w:color w:val="auto"/>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right"/>
              <w:rPr>
                <w:rFonts w:hint="default" w:ascii="Times New Roman" w:hAnsi="Times New Roman" w:cs="Times New Roman"/>
                <w:b w:val="0"/>
                <w:bCs w:val="0"/>
                <w:color w:val="auto"/>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rPr>
                <w:rFonts w:hint="default" w:ascii="Times New Roman" w:hAnsi="Times New Roman" w:cs="Times New Roman"/>
                <w:b w:val="0"/>
                <w:bCs w:val="0"/>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rPr>
                <w:rFonts w:hint="default" w:ascii="Times New Roman" w:hAnsi="Times New Roman" w:cs="Times New Roman"/>
                <w:b w:val="0"/>
                <w:bCs w:val="0"/>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rPr>
                <w:rFonts w:hint="default" w:ascii="Times New Roman" w:hAnsi="Times New Roman" w:cs="Times New Roman"/>
                <w:b w:val="0"/>
                <w:bCs w:val="0"/>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rPr>
                <w:rFonts w:hint="default" w:ascii="Times New Roman" w:hAnsi="Times New Roman" w:cs="Times New Roman"/>
                <w:b w:val="0"/>
                <w:bCs w:val="0"/>
                <w:color w:val="auto"/>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rPr>
                <w:rFonts w:hint="default" w:ascii="Times New Roman" w:hAnsi="Times New Roman" w:cs="Times New Roman"/>
                <w:b w:val="0"/>
                <w:bCs w:val="0"/>
                <w:color w:val="auto"/>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right"/>
              <w:rPr>
                <w:rFonts w:hint="default" w:ascii="Times New Roman" w:hAnsi="Times New Roman" w:cs="Times New Roman"/>
                <w:b w:val="0"/>
                <w:bCs w:val="0"/>
                <w:color w:val="auto"/>
                <w:sz w:val="18"/>
                <w:szCs w:val="18"/>
              </w:rPr>
            </w:pPr>
          </w:p>
        </w:tc>
      </w:tr>
      <w:tr>
        <w:tblPrEx>
          <w:tblCellMar>
            <w:top w:w="0" w:type="dxa"/>
            <w:left w:w="0" w:type="dxa"/>
            <w:bottom w:w="0" w:type="dxa"/>
            <w:right w:w="0" w:type="dxa"/>
          </w:tblCellMar>
        </w:tblPrEx>
        <w:trPr>
          <w:trHeight w:val="90" w:hRule="atLeast"/>
        </w:trPr>
        <w:tc>
          <w:tcPr>
            <w:tcW w:w="3333"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bottom"/>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2,828.00</w:t>
            </w:r>
            <w:r>
              <w:rPr>
                <w:rFonts w:hint="default" w:ascii="Times New Roman" w:hAnsi="Times New Roman" w:cs="Times New Roman"/>
                <w:b w:val="0"/>
                <w:bCs w:val="0"/>
                <w:color w:val="auto"/>
                <w:sz w:val="18"/>
                <w:u w:color="auto"/>
              </w:rPr>
              <w:t xml:space="preserve"> </w:t>
            </w:r>
          </w:p>
        </w:tc>
        <w:tc>
          <w:tcPr>
            <w:tcW w:w="8718"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公用经费合计</w:t>
            </w:r>
          </w:p>
        </w:tc>
        <w:tc>
          <w:tcPr>
            <w:tcW w:w="1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471.11</w:t>
            </w:r>
            <w:r>
              <w:rPr>
                <w:rFonts w:hint="default" w:ascii="Times New Roman" w:hAnsi="Times New Roman" w:cs="Times New Roman"/>
                <w:b w:val="0"/>
                <w:bCs w:val="0"/>
                <w:color w:val="auto"/>
                <w:sz w:val="18"/>
                <w:u w:color="auto"/>
              </w:rPr>
              <w:t xml:space="preserve"> </w:t>
            </w:r>
          </w:p>
        </w:tc>
      </w:tr>
    </w:tbl>
    <w:p>
      <w:pPr>
        <w:keepNext w:val="0"/>
        <w:keepLines w:val="0"/>
        <w:pageBreakBefore w:val="0"/>
        <w:widowControl w:val="0"/>
        <w:kinsoku/>
        <w:overflowPunct/>
        <w:topLinePunct w:val="0"/>
        <w:autoSpaceDN/>
        <w:bidi w:val="0"/>
        <w:adjustRightInd/>
        <w:spacing w:beforeAutospacing="0" w:afterAutospacing="0" w:line="280" w:lineRule="exact"/>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备注：1.本表反映部门本年度一般公共预算财政拨款基本支出明细情况。</w:t>
      </w:r>
      <w:r>
        <w:rPr>
          <w:rFonts w:hint="default" w:ascii="Times New Roman" w:hAnsi="Times New Roman" w:cs="Times New Roman"/>
          <w:b w:val="0"/>
          <w:bCs w:val="0"/>
          <w:color w:val="auto"/>
          <w:sz w:val="20"/>
          <w:szCs w:val="20"/>
        </w:rPr>
        <w:br w:type="textWrapping"/>
      </w:r>
      <w:r>
        <w:rPr>
          <w:rFonts w:hint="default" w:ascii="Times New Roman" w:hAnsi="Times New Roman" w:cs="Times New Roman"/>
          <w:b w:val="0"/>
          <w:bCs w:val="0"/>
          <w:color w:val="auto"/>
          <w:sz w:val="20"/>
          <w:szCs w:val="20"/>
        </w:rPr>
        <w:t xml:space="preserve">      2.本套报表金额单位转换时可能存在尾数误差。</w:t>
      </w:r>
      <w:r>
        <w:rPr>
          <w:rFonts w:hint="default" w:ascii="Times New Roman" w:hAnsi="Times New Roman" w:cs="Times New Roman"/>
          <w:b w:val="0"/>
          <w:bCs w:val="0"/>
          <w:color w:val="auto"/>
          <w:sz w:val="20"/>
          <w:szCs w:val="20"/>
        </w:rPr>
        <w:br w:type="textWrapping"/>
      </w:r>
      <w:r>
        <w:rPr>
          <w:rFonts w:hint="default" w:ascii="Times New Roman" w:hAnsi="Times New Roman" w:cs="Times New Roman"/>
          <w:b w:val="0"/>
          <w:bCs w:val="0"/>
          <w:color w:val="auto"/>
          <w:sz w:val="20"/>
          <w:szCs w:val="20"/>
        </w:rPr>
        <w:br w:type="textWrapping"/>
      </w:r>
      <w:r>
        <w:rPr>
          <w:rFonts w:hint="default" w:ascii="Times New Roman" w:hAnsi="Times New Roman" w:cs="Times New Roman"/>
          <w:b w:val="0"/>
          <w:bCs w:val="0"/>
          <w:color w:val="auto"/>
          <w:sz w:val="21"/>
          <w:szCs w:val="21"/>
        </w:rPr>
        <w:br w:type="page"/>
      </w:r>
    </w:p>
    <w:tbl>
      <w:tblPr>
        <w:tblStyle w:val="9"/>
        <w:tblW w:w="15322" w:type="dxa"/>
        <w:tblInd w:w="0" w:type="dxa"/>
        <w:tblLayout w:type="fixed"/>
        <w:tblCellMar>
          <w:top w:w="0" w:type="dxa"/>
          <w:left w:w="0" w:type="dxa"/>
          <w:bottom w:w="0" w:type="dxa"/>
          <w:right w:w="0" w:type="dxa"/>
        </w:tblCellMar>
      </w:tblPr>
      <w:tblGrid>
        <w:gridCol w:w="1847"/>
        <w:gridCol w:w="3077"/>
        <w:gridCol w:w="1701"/>
        <w:gridCol w:w="1701"/>
        <w:gridCol w:w="1701"/>
        <w:gridCol w:w="1701"/>
        <w:gridCol w:w="1765"/>
        <w:gridCol w:w="1829"/>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jc w:val="center"/>
              <w:textAlignment w:val="bottom"/>
              <w:rPr>
                <w:rFonts w:hint="default" w:ascii="Times New Roman" w:hAnsi="Times New Roman" w:cs="Times New Roman"/>
                <w:b w:val="0"/>
                <w:bCs w:val="0"/>
                <w:color w:val="auto"/>
                <w:sz w:val="32"/>
                <w:szCs w:val="32"/>
              </w:rPr>
            </w:pPr>
            <w:r>
              <w:rPr>
                <w:rFonts w:hint="default" w:ascii="Times New Roman" w:hAnsi="Times New Roman" w:cs="Times New Roman"/>
                <w:b w:val="0"/>
                <w:bCs w:val="0"/>
                <w:color w:val="auto"/>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25"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 xml:space="preserve">公开部门： </w:t>
            </w:r>
            <w:r>
              <w:rPr>
                <w:rFonts w:hint="default" w:ascii="Times New Roman" w:hAnsi="Times New Roman" w:cs="Times New Roman"/>
                <w:b w:val="0"/>
                <w:bCs w:val="0"/>
                <w:color w:val="auto"/>
                <w:sz w:val="20"/>
                <w:u w:color="auto"/>
              </w:rPr>
              <w:t>重庆市万州区发展和改革委员会</w:t>
            </w:r>
          </w:p>
        </w:tc>
        <w:tc>
          <w:tcPr>
            <w:tcW w:w="170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rPr>
                <w:rFonts w:hint="default" w:ascii="Times New Roman" w:hAnsi="Times New Roman" w:cs="Times New Roman"/>
                <w:b w:val="0"/>
                <w:bCs w:val="0"/>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rPr>
                <w:rFonts w:hint="default" w:ascii="Times New Roman" w:hAnsi="Times New Roman" w:cs="Times New Roman"/>
                <w:b w:val="0"/>
                <w:bCs w:val="0"/>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rPr>
                <w:rFonts w:hint="default" w:ascii="Times New Roman" w:hAnsi="Times New Roman" w:cs="Times New Roman"/>
                <w:b w:val="0"/>
                <w:bCs w:val="0"/>
                <w:color w:val="auto"/>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rPr>
                <w:rFonts w:hint="default" w:ascii="Times New Roman" w:hAnsi="Times New Roman" w:cs="Times New Roman"/>
                <w:b w:val="0"/>
                <w:bCs w:val="0"/>
                <w:color w:val="auto"/>
                <w:sz w:val="20"/>
                <w:szCs w:val="20"/>
              </w:rPr>
            </w:pPr>
          </w:p>
        </w:tc>
        <w:tc>
          <w:tcPr>
            <w:tcW w:w="182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jc w:val="right"/>
              <w:textAlignment w:val="bottom"/>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公开07表</w:t>
            </w:r>
          </w:p>
        </w:tc>
      </w:tr>
      <w:tr>
        <w:tblPrEx>
          <w:tblCellMar>
            <w:top w:w="0" w:type="dxa"/>
            <w:left w:w="0" w:type="dxa"/>
            <w:bottom w:w="0" w:type="dxa"/>
            <w:right w:w="0" w:type="dxa"/>
          </w:tblCellMar>
        </w:tblPrEx>
        <w:trPr>
          <w:trHeight w:val="329" w:hRule="atLeast"/>
        </w:trPr>
        <w:tc>
          <w:tcPr>
            <w:tcW w:w="6625"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rPr>
                <w:rFonts w:hint="default" w:ascii="Times New Roman" w:hAnsi="Times New Roman" w:cs="Times New Roman"/>
                <w:b w:val="0"/>
                <w:bCs w:val="0"/>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rPr>
                <w:rFonts w:hint="default" w:ascii="Times New Roman" w:hAnsi="Times New Roman" w:cs="Times New Roman"/>
                <w:b w:val="0"/>
                <w:bCs w:val="0"/>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rPr>
                <w:rFonts w:hint="default" w:ascii="Times New Roman" w:hAnsi="Times New Roman" w:cs="Times New Roman"/>
                <w:b w:val="0"/>
                <w:bCs w:val="0"/>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rPr>
                <w:rFonts w:hint="default" w:ascii="Times New Roman" w:hAnsi="Times New Roman" w:cs="Times New Roman"/>
                <w:b w:val="0"/>
                <w:bCs w:val="0"/>
                <w:color w:val="auto"/>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rPr>
                <w:rFonts w:hint="default" w:ascii="Times New Roman" w:hAnsi="Times New Roman" w:cs="Times New Roman"/>
                <w:b w:val="0"/>
                <w:bCs w:val="0"/>
                <w:color w:val="auto"/>
                <w:sz w:val="20"/>
                <w:szCs w:val="20"/>
              </w:rPr>
            </w:pPr>
          </w:p>
        </w:tc>
        <w:tc>
          <w:tcPr>
            <w:tcW w:w="182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jc w:val="right"/>
              <w:textAlignment w:val="bottom"/>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单位：万元</w:t>
            </w:r>
          </w:p>
        </w:tc>
      </w:tr>
      <w:tr>
        <w:tblPrEx>
          <w:tblCellMar>
            <w:top w:w="0" w:type="dxa"/>
            <w:left w:w="0" w:type="dxa"/>
            <w:bottom w:w="0" w:type="dxa"/>
            <w:right w:w="0" w:type="dxa"/>
          </w:tblCellMar>
        </w:tblPrEx>
        <w:trPr>
          <w:trHeight w:val="339"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本年支出</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年末结转和结余</w:t>
            </w:r>
          </w:p>
        </w:tc>
      </w:tr>
      <w:tr>
        <w:tblPrEx>
          <w:tblCellMar>
            <w:top w:w="0" w:type="dxa"/>
            <w:left w:w="0" w:type="dxa"/>
            <w:bottom w:w="0" w:type="dxa"/>
            <w:right w:w="0" w:type="dxa"/>
          </w:tblCellMar>
        </w:tblPrEx>
        <w:trPr>
          <w:trHeight w:val="335"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功能分类科目编码</w:t>
            </w:r>
          </w:p>
        </w:tc>
        <w:tc>
          <w:tcPr>
            <w:tcW w:w="307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合计</w:t>
            </w: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基本支出</w:t>
            </w:r>
          </w:p>
        </w:tc>
        <w:tc>
          <w:tcPr>
            <w:tcW w:w="17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项目支出</w:t>
            </w: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r>
      <w:tr>
        <w:tblPrEx>
          <w:tblCellMar>
            <w:top w:w="0" w:type="dxa"/>
            <w:left w:w="0" w:type="dxa"/>
            <w:bottom w:w="0" w:type="dxa"/>
            <w:right w:w="0" w:type="dxa"/>
          </w:tblCellMar>
        </w:tblPrEx>
        <w:trPr>
          <w:trHeight w:val="33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r>
      <w:tr>
        <w:tblPrEx>
          <w:tblCellMar>
            <w:top w:w="0" w:type="dxa"/>
            <w:left w:w="0" w:type="dxa"/>
            <w:bottom w:w="0" w:type="dxa"/>
            <w:right w:w="0" w:type="dxa"/>
          </w:tblCellMar>
        </w:tblPrEx>
        <w:trPr>
          <w:trHeight w:val="64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r>
      <w:tr>
        <w:tblPrEx>
          <w:tblCellMar>
            <w:top w:w="0" w:type="dxa"/>
            <w:left w:w="0" w:type="dxa"/>
            <w:bottom w:w="0" w:type="dxa"/>
            <w:right w:w="0" w:type="dxa"/>
          </w:tblCellMar>
        </w:tblPrEx>
        <w:trPr>
          <w:trHeight w:val="339" w:hRule="atLeast"/>
        </w:trPr>
        <w:tc>
          <w:tcPr>
            <w:tcW w:w="492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bl>
    <w:p>
      <w:pPr>
        <w:keepNext w:val="0"/>
        <w:keepLines w:val="0"/>
        <w:pageBreakBefore w:val="0"/>
        <w:widowControl w:val="0"/>
        <w:kinsoku/>
        <w:overflowPunct/>
        <w:topLinePunct w:val="0"/>
        <w:autoSpaceDN/>
        <w:bidi w:val="0"/>
        <w:adjustRightInd/>
        <w:spacing w:beforeAutospacing="0" w:afterAutospacing="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0"/>
          <w:szCs w:val="20"/>
        </w:rPr>
        <w:t>备注：本表反映部门本年度政府性基金预算财政拨款收入支出及结转和结余情况。本部门无政府性基金收支，故本表无数据。</w:t>
      </w:r>
      <w:r>
        <w:rPr>
          <w:rFonts w:hint="default" w:ascii="Times New Roman" w:hAnsi="Times New Roman" w:cs="Times New Roman"/>
          <w:b w:val="0"/>
          <w:bCs w:val="0"/>
          <w:color w:val="auto"/>
          <w:sz w:val="20"/>
          <w:szCs w:val="20"/>
        </w:rPr>
        <w:br w:type="textWrapping"/>
      </w:r>
      <w:r>
        <w:rPr>
          <w:rFonts w:hint="default" w:ascii="Times New Roman" w:hAnsi="Times New Roman" w:cs="Times New Roman"/>
          <w:b w:val="0"/>
          <w:bCs w:val="0"/>
          <w:color w:val="auto"/>
          <w:sz w:val="20"/>
          <w:szCs w:val="20"/>
        </w:rPr>
        <w:br w:type="textWrapping"/>
      </w:r>
    </w:p>
    <w:p>
      <w:pPr>
        <w:keepNext w:val="0"/>
        <w:keepLines w:val="0"/>
        <w:pageBreakBefore w:val="0"/>
        <w:widowControl w:val="0"/>
        <w:kinsoku/>
        <w:overflowPunct/>
        <w:topLinePunct w:val="0"/>
        <w:autoSpaceDN/>
        <w:bidi w:val="0"/>
        <w:adjustRightInd/>
        <w:spacing w:beforeAutospacing="0" w:afterAutospacing="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br w:type="page"/>
      </w:r>
    </w:p>
    <w:tbl>
      <w:tblPr>
        <w:tblStyle w:val="9"/>
        <w:tblW w:w="15322" w:type="dxa"/>
        <w:tblInd w:w="0" w:type="dxa"/>
        <w:tblLayout w:type="fixed"/>
        <w:tblCellMar>
          <w:top w:w="0" w:type="dxa"/>
          <w:left w:w="0" w:type="dxa"/>
          <w:bottom w:w="0" w:type="dxa"/>
          <w:right w:w="0" w:type="dxa"/>
        </w:tblCellMar>
      </w:tblPr>
      <w:tblGrid>
        <w:gridCol w:w="1875"/>
        <w:gridCol w:w="3049"/>
        <w:gridCol w:w="3264"/>
        <w:gridCol w:w="199"/>
        <w:gridCol w:w="3463"/>
        <w:gridCol w:w="77"/>
        <w:gridCol w:w="3395"/>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jc w:val="center"/>
              <w:textAlignment w:val="bottom"/>
              <w:rPr>
                <w:rFonts w:hint="default" w:ascii="Times New Roman" w:hAnsi="Times New Roman" w:cs="Times New Roman"/>
                <w:b w:val="0"/>
                <w:bCs w:val="0"/>
                <w:color w:val="auto"/>
                <w:sz w:val="32"/>
                <w:szCs w:val="32"/>
              </w:rPr>
            </w:pPr>
            <w:r>
              <w:rPr>
                <w:rFonts w:hint="default" w:ascii="Times New Roman" w:hAnsi="Times New Roman" w:cs="Times New Roman"/>
                <w:b w:val="0"/>
                <w:bCs w:val="0"/>
                <w:color w:val="auto"/>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188"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 xml:space="preserve">公开部门： </w:t>
            </w:r>
            <w:r>
              <w:rPr>
                <w:rFonts w:hint="default" w:ascii="Times New Roman" w:hAnsi="Times New Roman" w:cs="Times New Roman"/>
                <w:b w:val="0"/>
                <w:bCs w:val="0"/>
                <w:color w:val="auto"/>
                <w:sz w:val="20"/>
                <w:u w:color="auto"/>
              </w:rPr>
              <w:t>重庆市万州区发展和改革委员会</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rPr>
                <w:rFonts w:hint="default" w:ascii="Times New Roman" w:hAnsi="Times New Roman" w:cs="Times New Roman"/>
                <w:b w:val="0"/>
                <w:bCs w:val="0"/>
                <w:color w:val="auto"/>
                <w:sz w:val="20"/>
                <w:szCs w:val="20"/>
              </w:rPr>
            </w:pPr>
          </w:p>
        </w:tc>
        <w:tc>
          <w:tcPr>
            <w:tcW w:w="339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jc w:val="right"/>
              <w:textAlignment w:val="bottom"/>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公开08表</w:t>
            </w:r>
          </w:p>
        </w:tc>
      </w:tr>
      <w:tr>
        <w:tblPrEx>
          <w:tblCellMar>
            <w:top w:w="0" w:type="dxa"/>
            <w:left w:w="0" w:type="dxa"/>
            <w:bottom w:w="0" w:type="dxa"/>
            <w:right w:w="0" w:type="dxa"/>
          </w:tblCellMar>
        </w:tblPrEx>
        <w:trPr>
          <w:trHeight w:val="332" w:hRule="atLeast"/>
        </w:trPr>
        <w:tc>
          <w:tcPr>
            <w:tcW w:w="8188"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rPr>
                <w:rFonts w:hint="default" w:ascii="Times New Roman" w:hAnsi="Times New Roman" w:cs="Times New Roman"/>
                <w:b w:val="0"/>
                <w:bCs w:val="0"/>
                <w:color w:val="auto"/>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rPr>
                <w:rFonts w:hint="default" w:ascii="Times New Roman" w:hAnsi="Times New Roman" w:cs="Times New Roman"/>
                <w:b w:val="0"/>
                <w:bCs w:val="0"/>
                <w:color w:val="auto"/>
                <w:sz w:val="20"/>
                <w:szCs w:val="20"/>
              </w:rPr>
            </w:pPr>
          </w:p>
        </w:tc>
        <w:tc>
          <w:tcPr>
            <w:tcW w:w="339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jc w:val="right"/>
              <w:textAlignment w:val="bottom"/>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单位：万元</w:t>
            </w:r>
          </w:p>
        </w:tc>
      </w:tr>
      <w:tr>
        <w:tblPrEx>
          <w:tblCellMar>
            <w:top w:w="0" w:type="dxa"/>
            <w:left w:w="0" w:type="dxa"/>
            <w:bottom w:w="0" w:type="dxa"/>
            <w:right w:w="0" w:type="dxa"/>
          </w:tblCellMar>
        </w:tblPrEx>
        <w:trPr>
          <w:trHeight w:val="422"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jc w:val="center"/>
              <w:textAlignment w:val="bottom"/>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项目</w:t>
            </w:r>
          </w:p>
        </w:tc>
        <w:tc>
          <w:tcPr>
            <w:tcW w:w="10398"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jc w:val="center"/>
              <w:textAlignment w:val="bottom"/>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本年支出</w:t>
            </w:r>
          </w:p>
        </w:tc>
      </w:tr>
      <w:tr>
        <w:tblPrEx>
          <w:tblCellMar>
            <w:top w:w="0" w:type="dxa"/>
            <w:left w:w="0" w:type="dxa"/>
            <w:bottom w:w="0" w:type="dxa"/>
            <w:right w:w="0" w:type="dxa"/>
          </w:tblCellMar>
        </w:tblPrEx>
        <w:trPr>
          <w:trHeight w:val="339" w:hRule="atLeast"/>
        </w:trPr>
        <w:tc>
          <w:tcPr>
            <w:tcW w:w="187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功能分类科目编码</w:t>
            </w:r>
          </w:p>
        </w:tc>
        <w:tc>
          <w:tcPr>
            <w:tcW w:w="30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合计</w:t>
            </w:r>
          </w:p>
        </w:tc>
        <w:tc>
          <w:tcPr>
            <w:tcW w:w="346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基本支出</w:t>
            </w:r>
          </w:p>
        </w:tc>
        <w:tc>
          <w:tcPr>
            <w:tcW w:w="3472"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项目支出</w:t>
            </w:r>
          </w:p>
        </w:tc>
      </w:tr>
      <w:tr>
        <w:tblPrEx>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r>
      <w:tr>
        <w:tblPrEx>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r>
      <w:tr>
        <w:tblPrEx>
          <w:tblCellMar>
            <w:top w:w="0" w:type="dxa"/>
            <w:left w:w="0" w:type="dxa"/>
            <w:bottom w:w="0" w:type="dxa"/>
            <w:right w:w="0" w:type="dxa"/>
          </w:tblCellMar>
        </w:tblPrEx>
        <w:trPr>
          <w:trHeight w:val="326"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rPr>
                <w:rFonts w:hint="default" w:ascii="Times New Roman" w:hAnsi="Times New Roman" w:cs="Times New Roman"/>
                <w:b w:val="0"/>
                <w:bCs w:val="0"/>
                <w:color w:val="auto"/>
                <w:sz w:val="20"/>
                <w:szCs w:val="20"/>
              </w:rPr>
            </w:pPr>
          </w:p>
        </w:tc>
      </w:tr>
      <w:tr>
        <w:tblPrEx>
          <w:tblCellMar>
            <w:top w:w="0" w:type="dxa"/>
            <w:left w:w="0" w:type="dxa"/>
            <w:bottom w:w="0" w:type="dxa"/>
            <w:right w:w="0" w:type="dxa"/>
          </w:tblCellMar>
        </w:tblPrEx>
        <w:trPr>
          <w:trHeight w:val="611"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jc w:val="right"/>
              <w:rPr>
                <w:rFonts w:hint="default" w:ascii="Times New Roman" w:hAnsi="Times New Roman" w:cs="Times New Roman"/>
                <w:b w:val="0"/>
                <w:bCs w:val="0"/>
                <w:color w:val="auto"/>
                <w:sz w:val="20"/>
                <w:szCs w:val="20"/>
              </w:rPr>
            </w:pPr>
          </w:p>
        </w:tc>
        <w:tc>
          <w:tcPr>
            <w:tcW w:w="347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bl>
    <w:p>
      <w:pPr>
        <w:keepNext w:val="0"/>
        <w:keepLines w:val="0"/>
        <w:pageBreakBefore w:val="0"/>
        <w:widowControl w:val="0"/>
        <w:kinsoku/>
        <w:overflowPunct/>
        <w:topLinePunct w:val="0"/>
        <w:autoSpaceDN/>
        <w:bidi w:val="0"/>
        <w:adjustRightInd/>
        <w:spacing w:beforeAutospacing="0" w:afterAutospacing="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0"/>
          <w:szCs w:val="20"/>
        </w:rPr>
        <w:t>备注：本表反映部门本年度国有资本经营预算财政拨款支出情况。本部门无国有资本经营收支，故本表无数据。</w:t>
      </w:r>
      <w:r>
        <w:rPr>
          <w:rFonts w:hint="default" w:ascii="Times New Roman" w:hAnsi="Times New Roman" w:cs="Times New Roman"/>
          <w:b w:val="0"/>
          <w:bCs w:val="0"/>
          <w:color w:val="auto"/>
          <w:sz w:val="20"/>
          <w:szCs w:val="20"/>
        </w:rPr>
        <w:br w:type="textWrapping"/>
      </w:r>
      <w:r>
        <w:rPr>
          <w:rFonts w:hint="default" w:ascii="Times New Roman" w:hAnsi="Times New Roman" w:cs="Times New Roman"/>
          <w:b w:val="0"/>
          <w:bCs w:val="0"/>
          <w:color w:val="auto"/>
          <w:sz w:val="20"/>
          <w:szCs w:val="20"/>
        </w:rPr>
        <w:br w:type="textWrapping"/>
      </w:r>
    </w:p>
    <w:p>
      <w:pPr>
        <w:keepNext w:val="0"/>
        <w:keepLines w:val="0"/>
        <w:pageBreakBefore w:val="0"/>
        <w:widowControl w:val="0"/>
        <w:kinsoku/>
        <w:overflowPunct/>
        <w:topLinePunct w:val="0"/>
        <w:autoSpaceDN/>
        <w:bidi w:val="0"/>
        <w:adjustRightInd/>
        <w:spacing w:beforeAutospacing="0" w:afterAutospacing="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br w:type="page"/>
      </w:r>
    </w:p>
    <w:tbl>
      <w:tblPr>
        <w:tblStyle w:val="9"/>
        <w:tblW w:w="14862" w:type="dxa"/>
        <w:tblInd w:w="0" w:type="dxa"/>
        <w:tblLayout w:type="fixed"/>
        <w:tblCellMar>
          <w:top w:w="0" w:type="dxa"/>
          <w:left w:w="170" w:type="dxa"/>
          <w:bottom w:w="0" w:type="dxa"/>
          <w:right w:w="170" w:type="dxa"/>
        </w:tblCellMar>
      </w:tblPr>
      <w:tblGrid>
        <w:gridCol w:w="4004"/>
        <w:gridCol w:w="2146"/>
        <w:gridCol w:w="2093"/>
        <w:gridCol w:w="4482"/>
        <w:gridCol w:w="2137"/>
      </w:tblGrid>
      <w:tr>
        <w:tblPrEx>
          <w:tblCellMar>
            <w:top w:w="0" w:type="dxa"/>
            <w:left w:w="170" w:type="dxa"/>
            <w:bottom w:w="0" w:type="dxa"/>
            <w:right w:w="170" w:type="dxa"/>
          </w:tblCellMar>
        </w:tblPrEx>
        <w:trPr>
          <w:trHeight w:val="343" w:hRule="atLeast"/>
        </w:trPr>
        <w:tc>
          <w:tcPr>
            <w:tcW w:w="14862" w:type="dxa"/>
            <w:gridSpan w:val="5"/>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400" w:lineRule="exact"/>
              <w:jc w:val="center"/>
              <w:textAlignment w:val="bottom"/>
              <w:rPr>
                <w:rFonts w:hint="default" w:ascii="Times New Roman" w:hAnsi="Times New Roman" w:cs="Times New Roman"/>
                <w:b w:val="0"/>
                <w:bCs w:val="0"/>
                <w:color w:val="auto"/>
                <w:kern w:val="2"/>
                <w:sz w:val="32"/>
                <w:szCs w:val="32"/>
              </w:rPr>
            </w:pPr>
            <w:r>
              <w:rPr>
                <w:rFonts w:hint="default" w:ascii="Times New Roman" w:hAnsi="Times New Roman" w:cs="Times New Roman"/>
                <w:b w:val="0"/>
                <w:bCs w:val="0"/>
                <w:color w:val="auto"/>
                <w:kern w:val="2"/>
                <w:sz w:val="32"/>
                <w:szCs w:val="32"/>
              </w:rPr>
              <w:t>机构运行信息表</w:t>
            </w:r>
          </w:p>
        </w:tc>
      </w:tr>
      <w:tr>
        <w:tblPrEx>
          <w:tblCellMar>
            <w:top w:w="0" w:type="dxa"/>
            <w:left w:w="170" w:type="dxa"/>
            <w:bottom w:w="0" w:type="dxa"/>
            <w:right w:w="170" w:type="dxa"/>
          </w:tblCellMar>
        </w:tblPrEx>
        <w:trPr>
          <w:trHeight w:val="244" w:hRule="atLeast"/>
        </w:trPr>
        <w:tc>
          <w:tcPr>
            <w:tcW w:w="4004" w:type="dxa"/>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80" w:lineRule="exact"/>
              <w:rPr>
                <w:rFonts w:hint="default" w:ascii="Times New Roman" w:hAnsi="Times New Roman" w:cs="Times New Roman"/>
                <w:b w:val="0"/>
                <w:bCs w:val="0"/>
                <w:color w:val="auto"/>
                <w:kern w:val="2"/>
                <w:sz w:val="20"/>
                <w:szCs w:val="20"/>
              </w:rPr>
            </w:pPr>
          </w:p>
        </w:tc>
        <w:tc>
          <w:tcPr>
            <w:tcW w:w="2146" w:type="dxa"/>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80" w:lineRule="exact"/>
              <w:jc w:val="center"/>
              <w:rPr>
                <w:rFonts w:hint="default" w:ascii="Times New Roman" w:hAnsi="Times New Roman" w:cs="Times New Roman"/>
                <w:b w:val="0"/>
                <w:bCs w:val="0"/>
                <w:color w:val="auto"/>
                <w:kern w:val="2"/>
                <w:sz w:val="20"/>
                <w:szCs w:val="20"/>
              </w:rPr>
            </w:pPr>
          </w:p>
        </w:tc>
        <w:tc>
          <w:tcPr>
            <w:tcW w:w="2093" w:type="dxa"/>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80" w:lineRule="exact"/>
              <w:jc w:val="right"/>
              <w:rPr>
                <w:rFonts w:hint="default" w:ascii="Times New Roman" w:hAnsi="Times New Roman" w:cs="Times New Roman"/>
                <w:b w:val="0"/>
                <w:bCs w:val="0"/>
                <w:color w:val="auto"/>
                <w:kern w:val="2"/>
                <w:sz w:val="20"/>
                <w:szCs w:val="20"/>
              </w:rPr>
            </w:pPr>
          </w:p>
        </w:tc>
        <w:tc>
          <w:tcPr>
            <w:tcW w:w="4482" w:type="dxa"/>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80" w:lineRule="exact"/>
              <w:rPr>
                <w:rFonts w:hint="default" w:ascii="Times New Roman" w:hAnsi="Times New Roman" w:cs="Times New Roman"/>
                <w:b w:val="0"/>
                <w:bCs w:val="0"/>
                <w:color w:val="auto"/>
                <w:kern w:val="2"/>
                <w:sz w:val="20"/>
                <w:szCs w:val="20"/>
              </w:rPr>
            </w:pPr>
          </w:p>
        </w:tc>
        <w:tc>
          <w:tcPr>
            <w:tcW w:w="2137" w:type="dxa"/>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80" w:lineRule="exact"/>
              <w:jc w:val="right"/>
              <w:textAlignment w:val="bottom"/>
              <w:rPr>
                <w:rFonts w:hint="default" w:ascii="Times New Roman" w:hAnsi="Times New Roman" w:cs="Times New Roman"/>
                <w:b w:val="0"/>
                <w:bCs w:val="0"/>
                <w:color w:val="auto"/>
                <w:kern w:val="2"/>
                <w:sz w:val="20"/>
                <w:szCs w:val="20"/>
              </w:rPr>
            </w:pPr>
            <w:r>
              <w:rPr>
                <w:rFonts w:hint="default" w:ascii="Times New Roman" w:hAnsi="Times New Roman" w:cs="Times New Roman"/>
                <w:b w:val="0"/>
                <w:bCs w:val="0"/>
                <w:color w:val="auto"/>
                <w:kern w:val="2"/>
                <w:sz w:val="20"/>
                <w:szCs w:val="20"/>
              </w:rPr>
              <w:t>公开09表</w:t>
            </w:r>
          </w:p>
        </w:tc>
      </w:tr>
      <w:tr>
        <w:tblPrEx>
          <w:tblCellMar>
            <w:top w:w="0" w:type="dxa"/>
            <w:left w:w="170" w:type="dxa"/>
            <w:bottom w:w="0" w:type="dxa"/>
            <w:right w:w="170" w:type="dxa"/>
          </w:tblCellMar>
        </w:tblPrEx>
        <w:trPr>
          <w:trHeight w:val="244" w:hRule="atLeast"/>
        </w:trPr>
        <w:tc>
          <w:tcPr>
            <w:tcW w:w="6150"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80" w:lineRule="exact"/>
              <w:rPr>
                <w:rFonts w:hint="default" w:ascii="Times New Roman" w:hAnsi="Times New Roman" w:cs="Times New Roman"/>
                <w:b w:val="0"/>
                <w:bCs w:val="0"/>
                <w:color w:val="auto"/>
                <w:kern w:val="2"/>
                <w:sz w:val="20"/>
                <w:szCs w:val="20"/>
              </w:rPr>
            </w:pPr>
            <w:r>
              <w:rPr>
                <w:rFonts w:hint="default" w:ascii="Times New Roman" w:hAnsi="Times New Roman" w:cs="Times New Roman"/>
                <w:b w:val="0"/>
                <w:bCs w:val="0"/>
                <w:color w:val="auto"/>
                <w:kern w:val="2"/>
                <w:sz w:val="20"/>
                <w:szCs w:val="20"/>
              </w:rPr>
              <w:t xml:space="preserve">公开部门： </w:t>
            </w:r>
            <w:r>
              <w:rPr>
                <w:rFonts w:hint="default" w:ascii="Times New Roman" w:hAnsi="Times New Roman" w:cs="Times New Roman"/>
                <w:b w:val="0"/>
                <w:bCs w:val="0"/>
                <w:color w:val="auto"/>
                <w:sz w:val="20"/>
                <w:u w:color="auto"/>
              </w:rPr>
              <w:t>重庆市万州区发展和改革委员会</w:t>
            </w:r>
          </w:p>
        </w:tc>
        <w:tc>
          <w:tcPr>
            <w:tcW w:w="2093" w:type="dxa"/>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80" w:lineRule="exact"/>
              <w:jc w:val="right"/>
              <w:rPr>
                <w:rFonts w:hint="default" w:ascii="Times New Roman" w:hAnsi="Times New Roman" w:cs="Times New Roman"/>
                <w:b w:val="0"/>
                <w:bCs w:val="0"/>
                <w:color w:val="auto"/>
                <w:kern w:val="2"/>
                <w:sz w:val="20"/>
                <w:szCs w:val="20"/>
              </w:rPr>
            </w:pPr>
          </w:p>
        </w:tc>
        <w:tc>
          <w:tcPr>
            <w:tcW w:w="4482" w:type="dxa"/>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80" w:lineRule="exact"/>
              <w:rPr>
                <w:rFonts w:hint="default" w:ascii="Times New Roman" w:hAnsi="Times New Roman" w:cs="Times New Roman"/>
                <w:b w:val="0"/>
                <w:bCs w:val="0"/>
                <w:color w:val="auto"/>
                <w:kern w:val="2"/>
                <w:sz w:val="20"/>
                <w:szCs w:val="20"/>
              </w:rPr>
            </w:pPr>
          </w:p>
        </w:tc>
        <w:tc>
          <w:tcPr>
            <w:tcW w:w="2137" w:type="dxa"/>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80" w:lineRule="exact"/>
              <w:jc w:val="right"/>
              <w:textAlignment w:val="bottom"/>
              <w:rPr>
                <w:rFonts w:hint="default" w:ascii="Times New Roman" w:hAnsi="Times New Roman" w:cs="Times New Roman"/>
                <w:b w:val="0"/>
                <w:bCs w:val="0"/>
                <w:color w:val="auto"/>
                <w:kern w:val="2"/>
                <w:sz w:val="20"/>
                <w:szCs w:val="20"/>
              </w:rPr>
            </w:pPr>
            <w:r>
              <w:rPr>
                <w:rFonts w:hint="default" w:ascii="Times New Roman" w:hAnsi="Times New Roman" w:cs="Times New Roman"/>
                <w:b w:val="0"/>
                <w:bCs w:val="0"/>
                <w:color w:val="auto"/>
                <w:kern w:val="2"/>
                <w:sz w:val="20"/>
                <w:szCs w:val="20"/>
              </w:rPr>
              <w:t>单位：万元</w:t>
            </w:r>
          </w:p>
        </w:tc>
      </w:tr>
      <w:tr>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center"/>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项  目</w:t>
            </w:r>
          </w:p>
        </w:tc>
        <w:tc>
          <w:tcPr>
            <w:tcW w:w="2146"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center"/>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预算数</w:t>
            </w:r>
          </w:p>
        </w:tc>
        <w:tc>
          <w:tcPr>
            <w:tcW w:w="2093"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center"/>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决算数</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center"/>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项  目</w:t>
            </w:r>
          </w:p>
        </w:tc>
        <w:tc>
          <w:tcPr>
            <w:tcW w:w="2137"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center"/>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决算数</w:t>
            </w:r>
          </w:p>
        </w:tc>
      </w:tr>
      <w:tr>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一、“三公”经费支出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center"/>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center"/>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四、机关运行经费</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jc w:val="right"/>
              <w:textAlignment w:val="bottom"/>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238.39</w:t>
            </w:r>
            <w:r>
              <w:rPr>
                <w:rFonts w:hint="default" w:ascii="Times New Roman" w:hAnsi="Times New Roman" w:cs="Times New Roman"/>
                <w:b w:val="0"/>
                <w:bCs w:val="0"/>
                <w:color w:val="auto"/>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 xml:space="preserve">  （一）支出合计</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jc w:val="right"/>
              <w:textAlignment w:val="bottom"/>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36.36</w:t>
            </w:r>
            <w:r>
              <w:rPr>
                <w:rFonts w:hint="default" w:ascii="Times New Roman" w:hAnsi="Times New Roman" w:cs="Times New Roman"/>
                <w:b w:val="0"/>
                <w:bCs w:val="0"/>
                <w:color w:val="auto"/>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jc w:val="right"/>
              <w:textAlignment w:val="bottom"/>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36.36</w:t>
            </w:r>
            <w:r>
              <w:rPr>
                <w:rFonts w:hint="default" w:ascii="Times New Roman" w:hAnsi="Times New Roman" w:cs="Times New Roman"/>
                <w:b w:val="0"/>
                <w:bCs w:val="0"/>
                <w:color w:val="auto"/>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 xml:space="preserve">  （一）行政单位</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jc w:val="right"/>
              <w:textAlignment w:val="bottom"/>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238.39</w:t>
            </w:r>
            <w:r>
              <w:rPr>
                <w:rFonts w:hint="default" w:ascii="Times New Roman" w:hAnsi="Times New Roman" w:cs="Times New Roman"/>
                <w:b w:val="0"/>
                <w:bCs w:val="0"/>
                <w:color w:val="auto"/>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 xml:space="preserve">     1．因公出国（境）费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jc w:val="right"/>
              <w:textAlignment w:val="bottom"/>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jc w:val="right"/>
              <w:textAlignment w:val="bottom"/>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 xml:space="preserve">  （二）参照公务员法管理事业单位</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jc w:val="right"/>
              <w:textAlignment w:val="bottom"/>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 xml:space="preserve">     2．公务用车购置及运行维护费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jc w:val="right"/>
              <w:textAlignment w:val="bottom"/>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30.96</w:t>
            </w:r>
            <w:r>
              <w:rPr>
                <w:rFonts w:hint="default" w:ascii="Times New Roman" w:hAnsi="Times New Roman" w:cs="Times New Roman"/>
                <w:b w:val="0"/>
                <w:bCs w:val="0"/>
                <w:color w:val="auto"/>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jc w:val="right"/>
              <w:textAlignment w:val="bottom"/>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30.96</w:t>
            </w:r>
            <w:r>
              <w:rPr>
                <w:rFonts w:hint="default" w:ascii="Times New Roman" w:hAnsi="Times New Roman" w:cs="Times New Roman"/>
                <w:b w:val="0"/>
                <w:bCs w:val="0"/>
                <w:color w:val="auto"/>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五、资产信息</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center"/>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 xml:space="preserve">      （1）公务用车购置费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jc w:val="right"/>
              <w:textAlignment w:val="bottom"/>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16.23</w:t>
            </w:r>
            <w:r>
              <w:rPr>
                <w:rFonts w:hint="default" w:ascii="Times New Roman" w:hAnsi="Times New Roman" w:cs="Times New Roman"/>
                <w:b w:val="0"/>
                <w:bCs w:val="0"/>
                <w:color w:val="auto"/>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jc w:val="right"/>
              <w:textAlignment w:val="bottom"/>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16.23</w:t>
            </w:r>
            <w:r>
              <w:rPr>
                <w:rFonts w:hint="default" w:ascii="Times New Roman" w:hAnsi="Times New Roman" w:cs="Times New Roman"/>
                <w:b w:val="0"/>
                <w:bCs w:val="0"/>
                <w:color w:val="auto"/>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 xml:space="preserve">  （一）车辆数合计（辆）</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jc w:val="right"/>
              <w:textAlignment w:val="bottom"/>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lang w:val="en-US" w:eastAsia="zh-CN"/>
              </w:rPr>
              <w:t>8</w:t>
            </w:r>
            <w:r>
              <w:rPr>
                <w:rFonts w:hint="default" w:ascii="Times New Roman" w:hAnsi="Times New Roman" w:cs="Times New Roman"/>
                <w:b w:val="0"/>
                <w:bCs w:val="0"/>
                <w:color w:val="auto"/>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 xml:space="preserve">      （2）公务用车运行维护费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jc w:val="right"/>
              <w:textAlignment w:val="bottom"/>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14.73</w:t>
            </w:r>
            <w:r>
              <w:rPr>
                <w:rFonts w:hint="default" w:ascii="Times New Roman" w:hAnsi="Times New Roman" w:cs="Times New Roman"/>
                <w:b w:val="0"/>
                <w:bCs w:val="0"/>
                <w:color w:val="auto"/>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jc w:val="right"/>
              <w:textAlignment w:val="bottom"/>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14.73</w:t>
            </w:r>
            <w:r>
              <w:rPr>
                <w:rFonts w:hint="default" w:ascii="Times New Roman" w:hAnsi="Times New Roman" w:cs="Times New Roman"/>
                <w:b w:val="0"/>
                <w:bCs w:val="0"/>
                <w:color w:val="auto"/>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 xml:space="preserve">     1．副部（省）级及以上领导用车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jc w:val="right"/>
              <w:textAlignment w:val="bottom"/>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 xml:space="preserve">     3．公务接待费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jc w:val="right"/>
              <w:textAlignment w:val="bottom"/>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5.40</w:t>
            </w:r>
            <w:r>
              <w:rPr>
                <w:rFonts w:hint="default" w:ascii="Times New Roman" w:hAnsi="Times New Roman" w:cs="Times New Roman"/>
                <w:b w:val="0"/>
                <w:bCs w:val="0"/>
                <w:color w:val="auto"/>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jc w:val="right"/>
              <w:textAlignment w:val="bottom"/>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5.40</w:t>
            </w:r>
            <w:r>
              <w:rPr>
                <w:rFonts w:hint="default" w:ascii="Times New Roman" w:hAnsi="Times New Roman" w:cs="Times New Roman"/>
                <w:b w:val="0"/>
                <w:bCs w:val="0"/>
                <w:color w:val="auto"/>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 xml:space="preserve">     2．主要领导干部用车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jc w:val="right"/>
              <w:textAlignment w:val="bottom"/>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 xml:space="preserve">      （1）国内接待费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center"/>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jc w:val="right"/>
              <w:textAlignment w:val="bottom"/>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5.40</w:t>
            </w:r>
            <w:r>
              <w:rPr>
                <w:rFonts w:hint="default" w:ascii="Times New Roman" w:hAnsi="Times New Roman" w:cs="Times New Roman"/>
                <w:b w:val="0"/>
                <w:bCs w:val="0"/>
                <w:color w:val="auto"/>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 xml:space="preserve">     3．机要通信用车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jc w:val="right"/>
              <w:textAlignment w:val="bottom"/>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3</w:t>
            </w:r>
            <w:r>
              <w:rPr>
                <w:rFonts w:hint="default" w:ascii="Times New Roman" w:hAnsi="Times New Roman" w:cs="Times New Roman"/>
                <w:b w:val="0"/>
                <w:bCs w:val="0"/>
                <w:color w:val="auto"/>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 xml:space="preserve">           其中：外事接待费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center"/>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jc w:val="right"/>
              <w:textAlignment w:val="bottom"/>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 xml:space="preserve">     4．应急保障用车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jc w:val="right"/>
              <w:textAlignment w:val="bottom"/>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3</w:t>
            </w:r>
            <w:r>
              <w:rPr>
                <w:rFonts w:hint="default" w:ascii="Times New Roman" w:hAnsi="Times New Roman" w:cs="Times New Roman"/>
                <w:b w:val="0"/>
                <w:bCs w:val="0"/>
                <w:color w:val="auto"/>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 xml:space="preserve">      （2）国（境）外接待费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center"/>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jc w:val="right"/>
              <w:textAlignment w:val="bottom"/>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 xml:space="preserve">     5．执法执勤用车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jc w:val="right"/>
              <w:textAlignment w:val="bottom"/>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 xml:space="preserve">  （二）相关统计数</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center"/>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center"/>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 xml:space="preserve">     6．特种专业技术用车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jc w:val="right"/>
              <w:textAlignment w:val="bottom"/>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lang w:val="en-US" w:eastAsia="zh-CN"/>
              </w:rPr>
              <w:t>2</w:t>
            </w:r>
            <w:r>
              <w:rPr>
                <w:rFonts w:hint="default" w:ascii="Times New Roman" w:hAnsi="Times New Roman" w:cs="Times New Roman"/>
                <w:b w:val="0"/>
                <w:bCs w:val="0"/>
                <w:color w:val="auto"/>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 xml:space="preserve">     1．因公出国（境）团组数（个）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center"/>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jc w:val="right"/>
              <w:textAlignment w:val="bottom"/>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 xml:space="preserve">     7．离退休干部用车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jc w:val="right"/>
              <w:textAlignment w:val="bottom"/>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 xml:space="preserve">     2．因公出国（境）人次数（人）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center"/>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jc w:val="right"/>
              <w:textAlignment w:val="bottom"/>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 xml:space="preserve">     8．其他用车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jc w:val="right"/>
              <w:textAlignment w:val="bottom"/>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 xml:space="preserve">     3．公务用车购置数（辆）</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center"/>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jc w:val="right"/>
              <w:textAlignment w:val="bottom"/>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1</w:t>
            </w:r>
            <w:r>
              <w:rPr>
                <w:rFonts w:hint="default" w:ascii="Times New Roman" w:hAnsi="Times New Roman" w:cs="Times New Roman"/>
                <w:b w:val="0"/>
                <w:bCs w:val="0"/>
                <w:color w:val="auto"/>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 xml:space="preserve">  （二）单价100万元（含）以上设备（不含车辆）</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jc w:val="right"/>
              <w:textAlignment w:val="bottom"/>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2</w:t>
            </w:r>
            <w:r>
              <w:rPr>
                <w:rFonts w:hint="default" w:ascii="Times New Roman" w:hAnsi="Times New Roman" w:cs="Times New Roman"/>
                <w:b w:val="0"/>
                <w:bCs w:val="0"/>
                <w:color w:val="auto"/>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 xml:space="preserve">     4．公务用车保有量（辆）</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center"/>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jc w:val="right"/>
              <w:textAlignment w:val="bottom"/>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7</w:t>
            </w:r>
            <w:r>
              <w:rPr>
                <w:rFonts w:hint="default" w:ascii="Times New Roman" w:hAnsi="Times New Roman" w:cs="Times New Roman"/>
                <w:b w:val="0"/>
                <w:bCs w:val="0"/>
                <w:color w:val="auto"/>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六、政府采购支出信息</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center"/>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 xml:space="preserve">     5．国内公务接待批次（个）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center"/>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jc w:val="right"/>
              <w:textAlignment w:val="bottom"/>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46</w:t>
            </w:r>
            <w:r>
              <w:rPr>
                <w:rFonts w:hint="default" w:ascii="Times New Roman" w:hAnsi="Times New Roman" w:cs="Times New Roman"/>
                <w:b w:val="0"/>
                <w:bCs w:val="0"/>
                <w:color w:val="auto"/>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 xml:space="preserve">  （一）政府采购支出合计</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jc w:val="right"/>
              <w:textAlignment w:val="bottom"/>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2.70</w:t>
            </w:r>
            <w:r>
              <w:rPr>
                <w:rFonts w:hint="default" w:ascii="Times New Roman" w:hAnsi="Times New Roman" w:cs="Times New Roman"/>
                <w:b w:val="0"/>
                <w:bCs w:val="0"/>
                <w:color w:val="auto"/>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 xml:space="preserve">        其中：外事接待批次（个）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center"/>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jc w:val="right"/>
              <w:textAlignment w:val="bottom"/>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 xml:space="preserve">     1．政府采购货物支出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jc w:val="right"/>
              <w:textAlignment w:val="bottom"/>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2.70</w:t>
            </w:r>
            <w:r>
              <w:rPr>
                <w:rFonts w:hint="default" w:ascii="Times New Roman" w:hAnsi="Times New Roman" w:cs="Times New Roman"/>
                <w:b w:val="0"/>
                <w:bCs w:val="0"/>
                <w:color w:val="auto"/>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 xml:space="preserve">     6．国内公务接待人次（人）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center"/>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jc w:val="right"/>
              <w:textAlignment w:val="bottom"/>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577</w:t>
            </w:r>
            <w:r>
              <w:rPr>
                <w:rFonts w:hint="default" w:ascii="Times New Roman" w:hAnsi="Times New Roman" w:cs="Times New Roman"/>
                <w:b w:val="0"/>
                <w:bCs w:val="0"/>
                <w:color w:val="auto"/>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 xml:space="preserve">     2．政府采购工程支出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jc w:val="right"/>
              <w:textAlignment w:val="bottom"/>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 xml:space="preserve">        其中：外事接待人次（人）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center"/>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jc w:val="right"/>
              <w:textAlignment w:val="bottom"/>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 xml:space="preserve">     3．政府采购服务支出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jc w:val="right"/>
              <w:textAlignment w:val="bottom"/>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 xml:space="preserve">     7．国（境）外公务接待批次（个）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center"/>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jc w:val="right"/>
              <w:textAlignment w:val="bottom"/>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 xml:space="preserve">  （二）政府采购授予中小企业合同金额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jc w:val="right"/>
              <w:textAlignment w:val="bottom"/>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2.70</w:t>
            </w:r>
            <w:r>
              <w:rPr>
                <w:rFonts w:hint="default" w:ascii="Times New Roman" w:hAnsi="Times New Roman" w:cs="Times New Roman"/>
                <w:b w:val="0"/>
                <w:bCs w:val="0"/>
                <w:color w:val="auto"/>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 xml:space="preserve">     8．国（境）外公务接待人次（人）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center"/>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jc w:val="right"/>
              <w:textAlignment w:val="bottom"/>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 xml:space="preserve">        其中：授予小微企业合同金额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jc w:val="right"/>
              <w:textAlignment w:val="bottom"/>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2.70</w:t>
            </w:r>
            <w:r>
              <w:rPr>
                <w:rFonts w:hint="default" w:ascii="Times New Roman" w:hAnsi="Times New Roman" w:cs="Times New Roman"/>
                <w:b w:val="0"/>
                <w:bCs w:val="0"/>
                <w:color w:val="auto"/>
                <w:sz w:val="16"/>
                <w:u w:color="auto"/>
              </w:rPr>
              <w:t xml:space="preserve"> </w:t>
            </w:r>
          </w:p>
        </w:tc>
      </w:tr>
      <w:tr>
        <w:tblPrEx>
          <w:tblCellMar>
            <w:top w:w="0" w:type="dxa"/>
            <w:left w:w="170" w:type="dxa"/>
            <w:bottom w:w="0" w:type="dxa"/>
            <w:right w:w="170" w:type="dxa"/>
          </w:tblCellMar>
        </w:tblPrEx>
        <w:trPr>
          <w:trHeight w:val="286"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二、会议费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center"/>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jc w:val="right"/>
              <w:textAlignment w:val="bottom"/>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3.40</w:t>
            </w:r>
            <w:r>
              <w:rPr>
                <w:rFonts w:hint="default" w:ascii="Times New Roman" w:hAnsi="Times New Roman" w:cs="Times New Roman"/>
                <w:b w:val="0"/>
                <w:bCs w:val="0"/>
                <w:color w:val="auto"/>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rPr>
                <w:rFonts w:hint="default" w:ascii="Times New Roman" w:hAnsi="Times New Roman" w:cs="Times New Roman"/>
                <w:b w:val="0"/>
                <w:bCs w:val="0"/>
                <w:color w:val="auto"/>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jc w:val="right"/>
              <w:rPr>
                <w:rFonts w:hint="default" w:ascii="Times New Roman" w:hAnsi="Times New Roman" w:cs="Times New Roman"/>
                <w:b w:val="0"/>
                <w:bCs w:val="0"/>
                <w:color w:val="auto"/>
                <w:kern w:val="2"/>
                <w:sz w:val="16"/>
                <w:szCs w:val="16"/>
              </w:rPr>
            </w:pPr>
          </w:p>
        </w:tc>
      </w:tr>
      <w:tr>
        <w:tblPrEx>
          <w:tblCellMar>
            <w:top w:w="0" w:type="dxa"/>
            <w:left w:w="170" w:type="dxa"/>
            <w:bottom w:w="0" w:type="dxa"/>
            <w:right w:w="170" w:type="dxa"/>
          </w:tblCellMar>
        </w:tblPrEx>
        <w:trPr>
          <w:trHeight w:val="389"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三、培训费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jc w:val="center"/>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jc w:val="right"/>
              <w:textAlignment w:val="bottom"/>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58.49</w:t>
            </w:r>
            <w:r>
              <w:rPr>
                <w:rFonts w:hint="default" w:ascii="Times New Roman" w:hAnsi="Times New Roman" w:cs="Times New Roman"/>
                <w:b w:val="0"/>
                <w:bCs w:val="0"/>
                <w:color w:val="auto"/>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beforeAutospacing="0" w:afterAutospacing="0" w:line="200" w:lineRule="exact"/>
              <w:rPr>
                <w:rFonts w:hint="default" w:ascii="Times New Roman" w:hAnsi="Times New Roman" w:cs="Times New Roman"/>
                <w:b w:val="0"/>
                <w:bCs w:val="0"/>
                <w:color w:val="auto"/>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beforeAutospacing="0" w:afterAutospacing="0" w:line="200" w:lineRule="exact"/>
              <w:jc w:val="right"/>
              <w:rPr>
                <w:rFonts w:hint="default" w:ascii="Times New Roman" w:hAnsi="Times New Roman" w:cs="Times New Roman"/>
                <w:b w:val="0"/>
                <w:bCs w:val="0"/>
                <w:color w:val="auto"/>
                <w:kern w:val="2"/>
                <w:sz w:val="16"/>
                <w:szCs w:val="16"/>
              </w:rPr>
            </w:pPr>
          </w:p>
        </w:tc>
      </w:tr>
    </w:tbl>
    <w:p>
      <w:pPr>
        <w:keepNext w:val="0"/>
        <w:keepLines w:val="0"/>
        <w:pageBreakBefore w:val="0"/>
        <w:widowControl w:val="0"/>
        <w:kinsoku/>
        <w:overflowPunct/>
        <w:topLinePunct w:val="0"/>
        <w:autoSpaceDN/>
        <w:bidi w:val="0"/>
        <w:adjustRightInd/>
        <w:spacing w:beforeAutospacing="0" w:afterAutospacing="0"/>
        <w:rPr>
          <w:rFonts w:hint="default" w:ascii="Times New Roman" w:hAnsi="Times New Roman" w:cs="Times New Roman"/>
          <w:b w:val="0"/>
          <w:bCs w:val="0"/>
          <w:color w:val="auto"/>
        </w:rPr>
      </w:pPr>
      <w:r>
        <w:rPr>
          <w:rFonts w:hint="default" w:ascii="Times New Roman" w:hAnsi="Times New Roman" w:cs="Times New Roman"/>
          <w:b w:val="0"/>
          <w:bCs w:val="0"/>
          <w:color w:val="auto"/>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b w:val="0"/>
          <w:bCs w:val="0"/>
          <w:color w:val="auto"/>
          <w:sz w:val="20"/>
          <w:szCs w:val="20"/>
        </w:rPr>
        <w:br w:type="textWrapping"/>
      </w:r>
      <w:r>
        <w:rPr>
          <w:rFonts w:hint="default" w:ascii="Times New Roman" w:hAnsi="Times New Roman" w:cs="Times New Roman"/>
          <w:b w:val="0"/>
          <w:bCs w:val="0"/>
          <w:color w:val="auto"/>
          <w:sz w:val="20"/>
          <w:szCs w:val="20"/>
        </w:rPr>
        <w:t xml:space="preserve">      2.本套报表金额单位转换时可能存在尾数误差。</w:t>
      </w:r>
      <w:r>
        <w:rPr>
          <w:rFonts w:hint="default" w:ascii="Times New Roman" w:hAnsi="Times New Roman" w:cs="Times New Roman"/>
          <w:b w:val="0"/>
          <w:bCs w:val="0"/>
          <w:color w:val="auto"/>
          <w:sz w:val="20"/>
          <w:szCs w:val="20"/>
        </w:rPr>
        <w:br w:type="textWrapping"/>
      </w:r>
      <w:r>
        <w:rPr>
          <w:rFonts w:hint="default" w:ascii="Times New Roman" w:hAnsi="Times New Roman" w:cs="Times New Roman"/>
          <w:b w:val="0"/>
          <w:bCs w:val="0"/>
          <w:color w:val="auto"/>
          <w:sz w:val="20"/>
          <w:szCs w:val="20"/>
        </w:rPr>
        <w:br w:type="textWrapping"/>
      </w:r>
    </w:p>
    <w:sectPr>
      <w:pgSz w:w="16783" w:h="11850" w:orient="landscape"/>
      <w:pgMar w:top="567" w:right="454" w:bottom="567" w:left="1037" w:header="0" w:footer="283"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sz w:val="18"/>
      </w:rPr>
      <w:pict>
        <v:shape id="_x0000_s1029" o:spid="_x0000_s102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sz w:val="18"/>
      </w:rPr>
      <w:pict>
        <v:shape id="_x0000_s1030" o:spid="_x0000_s103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宋体"/>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13</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5"/>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7F9D4A"/>
    <w:multiLevelType w:val="singleLevel"/>
    <w:tmpl w:val="BD7F9D4A"/>
    <w:lvl w:ilvl="0" w:tentative="0">
      <w:start w:val="2"/>
      <w:numFmt w:val="chineseCounting"/>
      <w:suff w:val="nothing"/>
      <w:lvlText w:val="（%1）"/>
      <w:lvlJc w:val="left"/>
      <w:rPr>
        <w:rFonts w:hint="eastAsia" w:ascii="方正楷体_GBK" w:hAnsi="方正楷体_GBK" w:eastAsia="方正楷体_GBK" w:cs="方正楷体_GB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HorizontalSpacing w:val="120"/>
  <w:drawingGridVerticalSpacing w:val="163"/>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3F6957"/>
    <w:rsid w:val="01474EBF"/>
    <w:rsid w:val="01F3521E"/>
    <w:rsid w:val="03B87EA0"/>
    <w:rsid w:val="03E3214F"/>
    <w:rsid w:val="044C50BA"/>
    <w:rsid w:val="05BC6D49"/>
    <w:rsid w:val="06194FF1"/>
    <w:rsid w:val="06A2550B"/>
    <w:rsid w:val="06B65E57"/>
    <w:rsid w:val="06F80EE2"/>
    <w:rsid w:val="07001CCA"/>
    <w:rsid w:val="075678DB"/>
    <w:rsid w:val="079D7CC7"/>
    <w:rsid w:val="08051BCA"/>
    <w:rsid w:val="086C12F4"/>
    <w:rsid w:val="08BA052C"/>
    <w:rsid w:val="08DB07BA"/>
    <w:rsid w:val="0969353F"/>
    <w:rsid w:val="098305D0"/>
    <w:rsid w:val="098A0877"/>
    <w:rsid w:val="0A4706BE"/>
    <w:rsid w:val="0A5C4B69"/>
    <w:rsid w:val="0A86124A"/>
    <w:rsid w:val="0AB54CC0"/>
    <w:rsid w:val="0B9335CE"/>
    <w:rsid w:val="0C7927C4"/>
    <w:rsid w:val="0C9B098C"/>
    <w:rsid w:val="0D673E11"/>
    <w:rsid w:val="0DDA54E4"/>
    <w:rsid w:val="0DDB2058"/>
    <w:rsid w:val="0E3A5F83"/>
    <w:rsid w:val="0E74421A"/>
    <w:rsid w:val="0F836721"/>
    <w:rsid w:val="0FA25D96"/>
    <w:rsid w:val="107B59E5"/>
    <w:rsid w:val="10953CB2"/>
    <w:rsid w:val="10EC0126"/>
    <w:rsid w:val="10F70B9A"/>
    <w:rsid w:val="111445C7"/>
    <w:rsid w:val="114278C6"/>
    <w:rsid w:val="1158083A"/>
    <w:rsid w:val="11643A4B"/>
    <w:rsid w:val="11ED0F98"/>
    <w:rsid w:val="11F03528"/>
    <w:rsid w:val="129B37F2"/>
    <w:rsid w:val="12C921C4"/>
    <w:rsid w:val="13871C70"/>
    <w:rsid w:val="13A71CB4"/>
    <w:rsid w:val="13AF1D43"/>
    <w:rsid w:val="13CE1647"/>
    <w:rsid w:val="13FD55AB"/>
    <w:rsid w:val="14200702"/>
    <w:rsid w:val="14BE5C5C"/>
    <w:rsid w:val="163A6CEE"/>
    <w:rsid w:val="173708E3"/>
    <w:rsid w:val="17C374FC"/>
    <w:rsid w:val="189079DC"/>
    <w:rsid w:val="189B0D0B"/>
    <w:rsid w:val="18B43F7C"/>
    <w:rsid w:val="194A1770"/>
    <w:rsid w:val="19B906A4"/>
    <w:rsid w:val="1A034B60"/>
    <w:rsid w:val="1B6F15B6"/>
    <w:rsid w:val="1BAA2EDC"/>
    <w:rsid w:val="1C433BEB"/>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0E439A"/>
    <w:rsid w:val="2533755C"/>
    <w:rsid w:val="25791755"/>
    <w:rsid w:val="26396DF4"/>
    <w:rsid w:val="27167136"/>
    <w:rsid w:val="27B23302"/>
    <w:rsid w:val="27CB21F9"/>
    <w:rsid w:val="286015F2"/>
    <w:rsid w:val="29310A5F"/>
    <w:rsid w:val="29C37A35"/>
    <w:rsid w:val="2A076083"/>
    <w:rsid w:val="2A73162E"/>
    <w:rsid w:val="2B167953"/>
    <w:rsid w:val="2B200583"/>
    <w:rsid w:val="2B8209DE"/>
    <w:rsid w:val="2C6762A3"/>
    <w:rsid w:val="2EBF7B3E"/>
    <w:rsid w:val="2EC63CAC"/>
    <w:rsid w:val="2ECD118F"/>
    <w:rsid w:val="2EDE1934"/>
    <w:rsid w:val="2FCA4B37"/>
    <w:rsid w:val="2FE029D7"/>
    <w:rsid w:val="2FF06E00"/>
    <w:rsid w:val="30562E26"/>
    <w:rsid w:val="30586FEC"/>
    <w:rsid w:val="30EC7046"/>
    <w:rsid w:val="315F0B22"/>
    <w:rsid w:val="319D022C"/>
    <w:rsid w:val="31C90022"/>
    <w:rsid w:val="31D84415"/>
    <w:rsid w:val="31E978E5"/>
    <w:rsid w:val="32285F6F"/>
    <w:rsid w:val="32770556"/>
    <w:rsid w:val="329C0913"/>
    <w:rsid w:val="32AA0460"/>
    <w:rsid w:val="332B1863"/>
    <w:rsid w:val="3337290D"/>
    <w:rsid w:val="33E31118"/>
    <w:rsid w:val="33EF7674"/>
    <w:rsid w:val="342D7BC6"/>
    <w:rsid w:val="34423B05"/>
    <w:rsid w:val="346F1A07"/>
    <w:rsid w:val="352930DB"/>
    <w:rsid w:val="35573069"/>
    <w:rsid w:val="355F6038"/>
    <w:rsid w:val="358C217E"/>
    <w:rsid w:val="35937598"/>
    <w:rsid w:val="36C9128A"/>
    <w:rsid w:val="372E3953"/>
    <w:rsid w:val="37841E99"/>
    <w:rsid w:val="37BF1123"/>
    <w:rsid w:val="383C3F15"/>
    <w:rsid w:val="38BE4696"/>
    <w:rsid w:val="3939115E"/>
    <w:rsid w:val="398F96F8"/>
    <w:rsid w:val="39B82A39"/>
    <w:rsid w:val="39C42CA8"/>
    <w:rsid w:val="39DC4FD6"/>
    <w:rsid w:val="39F03D7A"/>
    <w:rsid w:val="39F33306"/>
    <w:rsid w:val="3A2C1C67"/>
    <w:rsid w:val="3B1705E5"/>
    <w:rsid w:val="3B18334B"/>
    <w:rsid w:val="3B36794F"/>
    <w:rsid w:val="3BFE0BDD"/>
    <w:rsid w:val="3C566AD6"/>
    <w:rsid w:val="3C6A5B02"/>
    <w:rsid w:val="3D2757A1"/>
    <w:rsid w:val="3D3D4FC4"/>
    <w:rsid w:val="3DDF3AB1"/>
    <w:rsid w:val="3E1D0952"/>
    <w:rsid w:val="3E42660A"/>
    <w:rsid w:val="3E7555B1"/>
    <w:rsid w:val="3E787ED9"/>
    <w:rsid w:val="3EA33062"/>
    <w:rsid w:val="3EEC37F3"/>
    <w:rsid w:val="3F032E93"/>
    <w:rsid w:val="3F0527E5"/>
    <w:rsid w:val="3F694D83"/>
    <w:rsid w:val="3F885DCC"/>
    <w:rsid w:val="3F9861D1"/>
    <w:rsid w:val="3FCD675E"/>
    <w:rsid w:val="4004000C"/>
    <w:rsid w:val="411B6CE5"/>
    <w:rsid w:val="412070D7"/>
    <w:rsid w:val="41314E40"/>
    <w:rsid w:val="41E0734B"/>
    <w:rsid w:val="426554D0"/>
    <w:rsid w:val="426C1EA8"/>
    <w:rsid w:val="42736402"/>
    <w:rsid w:val="42E86A87"/>
    <w:rsid w:val="43307B09"/>
    <w:rsid w:val="435A4665"/>
    <w:rsid w:val="438D0E97"/>
    <w:rsid w:val="43BB152F"/>
    <w:rsid w:val="44C37687"/>
    <w:rsid w:val="45207F85"/>
    <w:rsid w:val="45CB699A"/>
    <w:rsid w:val="465B470D"/>
    <w:rsid w:val="469D6AD4"/>
    <w:rsid w:val="46F13EA6"/>
    <w:rsid w:val="471E6C84"/>
    <w:rsid w:val="4748792B"/>
    <w:rsid w:val="475D719D"/>
    <w:rsid w:val="47674801"/>
    <w:rsid w:val="47A32C05"/>
    <w:rsid w:val="48225EF7"/>
    <w:rsid w:val="488F422B"/>
    <w:rsid w:val="48E36915"/>
    <w:rsid w:val="495C4A24"/>
    <w:rsid w:val="497135DF"/>
    <w:rsid w:val="4A263DF2"/>
    <w:rsid w:val="4A6F6675"/>
    <w:rsid w:val="4B0502DF"/>
    <w:rsid w:val="4B135857"/>
    <w:rsid w:val="4B7951CB"/>
    <w:rsid w:val="4B7C315C"/>
    <w:rsid w:val="4DAC4ACA"/>
    <w:rsid w:val="4DBE01D2"/>
    <w:rsid w:val="4EC03C0C"/>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785212"/>
    <w:rsid w:val="54861779"/>
    <w:rsid w:val="55185070"/>
    <w:rsid w:val="552256E1"/>
    <w:rsid w:val="554E5773"/>
    <w:rsid w:val="555A3CBC"/>
    <w:rsid w:val="5582012B"/>
    <w:rsid w:val="558E4E05"/>
    <w:rsid w:val="55BE2E85"/>
    <w:rsid w:val="56530F5D"/>
    <w:rsid w:val="567700D3"/>
    <w:rsid w:val="56FF7E9E"/>
    <w:rsid w:val="578867FC"/>
    <w:rsid w:val="58055D52"/>
    <w:rsid w:val="5842572D"/>
    <w:rsid w:val="58B20EA6"/>
    <w:rsid w:val="596638D2"/>
    <w:rsid w:val="5A0C1860"/>
    <w:rsid w:val="5A3B59D6"/>
    <w:rsid w:val="5AD134D8"/>
    <w:rsid w:val="5B6503B1"/>
    <w:rsid w:val="5C263CE4"/>
    <w:rsid w:val="5C5D261C"/>
    <w:rsid w:val="5C5D2777"/>
    <w:rsid w:val="5CF66BF3"/>
    <w:rsid w:val="5D290C69"/>
    <w:rsid w:val="5E415E36"/>
    <w:rsid w:val="5F2D4A41"/>
    <w:rsid w:val="60022919"/>
    <w:rsid w:val="60C74F6C"/>
    <w:rsid w:val="61025A59"/>
    <w:rsid w:val="613D5BBC"/>
    <w:rsid w:val="61536C39"/>
    <w:rsid w:val="61BF6A11"/>
    <w:rsid w:val="62944DD7"/>
    <w:rsid w:val="62FD3EB4"/>
    <w:rsid w:val="6319381F"/>
    <w:rsid w:val="63236436"/>
    <w:rsid w:val="63C25DC5"/>
    <w:rsid w:val="63C62057"/>
    <w:rsid w:val="64571EF5"/>
    <w:rsid w:val="64FB113D"/>
    <w:rsid w:val="656152C6"/>
    <w:rsid w:val="6587477F"/>
    <w:rsid w:val="658C3A08"/>
    <w:rsid w:val="65C031CA"/>
    <w:rsid w:val="65CA2810"/>
    <w:rsid w:val="65CE6852"/>
    <w:rsid w:val="66267C04"/>
    <w:rsid w:val="663F505A"/>
    <w:rsid w:val="66967186"/>
    <w:rsid w:val="66EE5541"/>
    <w:rsid w:val="67924660"/>
    <w:rsid w:val="680F45CE"/>
    <w:rsid w:val="68407834"/>
    <w:rsid w:val="6883293E"/>
    <w:rsid w:val="688412AD"/>
    <w:rsid w:val="68EB1B71"/>
    <w:rsid w:val="69475C96"/>
    <w:rsid w:val="69990791"/>
    <w:rsid w:val="69D02342"/>
    <w:rsid w:val="69DE24D0"/>
    <w:rsid w:val="69FA51F2"/>
    <w:rsid w:val="6AAD2300"/>
    <w:rsid w:val="6B474EF5"/>
    <w:rsid w:val="6BBF53FD"/>
    <w:rsid w:val="6C560CAE"/>
    <w:rsid w:val="6C576495"/>
    <w:rsid w:val="6D903FF5"/>
    <w:rsid w:val="6DA955B8"/>
    <w:rsid w:val="6DE346AB"/>
    <w:rsid w:val="6DE5391A"/>
    <w:rsid w:val="6EFD1324"/>
    <w:rsid w:val="6F5A53AC"/>
    <w:rsid w:val="6FAC003D"/>
    <w:rsid w:val="6FE55E12"/>
    <w:rsid w:val="6FFB2E76"/>
    <w:rsid w:val="7052535F"/>
    <w:rsid w:val="708F6F7F"/>
    <w:rsid w:val="70D94BD3"/>
    <w:rsid w:val="71C34D91"/>
    <w:rsid w:val="72DB435C"/>
    <w:rsid w:val="72E2613A"/>
    <w:rsid w:val="72F771F4"/>
    <w:rsid w:val="73392AA1"/>
    <w:rsid w:val="736650B0"/>
    <w:rsid w:val="73934AD2"/>
    <w:rsid w:val="750837F0"/>
    <w:rsid w:val="754758CF"/>
    <w:rsid w:val="756B15A8"/>
    <w:rsid w:val="763A28C5"/>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CD061EC"/>
    <w:rsid w:val="7D2E63A3"/>
    <w:rsid w:val="7D6108C7"/>
    <w:rsid w:val="7D7406BB"/>
    <w:rsid w:val="7DE94331"/>
    <w:rsid w:val="7EC90AB6"/>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BodyText"/>
    <w:next w:val="3"/>
    <w:qFormat/>
    <w:uiPriority w:val="0"/>
    <w:pPr>
      <w:widowControl w:val="0"/>
      <w:spacing w:after="0" w:line="240" w:lineRule="auto"/>
      <w:jc w:val="center"/>
    </w:pPr>
    <w:rPr>
      <w:rFonts w:ascii="Times New Roman" w:hAnsi="Times New Roman" w:eastAsia="宋体" w:cs="Times New Roman"/>
      <w:b/>
      <w:bCs/>
      <w:kern w:val="2"/>
      <w:sz w:val="44"/>
      <w:szCs w:val="24"/>
      <w:lang w:val="en-US" w:eastAsia="zh-CN" w:bidi="ar-SA"/>
    </w:rPr>
  </w:style>
  <w:style w:type="paragraph" w:customStyle="1" w:styleId="3">
    <w:name w:val="BodyText2"/>
    <w:qFormat/>
    <w:uiPriority w:val="0"/>
    <w:pPr>
      <w:widowControl w:val="0"/>
      <w:spacing w:before="60" w:after="60"/>
      <w:jc w:val="both"/>
      <w:textAlignment w:val="baseline"/>
    </w:pPr>
    <w:rPr>
      <w:rFonts w:ascii="Arial" w:hAnsi="Arial" w:eastAsia="仿宋_GB2312" w:cs="Times New Roman"/>
      <w:spacing w:val="-5"/>
      <w:kern w:val="2"/>
      <w:sz w:val="21"/>
      <w:szCs w:val="20"/>
      <w:lang w:val="zh-CN" w:eastAsia="en-US" w:bidi="ar-SA"/>
    </w:rPr>
  </w:style>
  <w:style w:type="paragraph" w:styleId="4">
    <w:name w:val="Balloon Text"/>
    <w:basedOn w:val="1"/>
    <w:link w:val="17"/>
    <w:qFormat/>
    <w:uiPriority w:val="0"/>
    <w:rPr>
      <w:sz w:val="18"/>
      <w:szCs w:val="18"/>
    </w:rPr>
  </w:style>
  <w:style w:type="paragraph" w:styleId="5">
    <w:name w:val="footer"/>
    <w:basedOn w:val="1"/>
    <w:next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11"/>
    <w:link w:val="4"/>
    <w:qFormat/>
    <w:uiPriority w:val="0"/>
    <w:rPr>
      <w:rFonts w:ascii="宋体" w:hAnsi="宋体"/>
      <w:sz w:val="18"/>
      <w:szCs w:val="18"/>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9" textRotate="1"/>
    <customShpInfo spid="_x0000_s1030"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4095</Words>
  <Characters>23348</Characters>
  <Lines>194</Lines>
  <Paragraphs>54</Paragraphs>
  <TotalTime>11</TotalTime>
  <ScaleCrop>false</ScaleCrop>
  <LinksUpToDate>false</LinksUpToDate>
  <CharactersWithSpaces>27389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晏涛</cp:lastModifiedBy>
  <cp:lastPrinted>2024-10-24T16:21:00Z</cp:lastPrinted>
  <dcterms:modified xsi:type="dcterms:W3CDTF">2024-11-06T11:08:58Z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BB46EABDBB2749749395447164B066B3_12</vt:lpwstr>
  </property>
</Properties>
</file>