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adjustRightInd/>
        <w:spacing w:before="0" w:beforeAutospacing="0" w:after="0" w:afterAutospacing="0" w:line="578" w:lineRule="exact"/>
        <w:jc w:val="both"/>
        <w:rPr>
          <w:rFonts w:hint="eastAsia" w:ascii="Times New Roman" w:hAnsi="Times New Roman" w:eastAsia="方正小标宋_GBK" w:cs="方正小标宋_GBK"/>
          <w:b w:val="0"/>
          <w:bCs w:val="0"/>
          <w:color w:val="auto"/>
          <w:sz w:val="44"/>
          <w:szCs w:val="44"/>
        </w:rPr>
      </w:pPr>
    </w:p>
    <w:p>
      <w:pPr>
        <w:pStyle w:val="6"/>
        <w:keepNext w:val="0"/>
        <w:keepLines w:val="0"/>
        <w:pageBreakBefore w:val="0"/>
        <w:kinsoku/>
        <w:wordWrap/>
        <w:overflowPunct/>
        <w:topLinePunct w:val="0"/>
        <w:autoSpaceDN/>
        <w:bidi w:val="0"/>
        <w:adjustRightInd/>
        <w:spacing w:before="0" w:beforeAutospacing="0" w:after="0" w:afterAutospacing="0" w:line="578"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重庆市万州区发展和改革委员会（本级）</w:t>
      </w:r>
    </w:p>
    <w:p>
      <w:pPr>
        <w:pStyle w:val="6"/>
        <w:keepNext w:val="0"/>
        <w:keepLines w:val="0"/>
        <w:pageBreakBefore w:val="0"/>
        <w:kinsoku/>
        <w:wordWrap/>
        <w:overflowPunct/>
        <w:topLinePunct w:val="0"/>
        <w:autoSpaceDN/>
        <w:bidi w:val="0"/>
        <w:adjustRightInd/>
        <w:spacing w:before="0" w:beforeAutospacing="0" w:after="0" w:afterAutospacing="0" w:line="578" w:lineRule="exact"/>
        <w:jc w:val="center"/>
        <w:rPr>
          <w:rFonts w:hint="default" w:ascii="Times New Roman" w:hAnsi="Times New Roman" w:eastAsia="方正小标宋_GBK" w:cs="Times New Roman"/>
          <w:b w:val="0"/>
          <w:bCs w:val="0"/>
          <w:color w:val="auto"/>
          <w:sz w:val="44"/>
          <w:szCs w:val="44"/>
          <w:shd w:val="clear" w:color="auto" w:fill="FFFFFF"/>
        </w:rPr>
      </w:pPr>
      <w:r>
        <w:rPr>
          <w:rFonts w:hint="default" w:ascii="Times New Roman" w:hAnsi="Times New Roman" w:eastAsia="方正小标宋_GBK" w:cs="Times New Roman"/>
          <w:b w:val="0"/>
          <w:bCs w:val="0"/>
          <w:color w:val="auto"/>
          <w:sz w:val="44"/>
          <w:szCs w:val="44"/>
          <w:shd w:val="clear" w:color="auto" w:fill="FFFFFF"/>
        </w:rPr>
        <w:t>2023年度决算公开说明</w:t>
      </w:r>
    </w:p>
    <w:p>
      <w:pPr>
        <w:pStyle w:val="5"/>
        <w:keepNext w:val="0"/>
        <w:keepLines w:val="0"/>
        <w:pageBreakBefore w:val="0"/>
        <w:shd w:val="clear" w:color="auto" w:fill="FFFFFF"/>
        <w:kinsoku/>
        <w:wordWrap/>
        <w:overflowPunct/>
        <w:topLinePunct w:val="0"/>
        <w:autoSpaceDN/>
        <w:bidi w:val="0"/>
        <w:adjustRightInd/>
        <w:spacing w:beforeAutospacing="0" w:afterAutospacing="0" w:line="578" w:lineRule="exact"/>
        <w:jc w:val="both"/>
        <w:textAlignment w:val="top"/>
        <w:rPr>
          <w:rFonts w:hint="default" w:ascii="Times New Roman" w:hAnsi="Times New Roman" w:cs="Times New Roman"/>
          <w:b w:val="0"/>
          <w:bCs w:val="0"/>
          <w:color w:val="auto"/>
          <w:sz w:val="27"/>
          <w:szCs w:val="27"/>
          <w:shd w:val="clear" w:color="auto" w:fill="FFFF00"/>
        </w:rPr>
      </w:pP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Style w:val="10"/>
          <w:rFonts w:hint="default" w:ascii="Times New Roman" w:hAnsi="Times New Roman" w:eastAsia="方正黑体_GBK" w:cs="Times New Roman"/>
          <w:b w:val="0"/>
          <w:bCs w:val="0"/>
          <w:color w:val="auto"/>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rPr>
      </w:pPr>
      <w:r>
        <w:rPr>
          <w:rStyle w:val="10"/>
          <w:rFonts w:hint="default" w:ascii="Times New Roman" w:hAnsi="Times New Roman" w:eastAsia="方正楷体_GBK" w:cs="Times New Roman"/>
          <w:b w:val="0"/>
          <w:bCs w:val="0"/>
          <w:color w:val="auto"/>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拟订并组织实施全区国民经济和社会发展战略、中长期规划和年度计划。牵头组织全区统一规划体系建设。受区政府委托负责区级专项规划、区域规划、空间规划与全区发展规划的审查统筹衔接。统筹协调经济社会发展，研究提出发展总量平衡、结构调整、发展速度等目标和政策建议，统筹全区重大生产力布局和产业、区域、土地、人口、环境等政策。受区政府委托向区人大提交国民经济和社会发展计划的报告。</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提出加快建设现代化经济体系、推动高质量发展的总体目标、重大任务以及相关政策。组织开展重大战略规划、重大政策、重大工程等评估督导，提出相关调整建议。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统筹提出国民经济和社会发展主要目标，监测预测预警宏观经济和社会发展态势趋势，提出宏观调控政策建议。综合协调宏观经济政策，牵头研究宏观经济应对措施。研究经济运行中的重大问题并及时提出相关政策建议，协调解决经济运行中的重大问题。拟订并组织实施有关价格政策，提出价格改革方案，制定少数由政府管理的重要商品、服务价格和重要收费标准并组织实施。参与拟订财政政策和金融政策。</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指导推进和综合协调经济体制改革有关工作，提出相关改革建议。牵头推进供给侧结构性改革。协调推进产权制度和要素市场化配置改革。推动完善现代市场体系建设，会同相关部门组织实施市场准入负面清单制度。牵头推进优化营商环境工作。研究经济体制改革的重大问题并提出政策建议。组织拟订并协调实施综合性经济体制改革方案及有关专项改革方案，会同有关部门做好重要专项改革之间的衔接。</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研究提出利用外资和境外投资的战略、规划、总量平衡和结构优化的目标和政策。牵头推进落实“一带一路”建设。指导和监督国外贷款建设资金的使用。</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负责投资综合管理，拟订全社会固定资产投资总规模、结构调控目标和政策。会同财政安排财政性建设资金，按规定权限审批、核准、审核重大项目。规划重大建设项目和生产力布局。推动落实鼓励民间投资政策措施。衔接平衡需要安排政府投资和涉及重大项目的专项规划。负责汇总编制政府投资规划及资金平衡计划。负责统筹、调度和督促重大项目，研究提出年度重点项目名单及资金平衡计划。指导工程咨询业发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统筹推进全区优化营商环境工作，拟定和组织实施全区优化营商环境工作制度、政策措施和工作计划。负责全区营商环境考核指标体系建设，负责全区社会信用体系建设，拟订和组织实施全区社会信用体系建设相关制度、政策和工作计划。</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推进落实区域协调发展战略，组织拟订区域规划和政策。综合研究区域合作的重大问题，承担政府间的区域合作有关工作，推动区域一体化发展等方面工作。承担区推动成渝地区双城经济圈建设领导小组办公室日常工作。承担创建万达开川渝统筹发展示范联合办公室日常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协调国土整治、开发利用和保护政策，参与全区地质灾害防治规划编制。编制易地扶贫搬迁、以工代赈规划并协调实施。协调推进东西协作、市内帮扶等工作。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组织拟订综合性产业政策。协调一二三产业发展重大问题并统筹衔接相关发展规划和重大政策，指导相关部门拟订产业政策。协调推进重大基础设施建设发展，组织拟订并推动实施服务业战略规划和重大政策。综合研判消费变动趋势，拟订实施促进消费的综合性政策措施。协调农业和农村经济社会发展的重大问题。</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推动落实创新驱动发展战略。统筹推进全区战略性新兴产业、高技术产业和数字经济发展，会同相关部门推进创新创业的规划和政策，提出创新发展和培育经济发展新动能的政策，推进创新能力建设。会同相关部门规划布局重大科技基础设施。协调推动实施高技术产业、战略性新兴产业发展规划政策，协调产业升级、重大技术装备推广应用等方面的重大问题。</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负责拟订地方能源发展战略、发展规划并组织实施，协调能源发展改革中的重大问题。指导和协调能源生产建设和总量平衡，参与能源总量目标控制，负责能源资源综合利用，促进区域能源战略合作。指导协调农村能源发展。规划统筹能源重大项目布局，推动能源重大项目建设，按照规定权限审批、核准、备案、转报能源固定资产项目。指导能源科技进步，组织协调能源重大示范工程。负责新能源、可再生能源的行业管理。负责能源预测预警，发布能源信息。负责油气长输管道保护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跟踪研判涉及经济安全、生态安全、资源安全、科技安全、社会安全等各类风险隐患，提出相关工作建议。研判国内外市场及外贸形势并提出政策建议。负责重要商品总量平衡和宏观调控。研究制定储备规划并推动实施，研究提出区级储备物资品种目录建议。承担粮食总量平衡和宏观调控工作，提出粮食流通发展的政策建议。负责粮食流通的行业管理和区级储备粮油管理。承担粮食监测、应急调控、军粮供应管理和监督检查等工作。对接市粮食安全考核有关工作，承担全区粮食安全考核具体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负责社会发展与国民经济发展的政策衔接，协调有关重大问题。组织拟订社会发展战略、总体规划，统筹推进基本公共服务体系建设和收入分配制度改革，提出促进就业、完善社会保障与经济协调发展的政策建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推进实施可持续发展战略，协调生态环境保护与修复、能源资源节约和综合利用等工作。综合协调环保产业和清洁生产促进有关工作。提出能源消费控制目标、任务并组织实施。综合研究经济社会与资源、生态环境协调发展的重大战略问题。协调实施能源资源节约和综合利用的战略、规划、计划。参与编制生态环境保护有关规划。</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会同有关部门拟订推进经济建设与国防建设协调发展的战略和规划，协调有关重大问题。组织编制国民经济动员规划，协调和组织实施国民经济动员有关工作。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依法拟订全区建设工程招投标管理办法和实施细则，并组织落实；依法办理区级审批、核准的依法必须招标项目的招标方案审批、核准事项。</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val="0"/>
          <w:color w:val="auto"/>
          <w:sz w:val="32"/>
          <w:szCs w:val="32"/>
          <w:shd w:val="clear" w:color="auto" w:fill="FFFFFF"/>
        </w:rPr>
      </w:pPr>
      <w:r>
        <w:rPr>
          <w:rStyle w:val="10"/>
          <w:rFonts w:hint="default" w:ascii="Times New Roman" w:hAnsi="Times New Roman" w:eastAsia="方正楷体_GBK" w:cs="Times New Roman"/>
          <w:b w:val="0"/>
          <w:bCs w:val="0"/>
          <w:color w:val="auto"/>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重庆市万州区发展和改革委员会</w:t>
      </w:r>
      <w:r>
        <w:rPr>
          <w:rFonts w:hint="eastAsia" w:ascii="Times New Roman" w:hAnsi="Times New Roman" w:eastAsia="方正仿宋_GBK" w:cs="Times New Roman"/>
          <w:color w:val="auto"/>
          <w:sz w:val="32"/>
          <w:lang w:val="en-US" w:eastAsia="zh-CN"/>
        </w:rPr>
        <w:t>本级</w:t>
      </w:r>
      <w:r>
        <w:rPr>
          <w:rFonts w:hint="default" w:ascii="Times New Roman" w:hAnsi="Times New Roman" w:eastAsia="方正仿宋_GBK" w:cs="Times New Roman"/>
          <w:color w:val="auto"/>
          <w:sz w:val="32"/>
        </w:rPr>
        <w:t>内设科室20个，分别是：办公室、人事科、国民经济综合科、体制改革科、固定资产投资科、法规督导科、营商环境科、地区经济科、区域合作科、农村经济发展科、工业交通科、资源环境科、社会发展科、财政金融市场科、粮食管理科、价格收费科、国防动员科、国防建设科、招投标管理科、招投标监督科。</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val="0"/>
          <w:color w:val="auto"/>
          <w:sz w:val="32"/>
          <w:szCs w:val="32"/>
          <w:shd w:val="clear" w:color="auto" w:fill="FFFFFF"/>
        </w:rPr>
      </w:pPr>
      <w:r>
        <w:rPr>
          <w:rStyle w:val="10"/>
          <w:rFonts w:hint="default" w:ascii="Times New Roman" w:hAnsi="Times New Roman" w:eastAsia="方正黑体_GBK" w:cs="Times New Roman"/>
          <w:b w:val="0"/>
          <w:bCs w:val="0"/>
          <w:color w:val="auto"/>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（一）收入支出决算总体情况说明</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Style w:val="10"/>
          <w:rFonts w:hint="default" w:ascii="Times New Roman" w:hAnsi="Times New Roman" w:eastAsia="方正仿宋_GBK" w:cs="Times New Roman"/>
          <w:b w:val="0"/>
          <w:bCs w:val="0"/>
          <w:color w:val="auto"/>
          <w:sz w:val="32"/>
          <w:szCs w:val="32"/>
          <w:shd w:val="clear" w:color="auto" w:fill="FFFFFF"/>
        </w:rPr>
        <w:t>1.总体情况。</w:t>
      </w:r>
      <w:r>
        <w:rPr>
          <w:rFonts w:hint="default" w:ascii="Times New Roman" w:hAnsi="Times New Roman" w:eastAsia="方正仿宋_GBK" w:cs="Times New Roman"/>
          <w:b w:val="0"/>
          <w:bCs w:val="0"/>
          <w:color w:val="auto"/>
          <w:sz w:val="32"/>
          <w:szCs w:val="32"/>
          <w:shd w:val="clear" w:color="auto" w:fill="FFFFFF"/>
        </w:rPr>
        <w:t>2023年度收入总计5529.69万元，支出总计</w:t>
      </w:r>
      <w:r>
        <w:rPr>
          <w:rFonts w:hint="default" w:ascii="Times New Roman" w:hAnsi="Times New Roman" w:eastAsia="方正仿宋_GBK" w:cs="Times New Roman"/>
          <w:b w:val="0"/>
          <w:bCs w:val="0"/>
          <w:color w:val="auto"/>
          <w:sz w:val="32"/>
          <w:szCs w:val="32"/>
        </w:rPr>
        <w:t>5529.69</w:t>
      </w:r>
      <w:r>
        <w:rPr>
          <w:rFonts w:hint="default" w:ascii="Times New Roman" w:hAnsi="Times New Roman" w:eastAsia="方正仿宋_GBK" w:cs="Times New Roman"/>
          <w:b w:val="0"/>
          <w:bCs w:val="0"/>
          <w:color w:val="auto"/>
          <w:sz w:val="32"/>
          <w:szCs w:val="32"/>
          <w:shd w:val="clear" w:color="auto" w:fill="FFFFFF"/>
        </w:rPr>
        <w:t>万元。收支较上年决算数增加1571.25万元，增长39.</w:t>
      </w:r>
      <w:r>
        <w:rPr>
          <w:rFonts w:hint="default" w:ascii="Times New Roman" w:hAnsi="Times New Roman" w:eastAsia="方正仿宋_GBK" w:cs="Times New Roman"/>
          <w:b w:val="0"/>
          <w:bCs w:val="0"/>
          <w:color w:val="auto"/>
          <w:sz w:val="32"/>
          <w:szCs w:val="32"/>
          <w:shd w:val="clear" w:color="auto" w:fill="FFFFFF"/>
          <w:lang w:val="en-US" w:eastAsia="zh-CN"/>
        </w:rPr>
        <w:t>7</w:t>
      </w:r>
      <w:r>
        <w:rPr>
          <w:rFonts w:hint="default" w:ascii="Times New Roman" w:hAnsi="Times New Roman" w:eastAsia="方正仿宋_GBK" w:cs="Times New Roman"/>
          <w:b w:val="0"/>
          <w:bCs w:val="0"/>
          <w:color w:val="auto"/>
          <w:sz w:val="32"/>
          <w:szCs w:val="32"/>
          <w:shd w:val="clear" w:color="auto" w:fill="FFFFFF"/>
        </w:rPr>
        <w:t>%，主要原因</w:t>
      </w:r>
      <w:r>
        <w:rPr>
          <w:rFonts w:hint="eastAsia"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eastAsia" w:ascii="Times New Roman" w:hAnsi="Times New Roman" w:eastAsia="方正仿宋_GBK" w:cs="Times New Roman"/>
          <w:b w:val="0"/>
          <w:bCs w:val="0"/>
          <w:color w:val="auto"/>
          <w:sz w:val="32"/>
          <w:szCs w:val="32"/>
          <w:shd w:val="clear" w:color="auto" w:fill="FFFFFF"/>
          <w:lang w:val="en-US" w:eastAsia="zh-CN"/>
        </w:rPr>
        <w:t xml:space="preserve">机构改革人员转隶基本支出增加，二是执行中追加部分项目经费。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2.收入情况。</w:t>
      </w:r>
      <w:r>
        <w:rPr>
          <w:rFonts w:hint="default" w:ascii="Times New Roman" w:hAnsi="Times New Roman" w:eastAsia="方正仿宋_GBK" w:cs="Times New Roman"/>
          <w:b w:val="0"/>
          <w:bCs w:val="0"/>
          <w:color w:val="auto"/>
          <w:sz w:val="32"/>
          <w:szCs w:val="32"/>
          <w:shd w:val="clear" w:color="auto" w:fill="FFFFFF"/>
        </w:rPr>
        <w:t>2023年度收入合计5302.74万元，较上年决算数增加1344.3万元，增长3</w:t>
      </w:r>
      <w:r>
        <w:rPr>
          <w:rFonts w:hint="default" w:ascii="Times New Roman" w:hAnsi="Times New Roman" w:eastAsia="方正仿宋_GBK" w:cs="Times New Roman"/>
          <w:b w:val="0"/>
          <w:bCs w:val="0"/>
          <w:color w:val="auto"/>
          <w:sz w:val="32"/>
          <w:szCs w:val="32"/>
          <w:shd w:val="clear" w:color="auto" w:fill="FFFFFF"/>
          <w:lang w:val="en-US" w:eastAsia="zh-CN"/>
        </w:rPr>
        <w:t>4.0</w:t>
      </w:r>
      <w:r>
        <w:rPr>
          <w:rFonts w:hint="default" w:ascii="Times New Roman" w:hAnsi="Times New Roman" w:eastAsia="方正仿宋_GBK" w:cs="Times New Roman"/>
          <w:b w:val="0"/>
          <w:bCs w:val="0"/>
          <w:color w:val="auto"/>
          <w:sz w:val="32"/>
          <w:szCs w:val="32"/>
          <w:shd w:val="clear" w:color="auto" w:fill="FFFFFF"/>
        </w:rPr>
        <w:t>%，主要原因</w:t>
      </w:r>
      <w:r>
        <w:rPr>
          <w:rFonts w:hint="default"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机构改革人员及职能职责划入</w:t>
      </w:r>
      <w:r>
        <w:rPr>
          <w:rFonts w:hint="eastAsia" w:ascii="Times New Roman" w:hAnsi="Times New Roman" w:eastAsia="方正仿宋_GBK" w:cs="Times New Roman"/>
          <w:b w:val="0"/>
          <w:bCs w:val="0"/>
          <w:color w:val="auto"/>
          <w:sz w:val="32"/>
          <w:szCs w:val="32"/>
          <w:shd w:val="clear" w:color="auto" w:fill="FFFFFF"/>
          <w:lang w:val="en-US" w:eastAsia="zh-CN"/>
        </w:rPr>
        <w:t>人员经费</w:t>
      </w:r>
      <w:r>
        <w:rPr>
          <w:rFonts w:hint="default" w:ascii="Times New Roman" w:hAnsi="Times New Roman" w:eastAsia="方正仿宋_GBK" w:cs="Times New Roman"/>
          <w:b w:val="0"/>
          <w:bCs w:val="0"/>
          <w:color w:val="auto"/>
          <w:sz w:val="32"/>
          <w:szCs w:val="32"/>
          <w:shd w:val="clear" w:color="auto" w:fill="FFFFFF"/>
          <w:lang w:val="en-US" w:eastAsia="zh-CN"/>
        </w:rPr>
        <w:t>增加，二是</w:t>
      </w:r>
      <w:r>
        <w:rPr>
          <w:rFonts w:hint="eastAsia" w:ascii="Times New Roman" w:hAnsi="Times New Roman" w:eastAsia="方正仿宋_GBK" w:cs="Times New Roman"/>
          <w:b w:val="0"/>
          <w:bCs w:val="0"/>
          <w:color w:val="auto"/>
          <w:sz w:val="32"/>
          <w:szCs w:val="32"/>
          <w:shd w:val="clear" w:color="auto" w:fill="FFFFFF"/>
          <w:lang w:val="en-US" w:eastAsia="zh-CN"/>
        </w:rPr>
        <w:t>新增</w:t>
      </w:r>
      <w:r>
        <w:rPr>
          <w:rFonts w:hint="default" w:ascii="Times New Roman" w:hAnsi="Times New Roman" w:eastAsia="方正仿宋_GBK" w:cs="Times New Roman"/>
          <w:b w:val="0"/>
          <w:bCs w:val="0"/>
          <w:color w:val="auto"/>
          <w:sz w:val="32"/>
          <w:szCs w:val="32"/>
          <w:shd w:val="clear" w:color="auto" w:fill="FFFFFF"/>
          <w:lang w:val="en-US" w:eastAsia="zh-CN"/>
        </w:rPr>
        <w:t>部分</w:t>
      </w:r>
      <w:r>
        <w:rPr>
          <w:rFonts w:hint="eastAsia" w:ascii="Times New Roman" w:hAnsi="Times New Roman" w:eastAsia="方正仿宋_GBK" w:cs="Times New Roman"/>
          <w:b w:val="0"/>
          <w:bCs w:val="0"/>
          <w:color w:val="auto"/>
          <w:sz w:val="32"/>
          <w:szCs w:val="32"/>
          <w:shd w:val="clear" w:color="auto" w:fill="FFFFFF"/>
          <w:lang w:val="en-US" w:eastAsia="zh-CN"/>
        </w:rPr>
        <w:t>一次性</w:t>
      </w:r>
      <w:r>
        <w:rPr>
          <w:rFonts w:hint="default" w:ascii="Times New Roman" w:hAnsi="Times New Roman" w:eastAsia="方正仿宋_GBK" w:cs="Times New Roman"/>
          <w:b w:val="0"/>
          <w:bCs w:val="0"/>
          <w:color w:val="auto"/>
          <w:sz w:val="32"/>
          <w:szCs w:val="32"/>
          <w:shd w:val="clear" w:color="auto" w:fill="FFFFFF"/>
          <w:lang w:val="en-US" w:eastAsia="zh-CN"/>
        </w:rPr>
        <w:t>项目</w:t>
      </w:r>
      <w:r>
        <w:rPr>
          <w:rFonts w:hint="default" w:ascii="Times New Roman" w:hAnsi="Times New Roman" w:eastAsia="方正仿宋_GBK" w:cs="Times New Roman"/>
          <w:b w:val="0"/>
          <w:bCs w:val="0"/>
          <w:color w:val="auto"/>
          <w:sz w:val="32"/>
          <w:szCs w:val="32"/>
          <w:shd w:val="clear" w:color="auto" w:fill="FFFFFF"/>
        </w:rPr>
        <w:t>。其中：财政拨款收入</w:t>
      </w:r>
      <w:r>
        <w:rPr>
          <w:rFonts w:hint="default" w:ascii="Times New Roman" w:hAnsi="Times New Roman" w:eastAsia="方正仿宋_GBK" w:cs="Times New Roman"/>
          <w:b w:val="0"/>
          <w:bCs w:val="0"/>
          <w:color w:val="auto"/>
          <w:sz w:val="32"/>
          <w:szCs w:val="32"/>
        </w:rPr>
        <w:t>5302.74</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100.0</w:t>
      </w:r>
      <w:r>
        <w:rPr>
          <w:rFonts w:hint="default" w:ascii="Times New Roman" w:hAnsi="Times New Roman" w:eastAsia="方正仿宋_GBK" w:cs="Times New Roman"/>
          <w:b w:val="0"/>
          <w:bCs w:val="0"/>
          <w:color w:val="auto"/>
          <w:sz w:val="32"/>
          <w:szCs w:val="32"/>
          <w:shd w:val="clear" w:color="auto" w:fill="FFFFFF"/>
        </w:rPr>
        <w:t>%；此外，使用年初结转和结余</w:t>
      </w:r>
      <w:r>
        <w:rPr>
          <w:rFonts w:hint="default" w:ascii="Times New Roman" w:hAnsi="Times New Roman" w:eastAsia="方正仿宋_GBK" w:cs="Times New Roman"/>
          <w:b w:val="0"/>
          <w:bCs w:val="0"/>
          <w:color w:val="auto"/>
          <w:sz w:val="32"/>
          <w:szCs w:val="32"/>
        </w:rPr>
        <w:t>226.95</w:t>
      </w:r>
      <w:r>
        <w:rPr>
          <w:rFonts w:hint="default" w:ascii="Times New Roman" w:hAnsi="Times New Roman" w:eastAsia="方正仿宋_GBK" w:cs="Times New Roman"/>
          <w:b w:val="0"/>
          <w:bCs w:val="0"/>
          <w:color w:val="auto"/>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3.支出情况。</w:t>
      </w:r>
      <w:r>
        <w:rPr>
          <w:rFonts w:hint="default" w:ascii="Times New Roman" w:hAnsi="Times New Roman" w:eastAsia="方正仿宋_GBK" w:cs="Times New Roman"/>
          <w:b w:val="0"/>
          <w:bCs w:val="0"/>
          <w:color w:val="auto"/>
          <w:sz w:val="32"/>
          <w:szCs w:val="32"/>
          <w:shd w:val="clear" w:color="auto" w:fill="FFFFFF"/>
        </w:rPr>
        <w:t>2023年度支出合计</w:t>
      </w:r>
      <w:r>
        <w:rPr>
          <w:rFonts w:hint="default" w:ascii="Times New Roman" w:hAnsi="Times New Roman" w:eastAsia="方正仿宋_GBK" w:cs="Times New Roman"/>
          <w:b w:val="0"/>
          <w:bCs w:val="0"/>
          <w:color w:val="auto"/>
          <w:sz w:val="32"/>
          <w:szCs w:val="32"/>
        </w:rPr>
        <w:t>5529.69</w:t>
      </w:r>
      <w:r>
        <w:rPr>
          <w:rFonts w:hint="default" w:ascii="Times New Roman" w:hAnsi="Times New Roman" w:eastAsia="方正仿宋_GBK" w:cs="Times New Roman"/>
          <w:b w:val="0"/>
          <w:bCs w:val="0"/>
          <w:color w:val="auto"/>
          <w:sz w:val="32"/>
          <w:szCs w:val="32"/>
          <w:shd w:val="clear" w:color="auto" w:fill="FFFFFF"/>
        </w:rPr>
        <w:t>万元，较上年决算数增加1571.25万元，增长39.</w:t>
      </w:r>
      <w:r>
        <w:rPr>
          <w:rFonts w:hint="default" w:ascii="Times New Roman" w:hAnsi="Times New Roman" w:eastAsia="方正仿宋_GBK" w:cs="Times New Roman"/>
          <w:b w:val="0"/>
          <w:bCs w:val="0"/>
          <w:color w:val="auto"/>
          <w:sz w:val="32"/>
          <w:szCs w:val="32"/>
          <w:shd w:val="clear" w:color="auto" w:fill="FFFFFF"/>
          <w:lang w:val="en-US" w:eastAsia="zh-CN"/>
        </w:rPr>
        <w:t>7</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人员经费增加，以及社会</w:t>
      </w:r>
      <w:r>
        <w:rPr>
          <w:rFonts w:hint="eastAsia" w:ascii="Times New Roman" w:hAnsi="Times New Roman" w:eastAsia="方正仿宋_GBK" w:cs="Times New Roman"/>
          <w:b w:val="0"/>
          <w:bCs w:val="0"/>
          <w:color w:val="auto"/>
          <w:sz w:val="32"/>
          <w:szCs w:val="32"/>
          <w:shd w:val="clear" w:color="auto" w:fill="FFFFFF"/>
          <w:lang w:val="en-US" w:eastAsia="zh-CN"/>
        </w:rPr>
        <w:t>信用</w:t>
      </w:r>
      <w:r>
        <w:rPr>
          <w:rFonts w:hint="default" w:ascii="Times New Roman" w:hAnsi="Times New Roman" w:eastAsia="方正仿宋_GBK" w:cs="Times New Roman"/>
          <w:b w:val="0"/>
          <w:bCs w:val="0"/>
          <w:color w:val="auto"/>
          <w:sz w:val="32"/>
          <w:szCs w:val="32"/>
          <w:shd w:val="clear" w:color="auto" w:fill="FFFFFF"/>
          <w:lang w:val="en-US" w:eastAsia="zh-CN"/>
        </w:rPr>
        <w:t>体系建设服务等项目支出增加，总体支出相应增加</w:t>
      </w:r>
      <w:r>
        <w:rPr>
          <w:rFonts w:hint="default" w:ascii="Times New Roman" w:hAnsi="Times New Roman" w:eastAsia="方正仿宋_GBK" w:cs="Times New Roman"/>
          <w:b w:val="0"/>
          <w:bCs w:val="0"/>
          <w:color w:val="auto"/>
          <w:sz w:val="32"/>
          <w:szCs w:val="32"/>
          <w:shd w:val="clear" w:color="auto" w:fill="FFFFFF"/>
        </w:rPr>
        <w:t>。其中：基本支出</w:t>
      </w:r>
      <w:r>
        <w:rPr>
          <w:rFonts w:hint="default" w:ascii="Times New Roman" w:hAnsi="Times New Roman" w:eastAsia="方正仿宋_GBK" w:cs="Times New Roman"/>
          <w:b w:val="0"/>
          <w:bCs w:val="0"/>
          <w:color w:val="auto"/>
          <w:sz w:val="32"/>
          <w:szCs w:val="32"/>
        </w:rPr>
        <w:t>1942.28</w:t>
      </w:r>
      <w:r>
        <w:rPr>
          <w:rFonts w:hint="default" w:ascii="Times New Roman" w:hAnsi="Times New Roman" w:eastAsia="方正仿宋_GBK" w:cs="Times New Roman"/>
          <w:b w:val="0"/>
          <w:bCs w:val="0"/>
          <w:color w:val="auto"/>
          <w:sz w:val="32"/>
          <w:szCs w:val="32"/>
          <w:shd w:val="clear" w:color="auto" w:fill="FFFFFF"/>
        </w:rPr>
        <w:t>万元，占35.</w:t>
      </w:r>
      <w:r>
        <w:rPr>
          <w:rFonts w:hint="default" w:ascii="Times New Roman" w:hAnsi="Times New Roman" w:eastAsia="方正仿宋_GBK" w:cs="Times New Roman"/>
          <w:b w:val="0"/>
          <w:bCs w:val="0"/>
          <w:color w:val="auto"/>
          <w:sz w:val="32"/>
          <w:szCs w:val="32"/>
          <w:shd w:val="clear" w:color="auto" w:fill="FFFFFF"/>
          <w:lang w:val="en-US" w:eastAsia="zh-CN"/>
        </w:rPr>
        <w:t>1</w:t>
      </w:r>
      <w:r>
        <w:rPr>
          <w:rFonts w:hint="default" w:ascii="Times New Roman" w:hAnsi="Times New Roman" w:eastAsia="方正仿宋_GBK" w:cs="Times New Roman"/>
          <w:b w:val="0"/>
          <w:bCs w:val="0"/>
          <w:color w:val="auto"/>
          <w:sz w:val="32"/>
          <w:szCs w:val="32"/>
          <w:shd w:val="clear" w:color="auto" w:fill="FFFFFF"/>
        </w:rPr>
        <w:t>%；项目支出</w:t>
      </w:r>
      <w:r>
        <w:rPr>
          <w:rFonts w:hint="default" w:ascii="Times New Roman" w:hAnsi="Times New Roman" w:eastAsia="方正仿宋_GBK" w:cs="Times New Roman"/>
          <w:b w:val="0"/>
          <w:bCs w:val="0"/>
          <w:color w:val="auto"/>
          <w:sz w:val="32"/>
          <w:szCs w:val="32"/>
        </w:rPr>
        <w:t>3587.41</w:t>
      </w:r>
      <w:r>
        <w:rPr>
          <w:rFonts w:hint="default" w:ascii="Times New Roman" w:hAnsi="Times New Roman" w:eastAsia="方正仿宋_GBK" w:cs="Times New Roman"/>
          <w:b w:val="0"/>
          <w:bCs w:val="0"/>
          <w:color w:val="auto"/>
          <w:sz w:val="32"/>
          <w:szCs w:val="32"/>
          <w:shd w:val="clear" w:color="auto" w:fill="FFFFFF"/>
        </w:rPr>
        <w:t>万元，占64.</w:t>
      </w:r>
      <w:r>
        <w:rPr>
          <w:rFonts w:hint="default" w:ascii="Times New Roman" w:hAnsi="Times New Roman" w:eastAsia="方正仿宋_GBK" w:cs="Times New Roman"/>
          <w:b w:val="0"/>
          <w:bCs w:val="0"/>
          <w:color w:val="auto"/>
          <w:sz w:val="32"/>
          <w:szCs w:val="32"/>
          <w:shd w:val="clear" w:color="auto" w:fill="FFFFFF"/>
          <w:lang w:val="en-US" w:eastAsia="zh-CN"/>
        </w:rPr>
        <w:t>9</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4.结转结余情况。</w:t>
      </w:r>
      <w:r>
        <w:rPr>
          <w:rFonts w:hint="default" w:ascii="Times New Roman" w:hAnsi="Times New Roman" w:eastAsia="方正仿宋_GBK" w:cs="Times New Roman"/>
          <w:b w:val="0"/>
          <w:bCs w:val="0"/>
          <w:color w:val="auto"/>
          <w:sz w:val="32"/>
          <w:szCs w:val="32"/>
          <w:shd w:val="clear" w:color="auto" w:fill="FFFFFF"/>
        </w:rPr>
        <w:t>2023年度</w:t>
      </w:r>
      <w:r>
        <w:rPr>
          <w:rFonts w:hint="default" w:ascii="Times New Roman" w:hAnsi="Times New Roman" w:eastAsia="方正仿宋_GBK" w:cs="Times New Roman"/>
          <w:b w:val="0"/>
          <w:bCs w:val="0"/>
          <w:color w:val="auto"/>
          <w:sz w:val="32"/>
          <w:szCs w:val="32"/>
          <w:shd w:val="clear" w:color="auto" w:fill="FFFFFF"/>
          <w:lang w:val="en-US" w:eastAsia="zh-CN"/>
        </w:rPr>
        <w:t>无</w:t>
      </w:r>
      <w:r>
        <w:rPr>
          <w:rFonts w:hint="default" w:ascii="Times New Roman" w:hAnsi="Times New Roman" w:eastAsia="方正仿宋_GBK" w:cs="Times New Roman"/>
          <w:b w:val="0"/>
          <w:bCs w:val="0"/>
          <w:color w:val="auto"/>
          <w:sz w:val="32"/>
          <w:szCs w:val="32"/>
          <w:shd w:val="clear" w:color="auto" w:fill="FFFFFF"/>
        </w:rPr>
        <w:t>年末结转和结余。</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2023年度财政拨款收、支总计5529.69万元。与2022年相比，财政拨款收、支总计各增加1574.32万元，增长39.8%。主要原因是</w:t>
      </w:r>
      <w:r>
        <w:rPr>
          <w:rFonts w:hint="default" w:ascii="Times New Roman" w:hAnsi="Times New Roman" w:eastAsia="方正仿宋_GBK" w:cs="Times New Roman"/>
          <w:b w:val="0"/>
          <w:bCs w:val="0"/>
          <w:color w:val="auto"/>
          <w:sz w:val="32"/>
          <w:szCs w:val="32"/>
          <w:shd w:val="clear" w:color="auto" w:fill="FFFFFF"/>
          <w:lang w:val="en-US" w:eastAsia="zh-CN"/>
        </w:rPr>
        <w:t>人员经费及项目支出</w:t>
      </w:r>
      <w:r>
        <w:rPr>
          <w:rFonts w:hint="eastAsia" w:ascii="Times New Roman" w:hAnsi="Times New Roman" w:eastAsia="方正仿宋_GBK" w:cs="Times New Roman"/>
          <w:b w:val="0"/>
          <w:bCs w:val="0"/>
          <w:color w:val="auto"/>
          <w:sz w:val="32"/>
          <w:szCs w:val="32"/>
          <w:shd w:val="clear" w:color="auto" w:fill="FFFFFF"/>
          <w:lang w:val="en-US" w:eastAsia="zh-CN"/>
        </w:rPr>
        <w:t>总体</w:t>
      </w:r>
      <w:r>
        <w:rPr>
          <w:rFonts w:hint="default" w:ascii="Times New Roman" w:hAnsi="Times New Roman" w:eastAsia="方正仿宋_GBK" w:cs="Times New Roman"/>
          <w:b w:val="0"/>
          <w:bCs w:val="0"/>
          <w:color w:val="auto"/>
          <w:sz w:val="32"/>
          <w:szCs w:val="32"/>
          <w:shd w:val="clear" w:color="auto" w:fill="FFFFFF"/>
          <w:lang w:val="en-US" w:eastAsia="zh-CN"/>
        </w:rPr>
        <w:t>增加</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1.收入情况。</w:t>
      </w:r>
      <w:r>
        <w:rPr>
          <w:rFonts w:hint="default" w:ascii="Times New Roman" w:hAnsi="Times New Roman" w:eastAsia="方正仿宋_GBK" w:cs="Times New Roman"/>
          <w:b w:val="0"/>
          <w:bCs w:val="0"/>
          <w:color w:val="auto"/>
          <w:sz w:val="32"/>
          <w:szCs w:val="32"/>
          <w:shd w:val="clear" w:color="auto" w:fill="FFFFFF"/>
        </w:rPr>
        <w:t>2023年度一般公共预算财政拨款收入</w:t>
      </w:r>
      <w:r>
        <w:rPr>
          <w:rFonts w:hint="default" w:ascii="Times New Roman" w:hAnsi="Times New Roman" w:eastAsia="方正仿宋_GBK" w:cs="Times New Roman"/>
          <w:b w:val="0"/>
          <w:bCs w:val="0"/>
          <w:color w:val="auto"/>
          <w:sz w:val="32"/>
          <w:szCs w:val="32"/>
        </w:rPr>
        <w:t>5302.74</w:t>
      </w:r>
      <w:r>
        <w:rPr>
          <w:rFonts w:hint="default" w:ascii="Times New Roman" w:hAnsi="Times New Roman" w:eastAsia="方正仿宋_GBK" w:cs="Times New Roman"/>
          <w:b w:val="0"/>
          <w:bCs w:val="0"/>
          <w:color w:val="auto"/>
          <w:sz w:val="32"/>
          <w:szCs w:val="32"/>
          <w:shd w:val="clear" w:color="auto" w:fill="FFFFFF"/>
        </w:rPr>
        <w:t>万元，较上年决算数增加1347.37万元，增长34.</w:t>
      </w:r>
      <w:r>
        <w:rPr>
          <w:rFonts w:hint="default" w:ascii="Times New Roman" w:hAnsi="Times New Roman" w:eastAsia="方正仿宋_GBK" w:cs="Times New Roman"/>
          <w:b w:val="0"/>
          <w:bCs w:val="0"/>
          <w:color w:val="auto"/>
          <w:sz w:val="32"/>
          <w:szCs w:val="32"/>
          <w:shd w:val="clear" w:color="auto" w:fill="FFFFFF"/>
          <w:lang w:val="en-US" w:eastAsia="zh-CN"/>
        </w:rPr>
        <w:t>1</w:t>
      </w:r>
      <w:r>
        <w:rPr>
          <w:rFonts w:hint="default" w:ascii="Times New Roman" w:hAnsi="Times New Roman" w:eastAsia="方正仿宋_GBK" w:cs="Times New Roman"/>
          <w:b w:val="0"/>
          <w:bCs w:val="0"/>
          <w:color w:val="auto"/>
          <w:sz w:val="32"/>
          <w:szCs w:val="32"/>
          <w:shd w:val="clear" w:color="auto" w:fill="FFFFFF"/>
        </w:rPr>
        <w:t>%。主要原因是</w:t>
      </w:r>
      <w:r>
        <w:rPr>
          <w:rFonts w:hint="eastAsia" w:ascii="Times New Roman" w:hAnsi="Times New Roman" w:eastAsia="方正仿宋_GBK" w:cs="Times New Roman"/>
          <w:b w:val="0"/>
          <w:bCs w:val="0"/>
          <w:color w:val="auto"/>
          <w:sz w:val="32"/>
          <w:szCs w:val="32"/>
          <w:shd w:val="clear" w:color="auto" w:fill="FFFFFF"/>
          <w:lang w:val="en-US" w:eastAsia="zh-CN"/>
        </w:rPr>
        <w:t>执行中追加</w:t>
      </w:r>
      <w:r>
        <w:rPr>
          <w:rFonts w:hint="default" w:ascii="Times New Roman" w:hAnsi="Times New Roman" w:eastAsia="方正仿宋_GBK" w:cs="Times New Roman"/>
          <w:b w:val="0"/>
          <w:bCs w:val="0"/>
          <w:color w:val="auto"/>
          <w:sz w:val="32"/>
          <w:szCs w:val="32"/>
          <w:shd w:val="clear" w:color="auto" w:fill="FFFFFF"/>
          <w:lang w:eastAsia="zh-CN"/>
        </w:rPr>
        <w:t>人</w:t>
      </w:r>
      <w:r>
        <w:rPr>
          <w:rFonts w:hint="default" w:ascii="Times New Roman" w:hAnsi="Times New Roman" w:eastAsia="方正仿宋_GBK" w:cs="Times New Roman"/>
          <w:b w:val="0"/>
          <w:bCs w:val="0"/>
          <w:color w:val="auto"/>
          <w:sz w:val="32"/>
          <w:szCs w:val="32"/>
          <w:shd w:val="clear" w:color="auto" w:fill="FFFFFF"/>
          <w:lang w:val="en-US" w:eastAsia="zh-CN"/>
        </w:rPr>
        <w:t>员经费和项目经费</w:t>
      </w:r>
      <w:r>
        <w:rPr>
          <w:rFonts w:hint="default" w:ascii="Times New Roman" w:hAnsi="Times New Roman" w:eastAsia="方正仿宋_GBK" w:cs="Times New Roman"/>
          <w:b w:val="0"/>
          <w:bCs w:val="0"/>
          <w:color w:val="auto"/>
          <w:sz w:val="32"/>
          <w:szCs w:val="32"/>
          <w:shd w:val="clear" w:color="auto" w:fill="FFFFFF"/>
        </w:rPr>
        <w:t>。较年初预算数减少704.22万元，下降11.7%。主要原因是</w:t>
      </w:r>
      <w:r>
        <w:rPr>
          <w:rFonts w:hint="default" w:ascii="Times New Roman" w:hAnsi="Times New Roman" w:eastAsia="方正仿宋_GBK" w:cs="Times New Roman"/>
          <w:b w:val="0"/>
          <w:bCs w:val="0"/>
          <w:color w:val="auto"/>
          <w:sz w:val="32"/>
          <w:szCs w:val="32"/>
          <w:shd w:val="clear" w:color="auto" w:fill="FFFFFF"/>
          <w:lang w:val="en-US" w:eastAsia="zh-CN"/>
        </w:rPr>
        <w:t>服务业产业发展资金项目年初预算由我委代编，年中通过评审细化</w:t>
      </w:r>
      <w:r>
        <w:rPr>
          <w:rFonts w:hint="eastAsia" w:ascii="Times New Roman" w:hAnsi="Times New Roman" w:eastAsia="方正仿宋_GBK" w:cs="Times New Roman"/>
          <w:b w:val="0"/>
          <w:bCs w:val="0"/>
          <w:color w:val="auto"/>
          <w:sz w:val="32"/>
          <w:szCs w:val="32"/>
          <w:shd w:val="clear" w:color="auto" w:fill="FFFFFF"/>
          <w:lang w:val="en-US" w:eastAsia="zh-CN"/>
        </w:rPr>
        <w:t>后</w:t>
      </w:r>
      <w:r>
        <w:rPr>
          <w:rFonts w:hint="default" w:ascii="Times New Roman" w:hAnsi="Times New Roman" w:eastAsia="方正仿宋_GBK" w:cs="Times New Roman"/>
          <w:b w:val="0"/>
          <w:bCs w:val="0"/>
          <w:color w:val="auto"/>
          <w:sz w:val="32"/>
          <w:szCs w:val="32"/>
          <w:shd w:val="clear" w:color="auto" w:fill="FFFFFF"/>
          <w:lang w:val="en-US" w:eastAsia="zh-CN"/>
        </w:rPr>
        <w:t>调整至各行业主管部门</w:t>
      </w:r>
      <w:r>
        <w:rPr>
          <w:rFonts w:hint="eastAsia" w:ascii="Times New Roman" w:hAnsi="Times New Roman" w:eastAsia="方正仿宋_GBK" w:cs="Times New Roman"/>
          <w:b w:val="0"/>
          <w:bCs w:val="0"/>
          <w:color w:val="auto"/>
          <w:sz w:val="32"/>
          <w:szCs w:val="32"/>
          <w:shd w:val="clear" w:color="auto" w:fill="FFFFFF"/>
          <w:lang w:val="en-US" w:eastAsia="zh-CN"/>
        </w:rPr>
        <w:t>，与执行中其他预算追加品迭后，较年初预算金额降低。</w:t>
      </w:r>
      <w:r>
        <w:rPr>
          <w:rFonts w:hint="default" w:ascii="Times New Roman" w:hAnsi="Times New Roman" w:eastAsia="方正仿宋_GBK" w:cs="Times New Roman"/>
          <w:b w:val="0"/>
          <w:bCs w:val="0"/>
          <w:color w:val="auto"/>
          <w:sz w:val="32"/>
          <w:szCs w:val="32"/>
          <w:shd w:val="clear" w:color="auto" w:fill="FFFFFF"/>
        </w:rPr>
        <w:t>此外，</w:t>
      </w:r>
      <w:r>
        <w:rPr>
          <w:rFonts w:hint="default" w:ascii="Times New Roman" w:hAnsi="Times New Roman" w:eastAsia="方正仿宋_GBK" w:cs="Times New Roman"/>
          <w:b w:val="0"/>
          <w:bCs w:val="0"/>
          <w:color w:val="auto"/>
          <w:sz w:val="32"/>
          <w:szCs w:val="32"/>
          <w:shd w:val="clear" w:color="auto" w:fill="FFFFFF"/>
          <w:lang w:val="en-US" w:eastAsia="zh-CN"/>
        </w:rPr>
        <w:t>使用</w:t>
      </w:r>
      <w:r>
        <w:rPr>
          <w:rFonts w:hint="default" w:ascii="Times New Roman" w:hAnsi="Times New Roman" w:eastAsia="方正仿宋_GBK" w:cs="Times New Roman"/>
          <w:b w:val="0"/>
          <w:bCs w:val="0"/>
          <w:color w:val="auto"/>
          <w:sz w:val="32"/>
          <w:szCs w:val="32"/>
          <w:shd w:val="clear" w:color="auto" w:fill="FFFFFF"/>
        </w:rPr>
        <w:t>年初财政拨款结转和结余</w:t>
      </w:r>
      <w:r>
        <w:rPr>
          <w:rFonts w:hint="default" w:ascii="Times New Roman" w:hAnsi="Times New Roman" w:eastAsia="方正仿宋_GBK" w:cs="Times New Roman"/>
          <w:b w:val="0"/>
          <w:bCs w:val="0"/>
          <w:color w:val="auto"/>
          <w:sz w:val="32"/>
          <w:szCs w:val="32"/>
        </w:rPr>
        <w:t>226.95</w:t>
      </w:r>
      <w:r>
        <w:rPr>
          <w:rFonts w:hint="default" w:ascii="Times New Roman" w:hAnsi="Times New Roman" w:eastAsia="方正仿宋_GBK" w:cs="Times New Roman"/>
          <w:b w:val="0"/>
          <w:bCs w:val="0"/>
          <w:color w:val="auto"/>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Style w:val="10"/>
          <w:rFonts w:hint="default" w:ascii="Times New Roman" w:hAnsi="Times New Roman" w:eastAsia="方正仿宋_GBK" w:cs="Times New Roman"/>
          <w:b w:val="0"/>
          <w:bCs w:val="0"/>
          <w:color w:val="auto"/>
          <w:sz w:val="32"/>
          <w:szCs w:val="32"/>
          <w:shd w:val="clear" w:color="auto" w:fill="FFFFFF"/>
        </w:rPr>
        <w:t>2.支出情况。</w:t>
      </w:r>
      <w:r>
        <w:rPr>
          <w:rFonts w:hint="default" w:ascii="Times New Roman" w:hAnsi="Times New Roman" w:eastAsia="方正仿宋_GBK" w:cs="Times New Roman"/>
          <w:b w:val="0"/>
          <w:bCs w:val="0"/>
          <w:color w:val="auto"/>
          <w:sz w:val="32"/>
          <w:szCs w:val="32"/>
          <w:shd w:val="clear" w:color="auto" w:fill="FFFFFF"/>
        </w:rPr>
        <w:t>2023年度一般公共预算财政拨款支出</w:t>
      </w:r>
      <w:r>
        <w:rPr>
          <w:rFonts w:hint="default" w:ascii="Times New Roman" w:hAnsi="Times New Roman" w:eastAsia="方正仿宋_GBK" w:cs="Times New Roman"/>
          <w:b w:val="0"/>
          <w:bCs w:val="0"/>
          <w:color w:val="auto"/>
          <w:sz w:val="32"/>
          <w:szCs w:val="32"/>
        </w:rPr>
        <w:t>5529.69</w:t>
      </w:r>
      <w:r>
        <w:rPr>
          <w:rFonts w:hint="default" w:ascii="Times New Roman" w:hAnsi="Times New Roman" w:eastAsia="方正仿宋_GBK" w:cs="Times New Roman"/>
          <w:b w:val="0"/>
          <w:bCs w:val="0"/>
          <w:color w:val="auto"/>
          <w:sz w:val="32"/>
          <w:szCs w:val="32"/>
          <w:shd w:val="clear" w:color="auto" w:fill="FFFFFF"/>
        </w:rPr>
        <w:t>万元，较上年决算数增加1574.32万元，增长39.8%。主要原因是</w:t>
      </w:r>
      <w:r>
        <w:rPr>
          <w:rFonts w:hint="default" w:ascii="Times New Roman" w:hAnsi="Times New Roman" w:eastAsia="方正仿宋_GBK" w:cs="Times New Roman"/>
          <w:b w:val="0"/>
          <w:bCs w:val="0"/>
          <w:color w:val="auto"/>
          <w:sz w:val="32"/>
          <w:szCs w:val="32"/>
          <w:shd w:val="clear" w:color="auto" w:fill="FFFFFF"/>
          <w:lang w:val="en-US" w:eastAsia="zh-CN"/>
        </w:rPr>
        <w:t>一是人员增加基本支出同步增加，二是社会</w:t>
      </w:r>
      <w:r>
        <w:rPr>
          <w:rFonts w:hint="eastAsia" w:ascii="Times New Roman" w:hAnsi="Times New Roman" w:eastAsia="方正仿宋_GBK" w:cs="Times New Roman"/>
          <w:b w:val="0"/>
          <w:bCs w:val="0"/>
          <w:color w:val="auto"/>
          <w:sz w:val="32"/>
          <w:szCs w:val="32"/>
          <w:shd w:val="clear" w:color="auto" w:fill="FFFFFF"/>
          <w:lang w:val="en-US" w:eastAsia="zh-CN"/>
        </w:rPr>
        <w:t>信用</w:t>
      </w:r>
      <w:r>
        <w:rPr>
          <w:rFonts w:hint="default" w:ascii="Times New Roman" w:hAnsi="Times New Roman" w:eastAsia="方正仿宋_GBK" w:cs="Times New Roman"/>
          <w:b w:val="0"/>
          <w:bCs w:val="0"/>
          <w:color w:val="auto"/>
          <w:sz w:val="32"/>
          <w:szCs w:val="32"/>
          <w:shd w:val="clear" w:color="auto" w:fill="FFFFFF"/>
          <w:lang w:val="en-US" w:eastAsia="zh-CN"/>
        </w:rPr>
        <w:t>体系建设服务等项目支出增加</w:t>
      </w:r>
      <w:r>
        <w:rPr>
          <w:rFonts w:hint="default" w:ascii="Times New Roman" w:hAnsi="Times New Roman" w:eastAsia="方正仿宋_GBK" w:cs="Times New Roman"/>
          <w:b w:val="0"/>
          <w:bCs w:val="0"/>
          <w:color w:val="auto"/>
          <w:sz w:val="32"/>
          <w:szCs w:val="32"/>
          <w:shd w:val="clear" w:color="auto" w:fill="FFFFFF"/>
        </w:rPr>
        <w:t>。较年初预算数减少477.27万元，下降</w:t>
      </w:r>
      <w:r>
        <w:rPr>
          <w:rFonts w:hint="default" w:ascii="Times New Roman" w:hAnsi="Times New Roman" w:eastAsia="方正仿宋_GBK" w:cs="Times New Roman"/>
          <w:b w:val="0"/>
          <w:bCs w:val="0"/>
          <w:color w:val="auto"/>
          <w:sz w:val="32"/>
          <w:szCs w:val="32"/>
          <w:shd w:val="clear" w:color="auto" w:fill="FFFFFF"/>
          <w:lang w:val="en-US" w:eastAsia="zh-CN"/>
        </w:rPr>
        <w:t>8.0</w:t>
      </w:r>
      <w:r>
        <w:rPr>
          <w:rFonts w:hint="default" w:ascii="Times New Roman" w:hAnsi="Times New Roman" w:eastAsia="方正仿宋_GBK" w:cs="Times New Roman"/>
          <w:b w:val="0"/>
          <w:bCs w:val="0"/>
          <w:color w:val="auto"/>
          <w:sz w:val="32"/>
          <w:szCs w:val="32"/>
          <w:shd w:val="clear" w:color="auto" w:fill="FFFFFF"/>
        </w:rPr>
        <w:t>%。主要原因</w:t>
      </w:r>
      <w:r>
        <w:rPr>
          <w:rFonts w:hint="eastAsia" w:ascii="Times New Roman" w:hAnsi="Times New Roman" w:eastAsia="方正仿宋_GBK" w:cs="Times New Roman"/>
          <w:b w:val="0"/>
          <w:bCs w:val="0"/>
          <w:color w:val="auto"/>
          <w:sz w:val="32"/>
          <w:szCs w:val="32"/>
          <w:shd w:val="clear" w:color="auto" w:fill="FFFFFF"/>
          <w:lang w:val="en-US" w:eastAsia="zh-CN"/>
        </w:rPr>
        <w:t>是</w:t>
      </w:r>
      <w:r>
        <w:rPr>
          <w:rFonts w:hint="default" w:ascii="Times New Roman" w:hAnsi="Times New Roman" w:eastAsia="方正仿宋_GBK" w:cs="Times New Roman"/>
          <w:b w:val="0"/>
          <w:bCs w:val="0"/>
          <w:color w:val="auto"/>
          <w:sz w:val="32"/>
          <w:szCs w:val="32"/>
          <w:shd w:val="clear" w:color="auto" w:fill="FFFFFF"/>
          <w:lang w:val="en-US" w:eastAsia="zh-CN"/>
        </w:rPr>
        <w:t>服务业产业发展资金项目年初预算由我委代编，年中通过评审细化</w:t>
      </w:r>
      <w:r>
        <w:rPr>
          <w:rFonts w:hint="eastAsia" w:ascii="Times New Roman" w:hAnsi="Times New Roman" w:eastAsia="方正仿宋_GBK" w:cs="Times New Roman"/>
          <w:b w:val="0"/>
          <w:bCs w:val="0"/>
          <w:color w:val="auto"/>
          <w:sz w:val="32"/>
          <w:szCs w:val="32"/>
          <w:shd w:val="clear" w:color="auto" w:fill="FFFFFF"/>
          <w:lang w:val="en-US" w:eastAsia="zh-CN"/>
        </w:rPr>
        <w:t>后</w:t>
      </w:r>
      <w:r>
        <w:rPr>
          <w:rFonts w:hint="default" w:ascii="Times New Roman" w:hAnsi="Times New Roman" w:eastAsia="方正仿宋_GBK" w:cs="Times New Roman"/>
          <w:b w:val="0"/>
          <w:bCs w:val="0"/>
          <w:color w:val="auto"/>
          <w:sz w:val="32"/>
          <w:szCs w:val="32"/>
          <w:shd w:val="clear" w:color="auto" w:fill="FFFFFF"/>
          <w:lang w:val="en-US" w:eastAsia="zh-CN"/>
        </w:rPr>
        <w:t>调整至各行业主管部门</w:t>
      </w:r>
      <w:r>
        <w:rPr>
          <w:rFonts w:hint="eastAsia" w:ascii="Times New Roman" w:hAnsi="Times New Roman" w:eastAsia="方正仿宋_GBK" w:cs="Times New Roman"/>
          <w:b w:val="0"/>
          <w:bCs w:val="0"/>
          <w:color w:val="auto"/>
          <w:sz w:val="32"/>
          <w:szCs w:val="32"/>
          <w:shd w:val="clear" w:color="auto" w:fill="FFFFFF"/>
          <w:lang w:val="en-US" w:eastAsia="zh-CN"/>
        </w:rPr>
        <w:t>，与执行中其他预算追加品迭后，总体支出较年初预算数减少。</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3.结转结余情况。</w:t>
      </w:r>
      <w:r>
        <w:rPr>
          <w:rFonts w:hint="default" w:ascii="Times New Roman" w:hAnsi="Times New Roman" w:eastAsia="方正仿宋_GBK" w:cs="Times New Roman"/>
          <w:b w:val="0"/>
          <w:bCs w:val="0"/>
          <w:color w:val="auto"/>
          <w:sz w:val="32"/>
          <w:szCs w:val="32"/>
          <w:shd w:val="clear" w:color="auto" w:fill="FFFFFF"/>
        </w:rPr>
        <w:t>2023年度年末</w:t>
      </w:r>
      <w:r>
        <w:rPr>
          <w:rFonts w:hint="default" w:ascii="Times New Roman" w:hAnsi="Times New Roman" w:eastAsia="方正仿宋_GBK" w:cs="Times New Roman"/>
          <w:b w:val="0"/>
          <w:bCs w:val="0"/>
          <w:color w:val="auto"/>
          <w:sz w:val="32"/>
          <w:szCs w:val="32"/>
          <w:shd w:val="clear" w:color="auto" w:fill="FFFFFF"/>
          <w:lang w:val="en-US" w:eastAsia="zh-CN"/>
        </w:rPr>
        <w:t>无</w:t>
      </w:r>
      <w:r>
        <w:rPr>
          <w:rFonts w:hint="default" w:ascii="Times New Roman" w:hAnsi="Times New Roman" w:eastAsia="方正仿宋_GBK" w:cs="Times New Roman"/>
          <w:b w:val="0"/>
          <w:bCs w:val="0"/>
          <w:color w:val="auto"/>
          <w:sz w:val="32"/>
          <w:szCs w:val="32"/>
          <w:shd w:val="clear" w:color="auto" w:fill="FFFFFF"/>
        </w:rPr>
        <w:t>一般公共预算财政拨款结转和结余。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4.比较情况。</w:t>
      </w:r>
      <w:r>
        <w:rPr>
          <w:rFonts w:hint="default" w:ascii="Times New Roman" w:hAnsi="Times New Roman" w:eastAsia="方正仿宋_GBK" w:cs="Times New Roman"/>
          <w:b w:val="0"/>
          <w:bCs w:val="0"/>
          <w:color w:val="auto"/>
          <w:sz w:val="32"/>
          <w:szCs w:val="32"/>
          <w:shd w:val="clear" w:color="auto" w:fill="FFFFFF"/>
        </w:rPr>
        <w:t>本单位2023年度一般公共预算财政拨款支出主要用于以下几个方面：</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（1）一般公共服务支出</w:t>
      </w:r>
      <w:r>
        <w:rPr>
          <w:rFonts w:hint="default" w:ascii="Times New Roman" w:hAnsi="Times New Roman" w:eastAsia="方正仿宋_GBK" w:cs="Times New Roman"/>
          <w:b w:val="0"/>
          <w:bCs w:val="0"/>
          <w:color w:val="auto"/>
          <w:sz w:val="32"/>
          <w:szCs w:val="32"/>
        </w:rPr>
        <w:t>2317.68</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41.9</w:t>
      </w:r>
      <w:r>
        <w:rPr>
          <w:rFonts w:hint="default" w:ascii="Times New Roman" w:hAnsi="Times New Roman" w:eastAsia="方正仿宋_GBK" w:cs="Times New Roman"/>
          <w:b w:val="0"/>
          <w:bCs w:val="0"/>
          <w:color w:val="auto"/>
          <w:sz w:val="32"/>
          <w:szCs w:val="32"/>
          <w:shd w:val="clear" w:color="auto" w:fill="FFFFFF"/>
        </w:rPr>
        <w:t>%，较年初预算数减少1617.58万元，下降41.1%，主要原因是</w:t>
      </w:r>
      <w:r>
        <w:rPr>
          <w:rFonts w:hint="default" w:ascii="Times New Roman" w:hAnsi="Times New Roman" w:eastAsia="方正仿宋_GBK" w:cs="Times New Roman"/>
          <w:b w:val="0"/>
          <w:bCs w:val="0"/>
          <w:color w:val="auto"/>
          <w:sz w:val="32"/>
          <w:szCs w:val="32"/>
          <w:shd w:val="clear" w:color="auto" w:fill="FFFFFF"/>
          <w:lang w:val="en-US" w:eastAsia="zh-CN"/>
        </w:rPr>
        <w:t>服务业产业发 展资金项目年初预算由我委代编，年中通过评审细化</w:t>
      </w:r>
      <w:r>
        <w:rPr>
          <w:rFonts w:hint="eastAsia" w:ascii="Times New Roman" w:hAnsi="Times New Roman" w:eastAsia="方正仿宋_GBK" w:cs="Times New Roman"/>
          <w:b w:val="0"/>
          <w:bCs w:val="0"/>
          <w:color w:val="auto"/>
          <w:sz w:val="32"/>
          <w:szCs w:val="32"/>
          <w:shd w:val="clear" w:color="auto" w:fill="FFFFFF"/>
          <w:lang w:val="en-US" w:eastAsia="zh-CN"/>
        </w:rPr>
        <w:t>后</w:t>
      </w:r>
      <w:r>
        <w:rPr>
          <w:rFonts w:hint="default" w:ascii="Times New Roman" w:hAnsi="Times New Roman" w:eastAsia="方正仿宋_GBK" w:cs="Times New Roman"/>
          <w:b w:val="0"/>
          <w:bCs w:val="0"/>
          <w:color w:val="auto"/>
          <w:sz w:val="32"/>
          <w:szCs w:val="32"/>
          <w:shd w:val="clear" w:color="auto" w:fill="FFFFFF"/>
          <w:lang w:val="en-US" w:eastAsia="zh-CN"/>
        </w:rPr>
        <w:t>调整至各行业主管部门</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rPr>
        <w:t>（2）国防支出</w:t>
      </w:r>
      <w:r>
        <w:rPr>
          <w:rFonts w:hint="default" w:ascii="Times New Roman" w:hAnsi="Times New Roman" w:eastAsia="方正仿宋_GBK" w:cs="Times New Roman"/>
          <w:b w:val="0"/>
          <w:bCs w:val="0"/>
          <w:color w:val="auto"/>
          <w:sz w:val="32"/>
          <w:szCs w:val="32"/>
        </w:rPr>
        <w:t>628.09</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11.36</w:t>
      </w:r>
      <w:r>
        <w:rPr>
          <w:rFonts w:hint="default" w:ascii="Times New Roman" w:hAnsi="Times New Roman" w:eastAsia="方正仿宋_GBK" w:cs="Times New Roman"/>
          <w:b w:val="0"/>
          <w:bCs w:val="0"/>
          <w:color w:val="auto"/>
          <w:sz w:val="32"/>
          <w:szCs w:val="32"/>
          <w:shd w:val="clear" w:color="auto" w:fill="FFFFFF"/>
        </w:rPr>
        <w:t>%，较年初预算数增加628.09万元，增长100.0%，主要原因是</w:t>
      </w:r>
      <w:r>
        <w:rPr>
          <w:rFonts w:hint="eastAsia" w:ascii="Times New Roman" w:hAnsi="Times New Roman" w:eastAsia="方正仿宋_GBK" w:cs="Times New Roman"/>
          <w:b w:val="0"/>
          <w:bCs w:val="0"/>
          <w:color w:val="auto"/>
          <w:sz w:val="32"/>
          <w:szCs w:val="32"/>
          <w:shd w:val="clear" w:color="auto" w:fill="FFFFFF"/>
          <w:lang w:val="en-US" w:eastAsia="zh-CN"/>
        </w:rPr>
        <w:t>相关项目资金未纳入年初预算，年中追加下达预算。</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3</w:t>
      </w:r>
      <w:r>
        <w:rPr>
          <w:rFonts w:hint="default" w:ascii="Times New Roman" w:hAnsi="Times New Roman" w:eastAsia="方正仿宋_GBK" w:cs="Times New Roman"/>
          <w:b w:val="0"/>
          <w:bCs w:val="0"/>
          <w:color w:val="auto"/>
          <w:sz w:val="32"/>
          <w:szCs w:val="32"/>
          <w:shd w:val="clear" w:color="auto" w:fill="FFFFFF"/>
        </w:rPr>
        <w:t>）社会保障与就业支出</w:t>
      </w:r>
      <w:r>
        <w:rPr>
          <w:rFonts w:hint="default" w:ascii="Times New Roman" w:hAnsi="Times New Roman" w:eastAsia="方正仿宋_GBK" w:cs="Times New Roman"/>
          <w:b w:val="0"/>
          <w:bCs w:val="0"/>
          <w:color w:val="auto"/>
          <w:sz w:val="32"/>
          <w:szCs w:val="32"/>
        </w:rPr>
        <w:t>686.04</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12.4</w:t>
      </w:r>
      <w:r>
        <w:rPr>
          <w:rFonts w:hint="default" w:ascii="Times New Roman" w:hAnsi="Times New Roman" w:eastAsia="方正仿宋_GBK" w:cs="Times New Roman"/>
          <w:b w:val="0"/>
          <w:bCs w:val="0"/>
          <w:color w:val="auto"/>
          <w:sz w:val="32"/>
          <w:szCs w:val="32"/>
          <w:shd w:val="clear" w:color="auto" w:fill="FFFFFF"/>
        </w:rPr>
        <w:t>%，较年初预算数增加473.69万元，增长223.</w:t>
      </w:r>
      <w:r>
        <w:rPr>
          <w:rFonts w:hint="default" w:ascii="Times New Roman" w:hAnsi="Times New Roman" w:eastAsia="方正仿宋_GBK" w:cs="Times New Roman"/>
          <w:b w:val="0"/>
          <w:bCs w:val="0"/>
          <w:color w:val="auto"/>
          <w:sz w:val="32"/>
          <w:szCs w:val="32"/>
          <w:shd w:val="clear" w:color="auto" w:fill="FFFFFF"/>
          <w:lang w:val="en-US" w:eastAsia="zh-CN"/>
        </w:rPr>
        <w:t>1</w:t>
      </w:r>
      <w:r>
        <w:rPr>
          <w:rFonts w:hint="default" w:ascii="Times New Roman" w:hAnsi="Times New Roman" w:eastAsia="方正仿宋_GBK" w:cs="Times New Roman"/>
          <w:b w:val="0"/>
          <w:bCs w:val="0"/>
          <w:color w:val="auto"/>
          <w:sz w:val="32"/>
          <w:szCs w:val="32"/>
          <w:shd w:val="clear" w:color="auto" w:fill="FFFFFF"/>
        </w:rPr>
        <w:t>%，主要原因</w:t>
      </w:r>
      <w:r>
        <w:rPr>
          <w:rFonts w:hint="default"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eastAsia" w:ascii="Times New Roman" w:hAnsi="Times New Roman" w:eastAsia="方正仿宋_GBK" w:cs="Times New Roman"/>
          <w:b w:val="0"/>
          <w:bCs w:val="0"/>
          <w:color w:val="auto"/>
          <w:sz w:val="32"/>
          <w:szCs w:val="32"/>
          <w:shd w:val="clear" w:color="auto" w:fill="FFFFFF"/>
          <w:lang w:val="en-US" w:eastAsia="zh-CN"/>
        </w:rPr>
        <w:t>执行</w:t>
      </w:r>
      <w:r>
        <w:rPr>
          <w:rFonts w:hint="default" w:ascii="Times New Roman" w:hAnsi="Times New Roman" w:eastAsia="方正仿宋_GBK" w:cs="Times New Roman"/>
          <w:b w:val="0"/>
          <w:bCs w:val="0"/>
          <w:color w:val="auto"/>
          <w:sz w:val="32"/>
          <w:szCs w:val="32"/>
          <w:shd w:val="clear" w:color="auto" w:fill="FFFFFF"/>
          <w:lang w:val="en-US" w:eastAsia="zh-CN"/>
        </w:rPr>
        <w:t>中追加新划入人员相关经费，二是</w:t>
      </w:r>
      <w:r>
        <w:rPr>
          <w:rFonts w:hint="eastAsia" w:ascii="Times New Roman" w:hAnsi="Times New Roman" w:eastAsia="方正仿宋_GBK" w:cs="Times New Roman"/>
          <w:b w:val="0"/>
          <w:bCs w:val="0"/>
          <w:color w:val="auto"/>
          <w:sz w:val="32"/>
          <w:szCs w:val="32"/>
          <w:shd w:val="clear" w:color="auto" w:fill="FFFFFF"/>
          <w:lang w:val="en-US" w:eastAsia="zh-CN"/>
        </w:rPr>
        <w:t>部分人员经费未纳入年初预算，年中财政据实清算后追加下达相关预算</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rPr>
        <w:t>）卫生健康支出</w:t>
      </w:r>
      <w:r>
        <w:rPr>
          <w:rFonts w:hint="default" w:ascii="Times New Roman" w:hAnsi="Times New Roman" w:eastAsia="方正仿宋_GBK" w:cs="Times New Roman"/>
          <w:b w:val="0"/>
          <w:bCs w:val="0"/>
          <w:color w:val="auto"/>
          <w:sz w:val="32"/>
          <w:szCs w:val="32"/>
        </w:rPr>
        <w:t>75.06</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shd w:val="clear" w:color="auto" w:fill="FFFFFF"/>
        </w:rPr>
        <w:t>%，较年初预算数增加1.39万元，增长1.9%，主要原因是</w:t>
      </w:r>
      <w:r>
        <w:rPr>
          <w:rFonts w:hint="eastAsia" w:ascii="Times New Roman" w:hAnsi="Times New Roman" w:eastAsia="方正仿宋_GBK" w:cs="Times New Roman"/>
          <w:b w:val="0"/>
          <w:bCs w:val="0"/>
          <w:color w:val="auto"/>
          <w:sz w:val="32"/>
          <w:szCs w:val="32"/>
          <w:shd w:val="clear" w:color="auto" w:fill="FFFFFF"/>
          <w:lang w:val="en-US" w:eastAsia="zh-CN"/>
        </w:rPr>
        <w:t>执行</w:t>
      </w:r>
      <w:r>
        <w:rPr>
          <w:rFonts w:hint="default" w:ascii="Times New Roman" w:hAnsi="Times New Roman" w:eastAsia="方正仿宋_GBK" w:cs="Times New Roman"/>
          <w:b w:val="0"/>
          <w:bCs w:val="0"/>
          <w:color w:val="auto"/>
          <w:sz w:val="32"/>
          <w:szCs w:val="32"/>
          <w:shd w:val="clear" w:color="auto" w:fill="FFFFFF"/>
          <w:lang w:val="en-US" w:eastAsia="zh-CN"/>
        </w:rPr>
        <w:t>中追加新划入人员相关经费。</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5</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住房保障支出74.51</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shd w:val="clear" w:color="auto" w:fill="FFFFFF"/>
        </w:rPr>
        <w:t>%，较年初预算数减少14.3万元，下降16.1%，主要原因是</w:t>
      </w:r>
      <w:r>
        <w:rPr>
          <w:rFonts w:hint="default" w:ascii="Times New Roman" w:hAnsi="Times New Roman" w:eastAsia="方正仿宋_GBK" w:cs="Times New Roman"/>
          <w:b w:val="0"/>
          <w:bCs w:val="0"/>
          <w:color w:val="auto"/>
          <w:sz w:val="32"/>
          <w:szCs w:val="32"/>
          <w:shd w:val="clear" w:color="auto" w:fill="FFFFFF"/>
          <w:lang w:val="en-US" w:eastAsia="zh-CN"/>
        </w:rPr>
        <w:t>按有关政策据实</w:t>
      </w:r>
      <w:r>
        <w:rPr>
          <w:rFonts w:hint="eastAsia" w:ascii="Times New Roman" w:hAnsi="Times New Roman" w:eastAsia="方正仿宋_GBK" w:cs="Times New Roman"/>
          <w:b w:val="0"/>
          <w:bCs w:val="0"/>
          <w:color w:val="auto"/>
          <w:sz w:val="32"/>
          <w:szCs w:val="32"/>
          <w:shd w:val="clear" w:color="auto" w:fill="FFFFFF"/>
          <w:lang w:val="en-US" w:eastAsia="zh-CN"/>
        </w:rPr>
        <w:t>与财政</w:t>
      </w:r>
      <w:r>
        <w:rPr>
          <w:rFonts w:hint="default" w:ascii="Times New Roman" w:hAnsi="Times New Roman" w:eastAsia="方正仿宋_GBK" w:cs="Times New Roman"/>
          <w:b w:val="0"/>
          <w:bCs w:val="0"/>
          <w:color w:val="auto"/>
          <w:sz w:val="32"/>
          <w:szCs w:val="32"/>
          <w:shd w:val="clear" w:color="auto" w:fill="FFFFFF"/>
          <w:lang w:val="en-US" w:eastAsia="zh-CN"/>
        </w:rPr>
        <w:t>清算</w:t>
      </w:r>
      <w:r>
        <w:rPr>
          <w:rFonts w:hint="default" w:ascii="Times New Roman" w:hAnsi="Times New Roman" w:eastAsia="方正仿宋_GBK" w:cs="Times New Roman"/>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粮油物资储备支出1748.29</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31.6</w:t>
      </w:r>
      <w:r>
        <w:rPr>
          <w:rFonts w:hint="default" w:ascii="Times New Roman" w:hAnsi="Times New Roman" w:eastAsia="方正仿宋_GBK" w:cs="Times New Roman"/>
          <w:b w:val="0"/>
          <w:bCs w:val="0"/>
          <w:color w:val="auto"/>
          <w:sz w:val="32"/>
          <w:szCs w:val="32"/>
          <w:shd w:val="clear" w:color="auto" w:fill="FFFFFF"/>
        </w:rPr>
        <w:t>%，较年初预算数增加51.46万元，增长3.0%，主要原因是</w:t>
      </w:r>
      <w:r>
        <w:rPr>
          <w:rFonts w:hint="default" w:ascii="Times New Roman" w:hAnsi="Times New Roman" w:eastAsia="方正仿宋_GBK" w:cs="Times New Roman"/>
          <w:b w:val="0"/>
          <w:bCs w:val="0"/>
          <w:color w:val="auto"/>
          <w:sz w:val="32"/>
          <w:szCs w:val="32"/>
          <w:shd w:val="clear" w:color="auto" w:fill="FFFFFF"/>
          <w:lang w:val="en-US" w:eastAsia="zh-CN"/>
        </w:rPr>
        <w:t>储备费用标准调整，</w:t>
      </w:r>
      <w:r>
        <w:rPr>
          <w:rFonts w:hint="eastAsia" w:ascii="Times New Roman" w:hAnsi="Times New Roman" w:eastAsia="方正仿宋_GBK" w:cs="Times New Roman"/>
          <w:b w:val="0"/>
          <w:bCs w:val="0"/>
          <w:color w:val="auto"/>
          <w:sz w:val="32"/>
          <w:szCs w:val="32"/>
          <w:shd w:val="clear" w:color="auto" w:fill="FFFFFF"/>
          <w:lang w:val="en-US" w:eastAsia="zh-CN"/>
        </w:rPr>
        <w:t>执行</w:t>
      </w:r>
      <w:r>
        <w:rPr>
          <w:rFonts w:hint="default" w:ascii="Times New Roman" w:hAnsi="Times New Roman" w:eastAsia="方正仿宋_GBK" w:cs="Times New Roman"/>
          <w:b w:val="0"/>
          <w:bCs w:val="0"/>
          <w:color w:val="auto"/>
          <w:sz w:val="32"/>
          <w:szCs w:val="32"/>
          <w:shd w:val="clear" w:color="auto" w:fill="FFFFFF"/>
          <w:lang w:val="en-US" w:eastAsia="zh-CN"/>
        </w:rPr>
        <w:t>中追加部分项目资金。</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 2023年度一般公共财政拨款基本支出</w:t>
      </w:r>
      <w:r>
        <w:rPr>
          <w:rFonts w:hint="default" w:ascii="Times New Roman" w:hAnsi="Times New Roman" w:eastAsia="方正仿宋_GBK" w:cs="Times New Roman"/>
          <w:b w:val="0"/>
          <w:bCs w:val="0"/>
          <w:color w:val="auto"/>
          <w:sz w:val="32"/>
          <w:szCs w:val="32"/>
        </w:rPr>
        <w:t>1942.28</w:t>
      </w:r>
      <w:r>
        <w:rPr>
          <w:rFonts w:hint="default" w:ascii="Times New Roman" w:hAnsi="Times New Roman" w:eastAsia="方正仿宋_GBK" w:cs="Times New Roman"/>
          <w:b w:val="0"/>
          <w:bCs w:val="0"/>
          <w:color w:val="auto"/>
          <w:sz w:val="32"/>
          <w:szCs w:val="32"/>
          <w:shd w:val="clear" w:color="auto" w:fill="FFFFFF"/>
        </w:rPr>
        <w:t>万元。其中：人员经费</w:t>
      </w:r>
      <w:r>
        <w:rPr>
          <w:rFonts w:hint="default" w:ascii="Times New Roman" w:hAnsi="Times New Roman" w:eastAsia="方正仿宋_GBK" w:cs="Times New Roman"/>
          <w:b w:val="0"/>
          <w:bCs w:val="0"/>
          <w:color w:val="auto"/>
          <w:sz w:val="32"/>
          <w:szCs w:val="32"/>
        </w:rPr>
        <w:t>1703.89</w:t>
      </w:r>
      <w:r>
        <w:rPr>
          <w:rFonts w:hint="default" w:ascii="Times New Roman" w:hAnsi="Times New Roman" w:eastAsia="方正仿宋_GBK" w:cs="Times New Roman"/>
          <w:b w:val="0"/>
          <w:bCs w:val="0"/>
          <w:color w:val="auto"/>
          <w:sz w:val="32"/>
          <w:szCs w:val="32"/>
          <w:shd w:val="clear" w:color="auto" w:fill="FFFFFF"/>
        </w:rPr>
        <w:t>万元，较上年决算数增加345.88万元，增长25.</w:t>
      </w:r>
      <w:r>
        <w:rPr>
          <w:rFonts w:hint="default" w:ascii="Times New Roman" w:hAnsi="Times New Roman" w:eastAsia="方正仿宋_GBK" w:cs="Times New Roman"/>
          <w:b w:val="0"/>
          <w:bCs w:val="0"/>
          <w:color w:val="auto"/>
          <w:sz w:val="32"/>
          <w:szCs w:val="32"/>
          <w:shd w:val="clear" w:color="auto" w:fill="FFFFFF"/>
          <w:lang w:val="en-US" w:eastAsia="zh-CN"/>
        </w:rPr>
        <w:t>5</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机构划转人员增加</w:t>
      </w:r>
      <w:r>
        <w:rPr>
          <w:rFonts w:hint="default" w:ascii="Times New Roman" w:hAnsi="Times New Roman" w:eastAsia="方正仿宋_GBK" w:cs="Times New Roman"/>
          <w:b w:val="0"/>
          <w:bCs w:val="0"/>
          <w:color w:val="auto"/>
          <w:sz w:val="32"/>
          <w:szCs w:val="32"/>
          <w:shd w:val="clear" w:color="auto" w:fill="FFFFFF"/>
        </w:rPr>
        <w:t>。人员经费用途主要包括</w:t>
      </w:r>
      <w:r>
        <w:rPr>
          <w:rFonts w:hint="default" w:ascii="Times New Roman" w:hAnsi="Times New Roman" w:eastAsia="方正仿宋_GBK" w:cs="Times New Roman"/>
          <w:b w:val="0"/>
          <w:bCs w:val="0"/>
          <w:color w:val="auto"/>
          <w:sz w:val="32"/>
          <w:szCs w:val="32"/>
          <w:shd w:val="clear" w:color="auto" w:fill="FFFFFF"/>
          <w:lang w:val="en-US" w:eastAsia="zh-CN"/>
        </w:rPr>
        <w:t>在职职工基本工资、津贴补贴、奖金、社会保障缴费、住房公积金、离休费、抚恤金等</w:t>
      </w:r>
      <w:r>
        <w:rPr>
          <w:rFonts w:hint="default" w:ascii="Times New Roman" w:hAnsi="Times New Roman" w:eastAsia="方正仿宋_GBK" w:cs="Times New Roman"/>
          <w:b w:val="0"/>
          <w:bCs w:val="0"/>
          <w:color w:val="auto"/>
          <w:sz w:val="32"/>
          <w:szCs w:val="32"/>
          <w:shd w:val="clear" w:color="auto" w:fill="FFFFFF"/>
        </w:rPr>
        <w:t>。公用经费</w:t>
      </w:r>
      <w:r>
        <w:rPr>
          <w:rFonts w:hint="default" w:ascii="Times New Roman" w:hAnsi="Times New Roman" w:eastAsia="方正仿宋_GBK" w:cs="Times New Roman"/>
          <w:b w:val="0"/>
          <w:bCs w:val="0"/>
          <w:color w:val="auto"/>
          <w:sz w:val="32"/>
          <w:szCs w:val="32"/>
        </w:rPr>
        <w:t>238.39</w:t>
      </w:r>
      <w:r>
        <w:rPr>
          <w:rFonts w:hint="default" w:ascii="Times New Roman" w:hAnsi="Times New Roman" w:eastAsia="方正仿宋_GBK" w:cs="Times New Roman"/>
          <w:b w:val="0"/>
          <w:bCs w:val="0"/>
          <w:color w:val="auto"/>
          <w:sz w:val="32"/>
          <w:szCs w:val="32"/>
          <w:shd w:val="clear" w:color="auto" w:fill="FFFFFF"/>
        </w:rPr>
        <w:t>万元，较上年决算数增加46.59万元，增长24.29%，主要原因是</w:t>
      </w:r>
      <w:r>
        <w:rPr>
          <w:rFonts w:hint="default" w:ascii="Times New Roman" w:hAnsi="Times New Roman" w:eastAsia="方正仿宋_GBK" w:cs="Times New Roman"/>
          <w:b w:val="0"/>
          <w:bCs w:val="0"/>
          <w:color w:val="auto"/>
          <w:sz w:val="32"/>
          <w:szCs w:val="32"/>
          <w:shd w:val="clear" w:color="auto" w:fill="FFFFFF"/>
          <w:lang w:val="en-US" w:eastAsia="zh-CN"/>
        </w:rPr>
        <w:t>在职人员增加，且日常运行类公用经费在疫情常态化后恢复正常。</w:t>
      </w:r>
      <w:r>
        <w:rPr>
          <w:rFonts w:hint="default" w:ascii="Times New Roman" w:hAnsi="Times New Roman" w:eastAsia="方正仿宋_GBK" w:cs="Times New Roman"/>
          <w:b w:val="0"/>
          <w:bCs w:val="0"/>
          <w:color w:val="auto"/>
          <w:sz w:val="32"/>
          <w:szCs w:val="32"/>
          <w:shd w:val="clear" w:color="auto" w:fill="FFFFFF"/>
        </w:rPr>
        <w:t>公用经费用途主要包括</w:t>
      </w:r>
      <w:r>
        <w:rPr>
          <w:rFonts w:hint="default" w:ascii="Times New Roman" w:hAnsi="Times New Roman" w:eastAsia="方正仿宋_GBK" w:cs="Times New Roman"/>
          <w:b w:val="0"/>
          <w:bCs w:val="0"/>
          <w:color w:val="auto"/>
          <w:sz w:val="32"/>
          <w:szCs w:val="32"/>
          <w:shd w:val="clear" w:color="auto" w:fill="FFFFFF"/>
          <w:lang w:val="en-US" w:eastAsia="zh-CN"/>
        </w:rPr>
        <w:t>办公费、印刷费、水电费、邮电费、差旅费、劳务费、委托业务费、公车运行维护费等保障单位正常运转的费用</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val="0"/>
          <w:color w:val="auto"/>
          <w:sz w:val="32"/>
          <w:szCs w:val="32"/>
          <w:shd w:val="clear" w:color="auto" w:fill="FFFFFF"/>
        </w:rPr>
      </w:pPr>
      <w:r>
        <w:rPr>
          <w:rStyle w:val="10"/>
          <w:rFonts w:hint="default" w:ascii="Times New Roman" w:hAnsi="Times New Roman" w:eastAsia="方正黑体_GBK" w:cs="Times New Roman"/>
          <w:b w:val="0"/>
          <w:bCs w:val="0"/>
          <w:color w:val="auto"/>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sz w:val="32"/>
          <w:szCs w:val="32"/>
          <w:shd w:val="clear" w:color="auto" w:fill="FFFFFF"/>
        </w:rPr>
        <w:t>2023年度“三公”经费支出共计</w:t>
      </w:r>
      <w:r>
        <w:rPr>
          <w:rFonts w:hint="default" w:ascii="Times New Roman" w:hAnsi="Times New Roman" w:eastAsia="方正仿宋_GBK" w:cs="Times New Roman"/>
          <w:b w:val="0"/>
          <w:bCs w:val="0"/>
          <w:color w:val="auto"/>
          <w:sz w:val="32"/>
          <w:szCs w:val="32"/>
        </w:rPr>
        <w:t>34.75</w:t>
      </w:r>
      <w:r>
        <w:rPr>
          <w:rFonts w:hint="default" w:ascii="Times New Roman" w:hAnsi="Times New Roman" w:eastAsia="方正仿宋_GBK" w:cs="Times New Roman"/>
          <w:b w:val="0"/>
          <w:bCs w:val="0"/>
          <w:color w:val="auto"/>
          <w:sz w:val="32"/>
          <w:szCs w:val="32"/>
          <w:shd w:val="clear" w:color="auto" w:fill="FFFFFF"/>
        </w:rPr>
        <w:t>万元，较年初预算数增加7.25万元，增长26.36%，主要原因是</w:t>
      </w:r>
      <w:r>
        <w:rPr>
          <w:rFonts w:hint="eastAsia" w:ascii="Times New Roman" w:hAnsi="Times New Roman" w:eastAsia="方正仿宋_GBK" w:cs="Times New Roman"/>
          <w:b w:val="0"/>
          <w:bCs w:val="0"/>
          <w:color w:val="auto"/>
          <w:sz w:val="32"/>
          <w:szCs w:val="32"/>
          <w:shd w:val="clear" w:color="auto" w:fill="FFFFFF"/>
          <w:lang w:val="en-US" w:eastAsia="zh-CN"/>
        </w:rPr>
        <w:t>单位特种专业技术用车报废换新，新购置公务车1辆</w:t>
      </w:r>
      <w:r>
        <w:rPr>
          <w:rFonts w:hint="default" w:ascii="Times New Roman" w:hAnsi="Times New Roman" w:eastAsia="方正仿宋_GBK" w:cs="Times New Roman"/>
          <w:b w:val="0"/>
          <w:bCs w:val="0"/>
          <w:color w:val="auto"/>
          <w:sz w:val="32"/>
          <w:szCs w:val="32"/>
          <w:shd w:val="clear" w:color="auto" w:fill="FFFFFF"/>
          <w:lang w:val="en-US" w:eastAsia="zh-CN"/>
        </w:rPr>
        <w:t>。</w:t>
      </w:r>
      <w:r>
        <w:rPr>
          <w:rFonts w:hint="default" w:ascii="Times New Roman" w:hAnsi="Times New Roman" w:eastAsia="方正仿宋_GBK" w:cs="Times New Roman"/>
          <w:b w:val="0"/>
          <w:bCs w:val="0"/>
          <w:color w:val="auto"/>
          <w:sz w:val="32"/>
          <w:szCs w:val="32"/>
          <w:shd w:val="clear" w:color="auto" w:fill="FFFFFF"/>
        </w:rPr>
        <w:t>较上年支出数增加24.33万元，增长233.49%，主要原因</w:t>
      </w:r>
      <w:r>
        <w:rPr>
          <w:rFonts w:hint="default"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机构改革职能划转单位新增特种专业技术用车，二是疫情常态化后公务活动总体较上年增加。</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shd w:val="clear" w:color="auto" w:fill="FFFFFF"/>
        </w:rPr>
        <w:t>2023年度本单位</w:t>
      </w:r>
      <w:r>
        <w:rPr>
          <w:rFonts w:hint="default" w:ascii="Times New Roman" w:hAnsi="Times New Roman" w:eastAsia="方正仿宋_GBK" w:cs="Times New Roman"/>
          <w:b w:val="0"/>
          <w:bCs w:val="0"/>
          <w:color w:val="auto"/>
          <w:sz w:val="32"/>
          <w:szCs w:val="32"/>
          <w:shd w:val="clear" w:color="auto" w:fill="FFFFFF"/>
          <w:lang w:val="en-US" w:eastAsia="zh-CN"/>
        </w:rPr>
        <w:t>未发生</w:t>
      </w:r>
      <w:r>
        <w:rPr>
          <w:rFonts w:hint="default" w:ascii="Times New Roman" w:hAnsi="Times New Roman" w:eastAsia="方正仿宋_GBK" w:cs="Times New Roman"/>
          <w:b w:val="0"/>
          <w:bCs w:val="0"/>
          <w:color w:val="auto"/>
          <w:sz w:val="32"/>
          <w:szCs w:val="32"/>
          <w:shd w:val="clear" w:color="auto" w:fill="FFFFFF"/>
        </w:rPr>
        <w:t>因公出国（境）费用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与年初预算数和上年决算数持平。</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公务车购置费</w:t>
      </w:r>
      <w:r>
        <w:rPr>
          <w:rFonts w:hint="default" w:ascii="Times New Roman" w:hAnsi="Times New Roman" w:eastAsia="方正仿宋_GBK" w:cs="Times New Roman"/>
          <w:b w:val="0"/>
          <w:bCs w:val="0"/>
          <w:color w:val="auto"/>
          <w:sz w:val="32"/>
          <w:szCs w:val="32"/>
        </w:rPr>
        <w:t>16.23</w:t>
      </w:r>
      <w:r>
        <w:rPr>
          <w:rFonts w:hint="default" w:ascii="Times New Roman" w:hAnsi="Times New Roman" w:eastAsia="方正仿宋_GBK" w:cs="Times New Roman"/>
          <w:b w:val="0"/>
          <w:bCs w:val="0"/>
          <w:color w:val="auto"/>
          <w:sz w:val="32"/>
          <w:szCs w:val="32"/>
          <w:shd w:val="clear" w:color="auto" w:fill="FFFFFF"/>
        </w:rPr>
        <w:t>万元，主要用于</w:t>
      </w:r>
      <w:r>
        <w:rPr>
          <w:rFonts w:hint="default" w:ascii="Times New Roman" w:hAnsi="Times New Roman" w:eastAsia="方正仿宋_GBK" w:cs="Times New Roman"/>
          <w:b w:val="0"/>
          <w:bCs w:val="0"/>
          <w:color w:val="auto"/>
          <w:sz w:val="32"/>
          <w:szCs w:val="32"/>
          <w:shd w:val="clear" w:color="auto" w:fill="FFFFFF"/>
          <w:lang w:val="en-US" w:eastAsia="zh-CN"/>
        </w:rPr>
        <w:t>单位特种专业技术用车报废换新</w:t>
      </w:r>
      <w:r>
        <w:rPr>
          <w:rFonts w:hint="default" w:ascii="Times New Roman" w:hAnsi="Times New Roman" w:eastAsia="方正仿宋_GBK" w:cs="Times New Roman"/>
          <w:b w:val="0"/>
          <w:bCs w:val="0"/>
          <w:color w:val="auto"/>
          <w:sz w:val="32"/>
          <w:szCs w:val="32"/>
          <w:shd w:val="clear" w:color="auto" w:fill="FFFFFF"/>
        </w:rPr>
        <w:t>。费用支出较年初预算数增加16.23万元，增长100.0%，主要原因是</w:t>
      </w:r>
      <w:r>
        <w:rPr>
          <w:rFonts w:hint="eastAsia" w:ascii="Times New Roman" w:hAnsi="Times New Roman" w:eastAsia="方正仿宋_GBK" w:cs="Times New Roman"/>
          <w:b w:val="0"/>
          <w:bCs w:val="0"/>
          <w:color w:val="auto"/>
          <w:sz w:val="32"/>
          <w:szCs w:val="32"/>
          <w:shd w:val="clear" w:color="auto" w:fill="FFFFFF"/>
          <w:lang w:val="en-US" w:eastAsia="zh-CN"/>
        </w:rPr>
        <w:t>执行中</w:t>
      </w:r>
      <w:r>
        <w:rPr>
          <w:rFonts w:hint="default" w:ascii="Times New Roman" w:hAnsi="Times New Roman" w:eastAsia="方正仿宋_GBK" w:cs="Times New Roman"/>
          <w:b w:val="0"/>
          <w:bCs w:val="0"/>
          <w:color w:val="auto"/>
          <w:sz w:val="32"/>
          <w:szCs w:val="32"/>
          <w:shd w:val="clear" w:color="auto" w:fill="FFFFFF"/>
          <w:lang w:val="en-US" w:eastAsia="zh-CN"/>
        </w:rPr>
        <w:t>追加相关预算</w:t>
      </w:r>
      <w:r>
        <w:rPr>
          <w:rFonts w:hint="default" w:ascii="Times New Roman" w:hAnsi="Times New Roman" w:eastAsia="方正仿宋_GBK" w:cs="Times New Roman"/>
          <w:b w:val="0"/>
          <w:bCs w:val="0"/>
          <w:color w:val="auto"/>
          <w:sz w:val="32"/>
          <w:szCs w:val="32"/>
          <w:shd w:val="clear" w:color="auto" w:fill="FFFFFF"/>
        </w:rPr>
        <w:t>。较上年支出数增加16.23万元，增长100.0%，主要原因是</w:t>
      </w:r>
      <w:r>
        <w:rPr>
          <w:rFonts w:hint="default" w:ascii="Times New Roman" w:hAnsi="Times New Roman" w:eastAsia="方正仿宋_GBK" w:cs="Times New Roman"/>
          <w:b w:val="0"/>
          <w:bCs w:val="0"/>
          <w:color w:val="auto"/>
          <w:sz w:val="32"/>
          <w:szCs w:val="32"/>
          <w:shd w:val="clear" w:color="auto" w:fill="FFFFFF"/>
          <w:lang w:val="en-US" w:eastAsia="zh-CN"/>
        </w:rPr>
        <w:t>本年度新购置公务车1辆</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rPr>
        <w:t> 公务车运行维护费</w:t>
      </w:r>
      <w:r>
        <w:rPr>
          <w:rFonts w:hint="default" w:ascii="Times New Roman" w:hAnsi="Times New Roman" w:eastAsia="方正仿宋_GBK" w:cs="Times New Roman"/>
          <w:b w:val="0"/>
          <w:bCs w:val="0"/>
          <w:color w:val="auto"/>
          <w:sz w:val="32"/>
          <w:szCs w:val="32"/>
        </w:rPr>
        <w:t>13.58</w:t>
      </w:r>
      <w:r>
        <w:rPr>
          <w:rFonts w:hint="default" w:ascii="Times New Roman" w:hAnsi="Times New Roman" w:eastAsia="方正仿宋_GBK" w:cs="Times New Roman"/>
          <w:b w:val="0"/>
          <w:bCs w:val="0"/>
          <w:color w:val="auto"/>
          <w:sz w:val="32"/>
          <w:szCs w:val="32"/>
          <w:shd w:val="clear" w:color="auto" w:fill="FFFFFF"/>
        </w:rPr>
        <w:t>万元，主要用于</w:t>
      </w:r>
      <w:r>
        <w:rPr>
          <w:rFonts w:hint="default" w:ascii="Times New Roman" w:hAnsi="Times New Roman" w:eastAsia="方正仿宋_GBK" w:cs="Times New Roman"/>
          <w:b w:val="0"/>
          <w:bCs w:val="0"/>
          <w:color w:val="auto"/>
          <w:sz w:val="32"/>
          <w:szCs w:val="32"/>
          <w:shd w:val="clear" w:color="auto" w:fill="FFFFFF"/>
          <w:lang w:val="en-US" w:eastAsia="zh-CN"/>
        </w:rPr>
        <w:t>机要文件交换、重大项目检查、考察调研等工作所需车辆的燃料费、维修费、过桥过路费、保险费等</w:t>
      </w:r>
      <w:r>
        <w:rPr>
          <w:rFonts w:hint="default" w:ascii="Times New Roman" w:hAnsi="Times New Roman" w:eastAsia="方正仿宋_GBK" w:cs="Times New Roman"/>
          <w:b w:val="0"/>
          <w:bCs w:val="0"/>
          <w:color w:val="auto"/>
          <w:sz w:val="32"/>
          <w:szCs w:val="32"/>
          <w:shd w:val="clear" w:color="auto" w:fill="FFFFFF"/>
        </w:rPr>
        <w:t>。费用支出较年初预算数减少6.42万元，下降32.1%，主要原因是</w:t>
      </w:r>
      <w:r>
        <w:rPr>
          <w:rFonts w:hint="default" w:ascii="Times New Roman" w:hAnsi="Times New Roman" w:eastAsia="方正仿宋_GBK" w:cs="Times New Roman"/>
          <w:b w:val="0"/>
          <w:bCs w:val="0"/>
          <w:color w:val="auto"/>
          <w:sz w:val="32"/>
          <w:szCs w:val="32"/>
          <w:shd w:val="clear" w:color="auto" w:fill="FFFFFF"/>
          <w:lang w:val="en-US" w:eastAsia="zh-CN"/>
        </w:rPr>
        <w:t>持续加强公务用车管理，严控公务车运行维护成本</w:t>
      </w:r>
      <w:r>
        <w:rPr>
          <w:rFonts w:hint="default" w:ascii="Times New Roman" w:hAnsi="Times New Roman" w:eastAsia="方正仿宋_GBK" w:cs="Times New Roman"/>
          <w:b w:val="0"/>
          <w:bCs w:val="0"/>
          <w:color w:val="auto"/>
          <w:sz w:val="32"/>
          <w:szCs w:val="32"/>
          <w:shd w:val="clear" w:color="auto" w:fill="FFFFFF"/>
        </w:rPr>
        <w:t>。较上年支出数增加5.35万元，增长65.0%，主要原因</w:t>
      </w:r>
      <w:r>
        <w:rPr>
          <w:rFonts w:hint="default" w:ascii="Times New Roman" w:hAnsi="Times New Roman" w:eastAsia="方正仿宋_GBK" w:cs="Times New Roman"/>
          <w:b w:val="0"/>
          <w:bCs w:val="0"/>
          <w:color w:val="auto"/>
          <w:sz w:val="32"/>
          <w:szCs w:val="32"/>
          <w:shd w:val="clear" w:color="auto" w:fill="FFFFFF"/>
          <w:lang w:val="en-US" w:eastAsia="zh-CN"/>
        </w:rPr>
        <w:t>是机构改革职能及业务范围增加，新划入</w:t>
      </w:r>
      <w:r>
        <w:rPr>
          <w:rFonts w:hint="eastAsia" w:ascii="Times New Roman" w:hAnsi="Times New Roman" w:eastAsia="方正仿宋_GBK" w:cs="Times New Roman"/>
          <w:b w:val="0"/>
          <w:bCs w:val="0"/>
          <w:color w:val="auto"/>
          <w:sz w:val="32"/>
          <w:szCs w:val="32"/>
          <w:shd w:val="clear" w:color="auto" w:fill="FFFFFF"/>
          <w:lang w:val="en-US" w:eastAsia="zh-CN"/>
        </w:rPr>
        <w:t>2</w:t>
      </w:r>
      <w:r>
        <w:rPr>
          <w:rFonts w:hint="default" w:ascii="Times New Roman" w:hAnsi="Times New Roman" w:eastAsia="方正仿宋_GBK" w:cs="Times New Roman"/>
          <w:b w:val="0"/>
          <w:bCs w:val="0"/>
          <w:color w:val="auto"/>
          <w:sz w:val="32"/>
          <w:szCs w:val="32"/>
          <w:shd w:val="clear" w:color="auto" w:fill="FFFFFF"/>
          <w:lang w:val="en-US" w:eastAsia="zh-CN"/>
        </w:rPr>
        <w:t>辆特种专业技术用车，支出相应增加。</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公务接待费</w:t>
      </w:r>
      <w:r>
        <w:rPr>
          <w:rFonts w:hint="default" w:ascii="Times New Roman" w:hAnsi="Times New Roman" w:eastAsia="方正仿宋_GBK" w:cs="Times New Roman"/>
          <w:b w:val="0"/>
          <w:bCs w:val="0"/>
          <w:color w:val="auto"/>
          <w:sz w:val="32"/>
          <w:szCs w:val="32"/>
        </w:rPr>
        <w:t>4.94</w:t>
      </w:r>
      <w:r>
        <w:rPr>
          <w:rFonts w:hint="default" w:ascii="Times New Roman" w:hAnsi="Times New Roman" w:eastAsia="方正仿宋_GBK" w:cs="Times New Roman"/>
          <w:b w:val="0"/>
          <w:bCs w:val="0"/>
          <w:color w:val="auto"/>
          <w:sz w:val="32"/>
          <w:szCs w:val="32"/>
          <w:shd w:val="clear" w:color="auto" w:fill="FFFFFF"/>
        </w:rPr>
        <w:t>万元，主要用于接待</w:t>
      </w:r>
      <w:r>
        <w:rPr>
          <w:rFonts w:hint="default" w:ascii="Times New Roman" w:hAnsi="Times New Roman" w:eastAsia="方正仿宋_GBK" w:cs="Times New Roman"/>
          <w:b w:val="0"/>
          <w:bCs w:val="0"/>
          <w:color w:val="auto"/>
          <w:sz w:val="32"/>
          <w:szCs w:val="32"/>
          <w:shd w:val="clear" w:color="auto" w:fill="FFFFFF"/>
          <w:lang w:val="en-US" w:eastAsia="zh-CN"/>
        </w:rPr>
        <w:t>上级相关部门检查指导工作、其他区县发改部门、单位到我单位</w:t>
      </w:r>
      <w:r>
        <w:rPr>
          <w:rFonts w:hint="eastAsia" w:ascii="Times New Roman" w:hAnsi="Times New Roman" w:eastAsia="方正仿宋_GBK" w:cs="Times New Roman"/>
          <w:b w:val="0"/>
          <w:bCs w:val="0"/>
          <w:color w:val="auto"/>
          <w:sz w:val="32"/>
          <w:szCs w:val="32"/>
          <w:shd w:val="clear" w:color="auto" w:fill="FFFFFF"/>
          <w:lang w:val="en-US" w:eastAsia="zh-CN"/>
        </w:rPr>
        <w:t>交流</w:t>
      </w:r>
      <w:r>
        <w:rPr>
          <w:rFonts w:hint="default" w:ascii="Times New Roman" w:hAnsi="Times New Roman" w:eastAsia="方正仿宋_GBK" w:cs="Times New Roman"/>
          <w:b w:val="0"/>
          <w:bCs w:val="0"/>
          <w:color w:val="auto"/>
          <w:sz w:val="32"/>
          <w:szCs w:val="32"/>
          <w:shd w:val="clear" w:color="auto" w:fill="FFFFFF"/>
          <w:lang w:val="en-US" w:eastAsia="zh-CN"/>
        </w:rPr>
        <w:t>调研及招商引资等工作</w:t>
      </w:r>
      <w:r>
        <w:rPr>
          <w:rFonts w:hint="default" w:ascii="Times New Roman" w:hAnsi="Times New Roman" w:eastAsia="方正仿宋_GBK" w:cs="Times New Roman"/>
          <w:b w:val="0"/>
          <w:bCs w:val="0"/>
          <w:color w:val="auto"/>
          <w:sz w:val="32"/>
          <w:szCs w:val="32"/>
          <w:shd w:val="clear" w:color="auto" w:fill="FFFFFF"/>
        </w:rPr>
        <w:t>。费用支出较年初预算数减少2.56万元，下降34.1%，主要原因是</w:t>
      </w:r>
      <w:r>
        <w:rPr>
          <w:rFonts w:hint="default" w:ascii="Times New Roman" w:hAnsi="Times New Roman" w:eastAsia="方正仿宋_GBK" w:cs="Times New Roman"/>
          <w:b w:val="0"/>
          <w:bCs w:val="0"/>
          <w:color w:val="auto"/>
          <w:sz w:val="32"/>
          <w:szCs w:val="32"/>
          <w:shd w:val="clear" w:color="auto" w:fill="FFFFFF"/>
          <w:lang w:val="en-US" w:eastAsia="zh-CN"/>
        </w:rPr>
        <w:t>落实过紧日子要求，严格遵守公务接待开支范围和标准</w:t>
      </w:r>
      <w:r>
        <w:rPr>
          <w:rFonts w:hint="default" w:ascii="Times New Roman" w:hAnsi="Times New Roman" w:eastAsia="方正仿宋_GBK" w:cs="Times New Roman"/>
          <w:b w:val="0"/>
          <w:bCs w:val="0"/>
          <w:color w:val="auto"/>
          <w:sz w:val="32"/>
          <w:szCs w:val="32"/>
          <w:shd w:val="clear" w:color="auto" w:fill="FFFFFF"/>
        </w:rPr>
        <w:t>。较上年支出数增加2.74万元，增长124.</w:t>
      </w:r>
      <w:r>
        <w:rPr>
          <w:rFonts w:hint="eastAsia"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疫情常态化后公务交流活动较上年增多，来访批次人次增加。</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2023年度本单位因公出国（境）共计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个团组，</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人；公务用车购置</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辆，公务车保有量为</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shd w:val="clear" w:color="auto" w:fill="FFFFFF"/>
        </w:rPr>
        <w:t>辆；国内公务接待</w:t>
      </w:r>
      <w:r>
        <w:rPr>
          <w:rFonts w:hint="default" w:ascii="Times New Roman" w:hAnsi="Times New Roman" w:eastAsia="方正仿宋_GBK" w:cs="Times New Roman"/>
          <w:b w:val="0"/>
          <w:bCs w:val="0"/>
          <w:color w:val="auto"/>
          <w:sz w:val="32"/>
          <w:szCs w:val="32"/>
        </w:rPr>
        <w:t>35</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522</w:t>
      </w:r>
      <w:r>
        <w:rPr>
          <w:rFonts w:hint="default" w:ascii="Times New Roman" w:hAnsi="Times New Roman" w:eastAsia="方正仿宋_GBK" w:cs="Times New Roman"/>
          <w:b w:val="0"/>
          <w:bCs w:val="0"/>
          <w:color w:val="auto"/>
          <w:sz w:val="32"/>
          <w:szCs w:val="32"/>
          <w:shd w:val="clear" w:color="auto" w:fill="FFFFFF"/>
        </w:rPr>
        <w:t>人，其中：国内外事接待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人；国（境）外公务接待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人。2023年本单位人均接待费</w:t>
      </w:r>
      <w:r>
        <w:rPr>
          <w:rFonts w:hint="default" w:ascii="Times New Roman" w:hAnsi="Times New Roman" w:eastAsia="方正仿宋_GBK" w:cs="Times New Roman"/>
          <w:b w:val="0"/>
          <w:bCs w:val="0"/>
          <w:color w:val="auto"/>
          <w:sz w:val="32"/>
          <w:szCs w:val="32"/>
        </w:rPr>
        <w:t>94.58</w:t>
      </w:r>
      <w:r>
        <w:rPr>
          <w:rFonts w:hint="default" w:ascii="Times New Roman" w:hAnsi="Times New Roman" w:eastAsia="方正仿宋_GBK" w:cs="Times New Roman"/>
          <w:b w:val="0"/>
          <w:bCs w:val="0"/>
          <w:color w:val="auto"/>
          <w:sz w:val="32"/>
          <w:szCs w:val="32"/>
          <w:shd w:val="clear" w:color="auto" w:fill="FFFFFF"/>
        </w:rPr>
        <w:t>元，车均购置费</w:t>
      </w:r>
      <w:r>
        <w:rPr>
          <w:rFonts w:hint="default" w:ascii="Times New Roman" w:hAnsi="Times New Roman" w:eastAsia="方正仿宋_GBK" w:cs="Times New Roman"/>
          <w:b w:val="0"/>
          <w:bCs w:val="0"/>
          <w:color w:val="auto"/>
          <w:sz w:val="32"/>
          <w:szCs w:val="32"/>
        </w:rPr>
        <w:t>16.23</w:t>
      </w:r>
      <w:r>
        <w:rPr>
          <w:rFonts w:hint="default" w:ascii="Times New Roman" w:hAnsi="Times New Roman" w:eastAsia="方正仿宋_GBK" w:cs="Times New Roman"/>
          <w:b w:val="0"/>
          <w:bCs w:val="0"/>
          <w:color w:val="auto"/>
          <w:sz w:val="32"/>
          <w:szCs w:val="32"/>
          <w:shd w:val="clear" w:color="auto" w:fill="FFFFFF"/>
        </w:rPr>
        <w:t>万元，车均维护费</w:t>
      </w:r>
      <w:r>
        <w:rPr>
          <w:rFonts w:hint="eastAsia" w:ascii="Times New Roman" w:hAnsi="Times New Roman" w:eastAsia="方正仿宋_GBK" w:cs="Times New Roman"/>
          <w:b w:val="0"/>
          <w:bCs w:val="0"/>
          <w:color w:val="auto"/>
          <w:sz w:val="32"/>
          <w:szCs w:val="32"/>
          <w:lang w:val="en-US" w:eastAsia="zh-CN"/>
        </w:rPr>
        <w:t>2.72</w:t>
      </w:r>
      <w:r>
        <w:rPr>
          <w:rFonts w:hint="default" w:ascii="Times New Roman" w:hAnsi="Times New Roman" w:eastAsia="方正仿宋_GBK" w:cs="Times New Roman"/>
          <w:b w:val="0"/>
          <w:bCs w:val="0"/>
          <w:color w:val="auto"/>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val="0"/>
          <w:color w:val="auto"/>
          <w:sz w:val="32"/>
          <w:szCs w:val="32"/>
          <w:shd w:val="clear" w:color="auto" w:fill="FFFFFF"/>
        </w:rPr>
      </w:pPr>
      <w:r>
        <w:rPr>
          <w:rStyle w:val="10"/>
          <w:rFonts w:hint="default" w:ascii="Times New Roman" w:hAnsi="Times New Roman" w:eastAsia="方正黑体_GBK" w:cs="Times New Roman"/>
          <w:b w:val="0"/>
          <w:bCs w:val="0"/>
          <w:color w:val="auto"/>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  （一）财政拨款会议费和培训费情况说明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sz w:val="32"/>
          <w:szCs w:val="32"/>
          <w:shd w:val="clear" w:color="auto" w:fill="FFFFFF"/>
        </w:rPr>
        <w:t>  本年度会议费支出</w:t>
      </w:r>
      <w:r>
        <w:rPr>
          <w:rFonts w:hint="default" w:ascii="Times New Roman" w:hAnsi="Times New Roman" w:eastAsia="方正仿宋_GBK" w:cs="Times New Roman"/>
          <w:b w:val="0"/>
          <w:bCs w:val="0"/>
          <w:color w:val="auto"/>
          <w:sz w:val="32"/>
          <w:szCs w:val="32"/>
        </w:rPr>
        <w:t>3.4</w:t>
      </w:r>
      <w:r>
        <w:rPr>
          <w:rFonts w:hint="default" w:ascii="Times New Roman" w:hAnsi="Times New Roman" w:eastAsia="方正仿宋_GBK" w:cs="Times New Roman"/>
          <w:b w:val="0"/>
          <w:bCs w:val="0"/>
          <w:color w:val="auto"/>
          <w:sz w:val="32"/>
          <w:szCs w:val="32"/>
          <w:shd w:val="clear" w:color="auto" w:fill="FFFFFF"/>
        </w:rPr>
        <w:t>万元，较上年决算数增加3.2万元，增长1600.0%，主要原因</w:t>
      </w:r>
      <w:r>
        <w:rPr>
          <w:rFonts w:hint="default" w:ascii="Times New Roman" w:hAnsi="Times New Roman" w:eastAsia="方正仿宋_GBK" w:cs="Times New Roman"/>
          <w:b w:val="0"/>
          <w:bCs w:val="0"/>
          <w:color w:val="auto"/>
          <w:sz w:val="32"/>
          <w:szCs w:val="32"/>
          <w:shd w:val="clear" w:color="auto" w:fill="FFFFFF"/>
          <w:lang w:val="en-US" w:eastAsia="zh-CN"/>
        </w:rPr>
        <w:t>一</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较上年相比会议活动恢复常态，二是职能职责及业务范围增加，会议活动频次总体增加</w:t>
      </w:r>
      <w:r>
        <w:rPr>
          <w:rFonts w:hint="default" w:ascii="Times New Roman" w:hAnsi="Times New Roman" w:eastAsia="方正仿宋_GBK" w:cs="Times New Roman"/>
          <w:b w:val="0"/>
          <w:bCs w:val="0"/>
          <w:color w:val="auto"/>
          <w:sz w:val="32"/>
          <w:szCs w:val="32"/>
          <w:shd w:val="clear" w:color="auto" w:fill="FFFFFF"/>
        </w:rPr>
        <w:t>。本年度培训费支出</w:t>
      </w:r>
      <w:r>
        <w:rPr>
          <w:rFonts w:hint="default" w:ascii="Times New Roman" w:hAnsi="Times New Roman" w:eastAsia="方正仿宋_GBK" w:cs="Times New Roman"/>
          <w:b w:val="0"/>
          <w:bCs w:val="0"/>
          <w:color w:val="auto"/>
          <w:sz w:val="32"/>
          <w:szCs w:val="32"/>
        </w:rPr>
        <w:t>55.54</w:t>
      </w:r>
      <w:r>
        <w:rPr>
          <w:rFonts w:hint="default" w:ascii="Times New Roman" w:hAnsi="Times New Roman" w:eastAsia="方正仿宋_GBK" w:cs="Times New Roman"/>
          <w:b w:val="0"/>
          <w:bCs w:val="0"/>
          <w:color w:val="auto"/>
          <w:sz w:val="32"/>
          <w:szCs w:val="32"/>
          <w:shd w:val="clear" w:color="auto" w:fill="FFFFFF"/>
        </w:rPr>
        <w:t>万元，较上年决算数增加55.35万元，增长29131.</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%，主要原因是</w:t>
      </w:r>
      <w:r>
        <w:rPr>
          <w:rFonts w:hint="eastAsia" w:ascii="Times New Roman" w:hAnsi="Times New Roman" w:eastAsia="方正仿宋_GBK" w:cs="Times New Roman"/>
          <w:b w:val="0"/>
          <w:bCs w:val="0"/>
          <w:color w:val="auto"/>
          <w:sz w:val="32"/>
          <w:szCs w:val="32"/>
          <w:shd w:val="clear" w:color="auto" w:fill="FFFFFF"/>
          <w:lang w:val="en-US" w:eastAsia="zh-CN"/>
        </w:rPr>
        <w:t>国防动员等机构划转</w:t>
      </w:r>
      <w:r>
        <w:rPr>
          <w:rFonts w:hint="default" w:ascii="Times New Roman" w:hAnsi="Times New Roman" w:eastAsia="方正仿宋_GBK" w:cs="Times New Roman"/>
          <w:b w:val="0"/>
          <w:bCs w:val="0"/>
          <w:color w:val="auto"/>
          <w:sz w:val="32"/>
          <w:szCs w:val="32"/>
          <w:shd w:val="clear" w:color="auto" w:fill="FFFFFF"/>
          <w:lang w:val="en-US" w:eastAsia="zh-CN"/>
        </w:rPr>
        <w:t>职责业务增加，</w:t>
      </w:r>
      <w:r>
        <w:rPr>
          <w:rFonts w:hint="eastAsia" w:ascii="Times New Roman" w:hAnsi="Times New Roman" w:eastAsia="方正仿宋_GBK" w:cs="Times New Roman"/>
          <w:b w:val="0"/>
          <w:bCs w:val="0"/>
          <w:color w:val="auto"/>
          <w:sz w:val="32"/>
          <w:szCs w:val="32"/>
          <w:shd w:val="clear" w:color="auto" w:fill="FFFFFF"/>
          <w:lang w:val="en-US" w:eastAsia="zh-CN"/>
        </w:rPr>
        <w:t>日常、专项及综合培训演练活动开展较多。</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2023年度本单位机关运行经费支出</w:t>
      </w:r>
      <w:r>
        <w:rPr>
          <w:rFonts w:hint="default" w:ascii="Times New Roman" w:hAnsi="Times New Roman" w:eastAsia="方正仿宋_GBK" w:cs="Times New Roman"/>
          <w:b w:val="0"/>
          <w:bCs w:val="0"/>
          <w:color w:val="auto"/>
          <w:sz w:val="32"/>
          <w:szCs w:val="32"/>
        </w:rPr>
        <w:t>238.39</w:t>
      </w:r>
      <w:r>
        <w:rPr>
          <w:rFonts w:hint="default" w:ascii="Times New Roman" w:hAnsi="Times New Roman" w:eastAsia="方正仿宋_GBK" w:cs="Times New Roman"/>
          <w:b w:val="0"/>
          <w:bCs w:val="0"/>
          <w:color w:val="auto"/>
          <w:sz w:val="32"/>
          <w:szCs w:val="32"/>
          <w:shd w:val="clear" w:color="auto" w:fill="FFFFFF"/>
        </w:rPr>
        <w:t>万元，机关运行经费主要用于开支</w:t>
      </w:r>
      <w:r>
        <w:rPr>
          <w:rFonts w:hint="default" w:ascii="Times New Roman" w:hAnsi="Times New Roman" w:eastAsia="方正仿宋_GBK" w:cs="Times New Roman"/>
          <w:b w:val="0"/>
          <w:bCs w:val="0"/>
          <w:color w:val="auto"/>
          <w:sz w:val="32"/>
          <w:szCs w:val="32"/>
          <w:shd w:val="clear" w:color="auto" w:fill="FFFFFF"/>
          <w:lang w:val="en-US" w:eastAsia="zh-CN"/>
        </w:rPr>
        <w:t>办公费、印刷费、水电费、邮电费、差旅费、劳务费、委托业务费、公车运行维护费及设备购置更新等正常运转的费用</w:t>
      </w:r>
      <w:r>
        <w:rPr>
          <w:rFonts w:hint="default" w:ascii="Times New Roman" w:hAnsi="Times New Roman" w:eastAsia="方正仿宋_GBK" w:cs="Times New Roman"/>
          <w:b w:val="0"/>
          <w:bCs w:val="0"/>
          <w:color w:val="auto"/>
          <w:sz w:val="32"/>
          <w:szCs w:val="32"/>
          <w:shd w:val="clear" w:color="auto" w:fill="FFFFFF"/>
        </w:rPr>
        <w:t>。机关运行经费较上年支出数增加46.59万元，增长24.</w:t>
      </w:r>
      <w:r>
        <w:rPr>
          <w:rFonts w:hint="eastAsia" w:ascii="Times New Roman" w:hAnsi="Times New Roman" w:eastAsia="方正仿宋_GBK" w:cs="Times New Roman"/>
          <w:b w:val="0"/>
          <w:bCs w:val="0"/>
          <w:color w:val="auto"/>
          <w:sz w:val="32"/>
          <w:szCs w:val="32"/>
          <w:shd w:val="clear" w:color="auto" w:fill="FFFFFF"/>
          <w:lang w:val="en-US" w:eastAsia="zh-CN"/>
        </w:rPr>
        <w:t>3</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机构和人员划转，日常运行成本总体增加</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截至2023年12月31日，本单位共有车辆</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shd w:val="clear" w:color="auto" w:fill="FFFFFF"/>
        </w:rPr>
        <w:t>辆，其中，机要通信用车</w:t>
      </w:r>
      <w:r>
        <w:rPr>
          <w:rFonts w:hint="eastAsia"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shd w:val="clear" w:color="auto" w:fill="FFFFFF"/>
        </w:rPr>
        <w:t>辆、应急保障用车</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辆、特种专业技术用车</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shd w:val="clear" w:color="auto" w:fill="FFFFFF"/>
        </w:rPr>
        <w:t>辆。</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rPr>
        <w:t>  2023年度本单位政府采购支出总额</w:t>
      </w:r>
      <w:r>
        <w:rPr>
          <w:rFonts w:hint="default" w:ascii="Times New Roman" w:hAnsi="Times New Roman" w:eastAsia="方正仿宋_GBK" w:cs="Times New Roman"/>
          <w:b w:val="0"/>
          <w:bCs w:val="0"/>
          <w:color w:val="auto"/>
          <w:sz w:val="32"/>
          <w:szCs w:val="32"/>
        </w:rPr>
        <w:t>2.7</w:t>
      </w:r>
      <w:r>
        <w:rPr>
          <w:rFonts w:hint="default" w:ascii="Times New Roman" w:hAnsi="Times New Roman" w:eastAsia="方正仿宋_GBK" w:cs="Times New Roman"/>
          <w:b w:val="0"/>
          <w:bCs w:val="0"/>
          <w:color w:val="auto"/>
          <w:sz w:val="32"/>
          <w:szCs w:val="32"/>
          <w:shd w:val="clear" w:color="auto" w:fill="FFFFFF"/>
        </w:rPr>
        <w:t>万元，其中：政府采购货物支出</w:t>
      </w:r>
      <w:r>
        <w:rPr>
          <w:rFonts w:hint="default" w:ascii="Times New Roman" w:hAnsi="Times New Roman" w:eastAsia="方正仿宋_GBK" w:cs="Times New Roman"/>
          <w:b w:val="0"/>
          <w:bCs w:val="0"/>
          <w:color w:val="auto"/>
          <w:sz w:val="32"/>
          <w:szCs w:val="32"/>
        </w:rPr>
        <w:t>2.7</w:t>
      </w:r>
      <w:r>
        <w:rPr>
          <w:rFonts w:hint="default" w:ascii="Times New Roman" w:hAnsi="Times New Roman" w:eastAsia="方正仿宋_GBK" w:cs="Times New Roman"/>
          <w:b w:val="0"/>
          <w:bCs w:val="0"/>
          <w:color w:val="auto"/>
          <w:sz w:val="32"/>
          <w:szCs w:val="32"/>
          <w:shd w:val="clear" w:color="auto" w:fill="FFFFFF"/>
        </w:rPr>
        <w:t>万元、授予中小企业合同金额</w:t>
      </w:r>
      <w:r>
        <w:rPr>
          <w:rFonts w:hint="default" w:ascii="Times New Roman" w:hAnsi="Times New Roman" w:eastAsia="方正仿宋_GBK" w:cs="Times New Roman"/>
          <w:b w:val="0"/>
          <w:bCs w:val="0"/>
          <w:color w:val="auto"/>
          <w:sz w:val="32"/>
          <w:szCs w:val="32"/>
        </w:rPr>
        <w:t>2.7万</w:t>
      </w:r>
      <w:r>
        <w:rPr>
          <w:rFonts w:hint="default" w:ascii="Times New Roman" w:hAnsi="Times New Roman" w:eastAsia="方正仿宋_GBK" w:cs="Times New Roman"/>
          <w:b w:val="0"/>
          <w:bCs w:val="0"/>
          <w:color w:val="auto"/>
          <w:sz w:val="32"/>
          <w:szCs w:val="32"/>
          <w:shd w:val="clear" w:color="auto" w:fill="FFFFFF"/>
        </w:rPr>
        <w:t>元，占政府采购支出总额的</w:t>
      </w:r>
      <w:r>
        <w:rPr>
          <w:rFonts w:hint="default" w:ascii="Times New Roman" w:hAnsi="Times New Roman" w:eastAsia="方正仿宋_GBK" w:cs="Times New Roman"/>
          <w:b w:val="0"/>
          <w:bCs w:val="0"/>
          <w:color w:val="auto"/>
          <w:sz w:val="32"/>
          <w:szCs w:val="32"/>
        </w:rPr>
        <w:t>100.0</w:t>
      </w:r>
      <w:r>
        <w:rPr>
          <w:rFonts w:hint="default" w:ascii="Times New Roman" w:hAnsi="Times New Roman" w:eastAsia="方正仿宋_GBK" w:cs="Times New Roman"/>
          <w:b w:val="0"/>
          <w:bCs w:val="0"/>
          <w:color w:val="auto"/>
          <w:sz w:val="32"/>
          <w:szCs w:val="32"/>
          <w:shd w:val="clear" w:color="auto" w:fill="FFFFFF"/>
        </w:rPr>
        <w:t>%，其中：授予小微企业合同金额</w:t>
      </w:r>
      <w:r>
        <w:rPr>
          <w:rFonts w:hint="default" w:ascii="Times New Roman" w:hAnsi="Times New Roman" w:eastAsia="方正仿宋_GBK" w:cs="Times New Roman"/>
          <w:b w:val="0"/>
          <w:bCs w:val="0"/>
          <w:color w:val="auto"/>
          <w:sz w:val="32"/>
          <w:szCs w:val="32"/>
        </w:rPr>
        <w:t>2.7</w:t>
      </w:r>
      <w:r>
        <w:rPr>
          <w:rFonts w:hint="default" w:ascii="Times New Roman" w:hAnsi="Times New Roman" w:eastAsia="方正仿宋_GBK" w:cs="Times New Roman"/>
          <w:b w:val="0"/>
          <w:bCs w:val="0"/>
          <w:color w:val="auto"/>
          <w:sz w:val="32"/>
          <w:szCs w:val="32"/>
          <w:shd w:val="clear" w:color="auto" w:fill="FFFFFF"/>
        </w:rPr>
        <w:t>万元，占政府采购支出总额的</w:t>
      </w:r>
      <w:r>
        <w:rPr>
          <w:rFonts w:hint="default" w:ascii="Times New Roman" w:hAnsi="Times New Roman" w:eastAsia="方正仿宋_GBK" w:cs="Times New Roman"/>
          <w:b w:val="0"/>
          <w:bCs w:val="0"/>
          <w:color w:val="auto"/>
          <w:sz w:val="32"/>
          <w:szCs w:val="32"/>
        </w:rPr>
        <w:t>100.0</w:t>
      </w:r>
      <w:r>
        <w:rPr>
          <w:rFonts w:hint="default" w:ascii="Times New Roman" w:hAnsi="Times New Roman" w:eastAsia="方正仿宋_GBK" w:cs="Times New Roman"/>
          <w:b w:val="0"/>
          <w:bCs w:val="0"/>
          <w:color w:val="auto"/>
          <w:sz w:val="32"/>
          <w:szCs w:val="32"/>
          <w:shd w:val="clear" w:color="auto" w:fill="FFFFFF"/>
        </w:rPr>
        <w:t xml:space="preserve"> %。主要用于采购</w:t>
      </w:r>
      <w:r>
        <w:rPr>
          <w:rFonts w:hint="default" w:ascii="Times New Roman" w:hAnsi="Times New Roman" w:eastAsia="方正仿宋_GBK" w:cs="Times New Roman"/>
          <w:b w:val="0"/>
          <w:bCs w:val="0"/>
          <w:color w:val="auto"/>
          <w:sz w:val="32"/>
          <w:szCs w:val="32"/>
          <w:shd w:val="clear" w:color="auto" w:fill="FFFFFF"/>
          <w:lang w:val="en-US" w:eastAsia="zh-CN"/>
        </w:rPr>
        <w:t>办公设备。</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val="0"/>
          <w:color w:val="auto"/>
          <w:sz w:val="32"/>
          <w:szCs w:val="32"/>
          <w:shd w:val="clear" w:color="auto" w:fill="FFFFFF"/>
        </w:rPr>
      </w:pPr>
      <w:r>
        <w:rPr>
          <w:rStyle w:val="10"/>
          <w:rFonts w:hint="default" w:ascii="Times New Roman" w:hAnsi="Times New Roman" w:eastAsia="方正黑体_GBK" w:cs="Times New Roman"/>
          <w:b w:val="0"/>
          <w:bCs w:val="0"/>
          <w:color w:val="auto"/>
          <w:sz w:val="32"/>
          <w:szCs w:val="32"/>
          <w:shd w:val="clear" w:color="auto" w:fill="FFFFFF"/>
          <w:lang w:val="en-US" w:eastAsia="zh-CN"/>
        </w:rPr>
        <w:t>五、</w:t>
      </w:r>
      <w:r>
        <w:rPr>
          <w:rStyle w:val="10"/>
          <w:rFonts w:hint="default" w:ascii="Times New Roman" w:hAnsi="Times New Roman" w:eastAsia="方正黑体_GBK" w:cs="Times New Roman"/>
          <w:b w:val="0"/>
          <w:bCs w:val="0"/>
          <w:color w:val="auto"/>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（一）单位自评情况</w:t>
      </w:r>
    </w:p>
    <w:p>
      <w:pPr>
        <w:pStyle w:val="16"/>
        <w:keepNext w:val="0"/>
        <w:keepLines w:val="0"/>
        <w:pageBreakBefore w:val="0"/>
        <w:tabs>
          <w:tab w:val="center" w:pos="4153"/>
          <w:tab w:val="left" w:pos="7275"/>
        </w:tabs>
        <w:kinsoku/>
        <w:wordWrap/>
        <w:overflowPunct/>
        <w:topLinePunct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eastAsia="zh-CN"/>
        </w:rPr>
        <w:t>根据预算绩效管理要求，我单位对</w:t>
      </w:r>
      <w:r>
        <w:rPr>
          <w:rFonts w:hint="default" w:ascii="Times New Roman" w:hAnsi="Times New Roman"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rPr>
        <w:t>个</w:t>
      </w:r>
      <w:r>
        <w:rPr>
          <w:rFonts w:hint="default" w:ascii="Times New Roman" w:hAnsi="Times New Roman" w:eastAsia="方正仿宋_GBK" w:cs="Times New Roman"/>
          <w:b w:val="0"/>
          <w:bCs w:val="0"/>
          <w:color w:val="auto"/>
          <w:kern w:val="0"/>
          <w:sz w:val="32"/>
          <w:szCs w:val="32"/>
          <w:lang w:eastAsia="zh-CN"/>
        </w:rPr>
        <w:t>重点专项</w:t>
      </w:r>
      <w:r>
        <w:rPr>
          <w:rFonts w:hint="default" w:ascii="Times New Roman" w:hAnsi="Times New Roman" w:eastAsia="方正仿宋_GBK" w:cs="Times New Roman"/>
          <w:b w:val="0"/>
          <w:bCs w:val="0"/>
          <w:color w:val="auto"/>
          <w:kern w:val="0"/>
          <w:sz w:val="32"/>
          <w:szCs w:val="32"/>
        </w:rPr>
        <w:t>项目</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lang w:val="en-US" w:eastAsia="zh-CN"/>
        </w:rPr>
        <w:t>18个一般性项目开展了绩效自评，涉及财政拨款项目支出3587.41万元。</w:t>
      </w:r>
    </w:p>
    <w:p>
      <w:pPr>
        <w:pStyle w:val="16"/>
        <w:keepNext w:val="0"/>
        <w:keepLines w:val="0"/>
        <w:pageBreakBefore w:val="0"/>
        <w:tabs>
          <w:tab w:val="center" w:pos="4153"/>
          <w:tab w:val="left" w:pos="7275"/>
        </w:tabs>
        <w:kinsoku/>
        <w:wordWrap/>
        <w:overflowPunct/>
        <w:topLinePunct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楷体_GBK" w:cs="Times New Roman"/>
          <w:b w:val="0"/>
          <w:bCs w:val="0"/>
          <w:color w:val="auto"/>
          <w:kern w:val="0"/>
          <w:sz w:val="32"/>
          <w:szCs w:val="32"/>
          <w:lang w:eastAsia="zh-CN"/>
        </w:rPr>
        <w:sectPr>
          <w:footerReference r:id="rId3" w:type="default"/>
          <w:pgSz w:w="11915" w:h="16840"/>
          <w:pgMar w:top="2098" w:right="1531" w:bottom="1984" w:left="1531" w:header="851" w:footer="992" w:gutter="0"/>
          <w:pgNumType w:fmt="decimal"/>
          <w:cols w:space="720" w:num="1"/>
          <w:docGrid w:type="lines" w:linePitch="312" w:charSpace="0"/>
        </w:sectPr>
      </w:pPr>
      <w:r>
        <w:rPr>
          <w:rFonts w:hint="default" w:ascii="Times New Roman" w:hAnsi="Times New Roman" w:eastAsia="方正楷体_GBK" w:cs="Times New Roman"/>
          <w:b w:val="0"/>
          <w:bCs w:val="0"/>
          <w:color w:val="auto"/>
          <w:kern w:val="0"/>
          <w:sz w:val="32"/>
          <w:szCs w:val="32"/>
        </w:rPr>
        <w:t>（</w:t>
      </w:r>
      <w:r>
        <w:rPr>
          <w:rFonts w:hint="default" w:ascii="Times New Roman" w:hAnsi="Times New Roman" w:eastAsia="方正楷体_GBK" w:cs="Times New Roman"/>
          <w:b w:val="0"/>
          <w:bCs w:val="0"/>
          <w:color w:val="auto"/>
          <w:kern w:val="0"/>
          <w:sz w:val="32"/>
          <w:szCs w:val="32"/>
          <w:lang w:eastAsia="zh-CN"/>
        </w:rPr>
        <w:t>二</w:t>
      </w:r>
      <w:r>
        <w:rPr>
          <w:rFonts w:hint="default" w:ascii="Times New Roman" w:hAnsi="Times New Roman" w:eastAsia="方正楷体_GBK" w:cs="Times New Roman"/>
          <w:b w:val="0"/>
          <w:bCs w:val="0"/>
          <w:color w:val="auto"/>
          <w:kern w:val="0"/>
          <w:sz w:val="32"/>
          <w:szCs w:val="32"/>
        </w:rPr>
        <w:t>）</w:t>
      </w:r>
      <w:r>
        <w:rPr>
          <w:rFonts w:hint="default" w:ascii="Times New Roman" w:hAnsi="Times New Roman" w:eastAsia="方正楷体_GBK" w:cs="Times New Roman"/>
          <w:b w:val="0"/>
          <w:bCs w:val="0"/>
          <w:color w:val="auto"/>
          <w:kern w:val="0"/>
          <w:sz w:val="32"/>
          <w:szCs w:val="32"/>
          <w:lang w:eastAsia="zh-CN"/>
        </w:rPr>
        <w:t>绩效自评</w:t>
      </w:r>
    </w:p>
    <w:p>
      <w:pPr>
        <w:pStyle w:val="16"/>
        <w:tabs>
          <w:tab w:val="center" w:pos="4153"/>
          <w:tab w:val="left" w:pos="7275"/>
        </w:tabs>
        <w:spacing w:line="596" w:lineRule="exact"/>
        <w:ind w:left="0" w:leftChars="0" w:firstLine="0" w:firstLineChars="0"/>
        <w:jc w:val="both"/>
        <w:rPr>
          <w:rFonts w:hint="default" w:ascii="Times New Roman" w:hAnsi="Times New Roman" w:eastAsia="方正仿宋_GBK" w:cs="Times New Roman"/>
          <w:b w:val="0"/>
          <w:bCs w:val="0"/>
          <w:color w:val="auto"/>
          <w:kern w:val="0"/>
          <w:sz w:val="32"/>
          <w:szCs w:val="32"/>
        </w:rPr>
      </w:pPr>
    </w:p>
    <w:tbl>
      <w:tblPr>
        <w:tblStyle w:val="7"/>
        <w:tblW w:w="13704" w:type="dxa"/>
        <w:tblInd w:w="-470" w:type="dxa"/>
        <w:tblLayout w:type="fixed"/>
        <w:tblCellMar>
          <w:top w:w="0" w:type="dxa"/>
          <w:left w:w="108" w:type="dxa"/>
          <w:bottom w:w="0" w:type="dxa"/>
          <w:right w:w="108" w:type="dxa"/>
        </w:tblCellMar>
      </w:tblPr>
      <w:tblGrid>
        <w:gridCol w:w="732"/>
        <w:gridCol w:w="1248"/>
        <w:gridCol w:w="1992"/>
        <w:gridCol w:w="708"/>
        <w:gridCol w:w="900"/>
        <w:gridCol w:w="1104"/>
        <w:gridCol w:w="732"/>
        <w:gridCol w:w="1752"/>
        <w:gridCol w:w="1188"/>
        <w:gridCol w:w="1584"/>
        <w:gridCol w:w="1764"/>
      </w:tblGrid>
      <w:tr>
        <w:tblPrEx>
          <w:tblCellMar>
            <w:top w:w="0" w:type="dxa"/>
            <w:left w:w="108" w:type="dxa"/>
            <w:bottom w:w="0" w:type="dxa"/>
            <w:right w:w="108" w:type="dxa"/>
          </w:tblCellMar>
        </w:tblPrEx>
        <w:trPr>
          <w:trHeight w:val="780" w:hRule="atLeast"/>
        </w:trPr>
        <w:tc>
          <w:tcPr>
            <w:tcW w:w="13704" w:type="dxa"/>
            <w:gridSpan w:val="11"/>
            <w:tcBorders>
              <w:top w:val="nil"/>
              <w:left w:val="nil"/>
              <w:bottom w:val="single" w:color="000000" w:sz="4" w:space="0"/>
              <w:right w:val="nil"/>
            </w:tcBorders>
            <w:noWrap/>
            <w:vAlign w:val="center"/>
          </w:tcPr>
          <w:p>
            <w:pPr>
              <w:widowControl/>
              <w:jc w:val="center"/>
              <w:textAlignment w:val="center"/>
              <w:rPr>
                <w:rFonts w:hint="default" w:ascii="Times New Roman" w:hAnsi="Times New Roman" w:eastAsia="方正小标宋_GBK" w:cs="Times New Roman"/>
                <w:b w:val="0"/>
                <w:bCs w:val="0"/>
                <w:color w:val="auto"/>
                <w:sz w:val="36"/>
                <w:szCs w:val="36"/>
              </w:rPr>
            </w:pPr>
            <w:r>
              <w:rPr>
                <w:rFonts w:hint="eastAsia" w:ascii="Times New Roman" w:hAnsi="Times New Roman" w:eastAsia="方正小标宋_GBK" w:cs="Times New Roman"/>
                <w:b w:val="0"/>
                <w:bCs w:val="0"/>
                <w:color w:val="auto"/>
                <w:kern w:val="0"/>
                <w:sz w:val="32"/>
                <w:szCs w:val="32"/>
                <w:lang w:val="en-US" w:eastAsia="zh-CN" w:bidi="ar"/>
              </w:rPr>
              <w:t>重庆市万州区发展和改革委员会</w:t>
            </w:r>
            <w:r>
              <w:rPr>
                <w:rFonts w:hint="default" w:ascii="Times New Roman" w:hAnsi="Times New Roman" w:eastAsia="方正小标宋_GBK" w:cs="Times New Roman"/>
                <w:b w:val="0"/>
                <w:bCs w:val="0"/>
                <w:color w:val="auto"/>
                <w:kern w:val="0"/>
                <w:sz w:val="32"/>
                <w:szCs w:val="32"/>
                <w:lang w:bidi="ar"/>
              </w:rPr>
              <w:t>202</w:t>
            </w:r>
            <w:r>
              <w:rPr>
                <w:rFonts w:hint="default" w:ascii="Times New Roman" w:hAnsi="Times New Roman" w:eastAsia="方正小标宋_GBK" w:cs="Times New Roman"/>
                <w:b w:val="0"/>
                <w:bCs w:val="0"/>
                <w:color w:val="auto"/>
                <w:kern w:val="0"/>
                <w:sz w:val="32"/>
                <w:szCs w:val="32"/>
                <w:lang w:val="en-US" w:eastAsia="zh-CN" w:bidi="ar"/>
              </w:rPr>
              <w:t>3</w:t>
            </w:r>
            <w:r>
              <w:rPr>
                <w:rFonts w:hint="default" w:ascii="Times New Roman" w:hAnsi="Times New Roman" w:eastAsia="方正小标宋_GBK" w:cs="Times New Roman"/>
                <w:b w:val="0"/>
                <w:bCs w:val="0"/>
                <w:color w:val="auto"/>
                <w:kern w:val="0"/>
                <w:sz w:val="32"/>
                <w:szCs w:val="32"/>
                <w:lang w:bidi="ar"/>
              </w:rPr>
              <w:t>年度</w:t>
            </w:r>
            <w:r>
              <w:rPr>
                <w:rFonts w:hint="default" w:ascii="Times New Roman" w:hAnsi="Times New Roman" w:eastAsia="方正小标宋_GBK" w:cs="Times New Roman"/>
                <w:b w:val="0"/>
                <w:bCs w:val="0"/>
                <w:color w:val="auto"/>
                <w:kern w:val="0"/>
                <w:sz w:val="32"/>
                <w:szCs w:val="32"/>
                <w:lang w:eastAsia="zh-CN" w:bidi="ar"/>
              </w:rPr>
              <w:t>重点专项</w:t>
            </w:r>
            <w:r>
              <w:rPr>
                <w:rFonts w:hint="default" w:ascii="Times New Roman" w:hAnsi="Times New Roman" w:eastAsia="方正小标宋_GBK" w:cs="Times New Roman"/>
                <w:b w:val="0"/>
                <w:bCs w:val="0"/>
                <w:color w:val="auto"/>
                <w:kern w:val="0"/>
                <w:sz w:val="32"/>
                <w:szCs w:val="32"/>
                <w:lang w:bidi="ar"/>
              </w:rPr>
              <w:t>项目支出绩效自评表</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序号</w:t>
            </w:r>
          </w:p>
        </w:tc>
        <w:tc>
          <w:tcPr>
            <w:tcW w:w="124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项目名称</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指标名称</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kern w:val="0"/>
                <w:sz w:val="22"/>
                <w:lang w:bidi="ar"/>
              </w:rPr>
            </w:pPr>
            <w:r>
              <w:rPr>
                <w:rFonts w:hint="default" w:ascii="Times New Roman" w:hAnsi="Times New Roman" w:eastAsia="方正黑体_GBK" w:cs="Times New Roman"/>
                <w:b w:val="0"/>
                <w:bCs w:val="0"/>
                <w:color w:val="auto"/>
                <w:kern w:val="0"/>
                <w:sz w:val="22"/>
                <w:lang w:bidi="ar"/>
              </w:rPr>
              <w:t>指标</w:t>
            </w:r>
          </w:p>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性质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指标值</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计量单位</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指标权重</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全年完成值</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指标得分</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说明</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b w:val="0"/>
                <w:bCs w:val="0"/>
                <w:color w:val="auto"/>
                <w:sz w:val="22"/>
              </w:rPr>
            </w:pPr>
            <w:r>
              <w:rPr>
                <w:rFonts w:hint="default" w:ascii="Times New Roman" w:hAnsi="Times New Roman" w:eastAsia="方正黑体_GBK" w:cs="Times New Roman"/>
                <w:b w:val="0"/>
                <w:bCs w:val="0"/>
                <w:color w:val="auto"/>
                <w:kern w:val="0"/>
                <w:sz w:val="22"/>
                <w:lang w:bidi="ar"/>
              </w:rPr>
              <w:t>自评得分</w:t>
            </w:r>
          </w:p>
        </w:tc>
      </w:tr>
      <w:tr>
        <w:tblPrEx>
          <w:tblCellMar>
            <w:top w:w="0" w:type="dxa"/>
            <w:left w:w="108" w:type="dxa"/>
            <w:bottom w:w="0" w:type="dxa"/>
            <w:right w:w="108" w:type="dxa"/>
          </w:tblCellMar>
        </w:tblPrEx>
        <w:trPr>
          <w:trHeight w:val="936" w:hRule="atLeast"/>
        </w:trPr>
        <w:tc>
          <w:tcPr>
            <w:tcW w:w="732" w:type="dxa"/>
            <w:vMerge w:val="restart"/>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b w:val="0"/>
                <w:bCs w:val="0"/>
                <w:color w:val="auto"/>
                <w:sz w:val="22"/>
              </w:rPr>
            </w:pPr>
            <w:r>
              <w:rPr>
                <w:rFonts w:hint="default" w:ascii="Times New Roman" w:hAnsi="Times New Roman" w:cs="Times New Roman"/>
                <w:b w:val="0"/>
                <w:bCs w:val="0"/>
                <w:color w:val="auto"/>
                <w:kern w:val="0"/>
                <w:sz w:val="22"/>
                <w:lang w:bidi="ar"/>
              </w:rPr>
              <w:t>1</w:t>
            </w:r>
          </w:p>
        </w:tc>
        <w:tc>
          <w:tcPr>
            <w:tcW w:w="1248" w:type="dxa"/>
            <w:vMerge w:val="restart"/>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Times New Roman" w:hAnsi="Times New Roman" w:eastAsia="方正黑体_GBK" w:cs="方正黑体_GBK"/>
                <w:b w:val="0"/>
                <w:bCs w:val="0"/>
                <w:color w:val="auto"/>
                <w:sz w:val="22"/>
                <w:lang w:val="en-US" w:eastAsia="zh-CN"/>
              </w:rPr>
            </w:pPr>
            <w:r>
              <w:rPr>
                <w:rFonts w:hint="eastAsia" w:ascii="Times New Roman" w:hAnsi="Times New Roman" w:eastAsia="方正黑体_GBK" w:cs="方正黑体_GBK"/>
                <w:b w:val="0"/>
                <w:bCs w:val="0"/>
                <w:color w:val="auto"/>
                <w:sz w:val="22"/>
                <w:lang w:val="en-US" w:eastAsia="zh-CN"/>
              </w:rPr>
              <w:t>万州区</w:t>
            </w:r>
          </w:p>
          <w:p>
            <w:pPr>
              <w:jc w:val="center"/>
              <w:rPr>
                <w:rFonts w:hint="default" w:ascii="Times New Roman" w:hAnsi="Times New Roman" w:eastAsia="宋体" w:cs="Times New Roman"/>
                <w:b w:val="0"/>
                <w:bCs w:val="0"/>
                <w:color w:val="auto"/>
                <w:sz w:val="22"/>
                <w:lang w:val="en-US" w:eastAsia="zh-CN"/>
              </w:rPr>
            </w:pPr>
            <w:r>
              <w:rPr>
                <w:rFonts w:hint="eastAsia" w:ascii="Times New Roman" w:hAnsi="Times New Roman" w:eastAsia="方正黑体_GBK" w:cs="方正黑体_GBK"/>
                <w:b w:val="0"/>
                <w:bCs w:val="0"/>
                <w:color w:val="auto"/>
                <w:sz w:val="22"/>
                <w:lang w:val="en-US" w:eastAsia="zh-CN"/>
              </w:rPr>
              <w:t>粮油储备运行费用</w:t>
            </w: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both"/>
              <w:rPr>
                <w:rFonts w:hint="eastAsia" w:ascii="Times New Roman" w:hAnsi="Times New Roman" w:eastAsia="方正楷体_GBK" w:cs="方正楷体_GBK"/>
                <w:b w:val="0"/>
                <w:bCs w:val="0"/>
                <w:color w:val="auto"/>
                <w:sz w:val="22"/>
                <w:lang w:eastAsia="zh-CN"/>
              </w:rPr>
            </w:pPr>
            <w:r>
              <w:rPr>
                <w:rFonts w:hint="eastAsia" w:ascii="Times New Roman" w:hAnsi="Times New Roman" w:eastAsia="方正楷体_GBK" w:cs="方正楷体_GBK"/>
                <w:b w:val="0"/>
                <w:bCs w:val="0"/>
                <w:color w:val="auto"/>
                <w:sz w:val="22"/>
                <w:lang w:eastAsia="zh-CN"/>
              </w:rPr>
              <w:t>年度预算执行率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color w:val="auto"/>
                <w:sz w:val="22"/>
                <w:lang w:val="en-US" w:eastAsia="zh-CN"/>
              </w:rPr>
            </w:pPr>
            <w:r>
              <w:rPr>
                <w:rFonts w:hint="eastAsia" w:ascii="Times New Roman" w:hAnsi="Times New Roman" w:cs="Times New Roman"/>
                <w:b w:val="0"/>
                <w:bCs w:val="0"/>
                <w:color w:val="auto"/>
                <w:sz w:val="22"/>
                <w:lang w:val="en-US" w:eastAsia="zh-CN"/>
              </w:rPr>
              <w:t>100</w:t>
            </w:r>
          </w:p>
        </w:tc>
      </w:tr>
      <w:tr>
        <w:tblPrEx>
          <w:tblCellMar>
            <w:top w:w="0" w:type="dxa"/>
            <w:left w:w="108" w:type="dxa"/>
            <w:bottom w:w="0" w:type="dxa"/>
            <w:right w:w="108" w:type="dxa"/>
          </w:tblCellMar>
        </w:tblPrEx>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both"/>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both"/>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both"/>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粮食储备规模</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auto"/>
                <w:sz w:val="22"/>
              </w:rPr>
            </w:pPr>
          </w:p>
        </w:tc>
      </w:tr>
      <w:tr>
        <w:tblPrEx>
          <w:tblCellMar>
            <w:top w:w="0" w:type="dxa"/>
            <w:left w:w="108" w:type="dxa"/>
            <w:bottom w:w="0" w:type="dxa"/>
            <w:right w:w="108" w:type="dxa"/>
          </w:tblCellMar>
        </w:tblPrEx>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both"/>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both"/>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both"/>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符合国家等级质量标准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定性</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三级（含）以上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完成</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auto"/>
                <w:sz w:val="22"/>
              </w:rPr>
            </w:pPr>
          </w:p>
        </w:tc>
      </w:tr>
      <w:tr>
        <w:tblPrEx>
          <w:tblCellMar>
            <w:top w:w="0" w:type="dxa"/>
            <w:left w:w="108" w:type="dxa"/>
            <w:bottom w:w="0" w:type="dxa"/>
            <w:right w:w="108" w:type="dxa"/>
          </w:tblCellMar>
        </w:tblPrEx>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both"/>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both"/>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both"/>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 xml:space="preserve">较大以上储粮事故 </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定性</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不发生</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30</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完成</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30</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auto"/>
                <w:sz w:val="22"/>
              </w:rPr>
            </w:pPr>
          </w:p>
        </w:tc>
      </w:tr>
      <w:tr>
        <w:tblPrEx>
          <w:tblCellMar>
            <w:top w:w="0" w:type="dxa"/>
            <w:left w:w="108" w:type="dxa"/>
            <w:bottom w:w="0" w:type="dxa"/>
            <w:right w:w="108" w:type="dxa"/>
          </w:tblCellMar>
        </w:tblPrEx>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both"/>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both"/>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both"/>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按期完成储备粮轮换任务</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定性</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完成</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完成</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auto"/>
                <w:sz w:val="22"/>
              </w:rPr>
            </w:pPr>
          </w:p>
        </w:tc>
      </w:tr>
      <w:tr>
        <w:tblPrEx>
          <w:tblCellMar>
            <w:top w:w="0" w:type="dxa"/>
            <w:left w:w="108" w:type="dxa"/>
            <w:bottom w:w="0" w:type="dxa"/>
            <w:right w:w="108" w:type="dxa"/>
          </w:tblCellMar>
        </w:tblPrEx>
        <w:trPr>
          <w:trHeight w:val="936" w:hRule="atLeast"/>
        </w:trPr>
        <w:tc>
          <w:tcPr>
            <w:tcW w:w="732" w:type="dxa"/>
            <w:vMerge w:val="continue"/>
            <w:tcBorders>
              <w:top w:val="single" w:color="auto" w:sz="4" w:space="0"/>
              <w:left w:val="single" w:color="auto" w:sz="4" w:space="0"/>
              <w:bottom w:val="single" w:color="auto" w:sz="4" w:space="0"/>
              <w:right w:val="single" w:color="000000" w:sz="4" w:space="0"/>
            </w:tcBorders>
            <w:noWrap/>
            <w:vAlign w:val="center"/>
          </w:tcPr>
          <w:p>
            <w:pPr>
              <w:jc w:val="both"/>
              <w:textAlignment w:val="center"/>
              <w:rPr>
                <w:rFonts w:hint="default" w:ascii="Times New Roman" w:hAnsi="Times New Roman" w:cs="Times New Roman"/>
                <w:b w:val="0"/>
                <w:bCs w:val="0"/>
                <w:color w:val="auto"/>
                <w:sz w:val="22"/>
              </w:rPr>
            </w:pPr>
          </w:p>
        </w:tc>
        <w:tc>
          <w:tcPr>
            <w:tcW w:w="1248" w:type="dxa"/>
            <w:vMerge w:val="continue"/>
            <w:tcBorders>
              <w:top w:val="single" w:color="auto" w:sz="4" w:space="0"/>
              <w:left w:val="single" w:color="000000" w:sz="4" w:space="0"/>
              <w:bottom w:val="single" w:color="auto" w:sz="4" w:space="0"/>
              <w:right w:val="single" w:color="auto" w:sz="4" w:space="0"/>
            </w:tcBorders>
            <w:noWrap/>
            <w:vAlign w:val="center"/>
          </w:tcPr>
          <w:p>
            <w:pPr>
              <w:jc w:val="both"/>
              <w:rPr>
                <w:rFonts w:hint="default" w:ascii="Times New Roman" w:hAnsi="Times New Roman" w:cs="Times New Roman"/>
                <w:b w:val="0"/>
                <w:bCs w:val="0"/>
                <w:color w:val="auto"/>
                <w:sz w:val="22"/>
              </w:rPr>
            </w:pPr>
          </w:p>
        </w:tc>
        <w:tc>
          <w:tcPr>
            <w:tcW w:w="1992" w:type="dxa"/>
            <w:tcBorders>
              <w:top w:val="single" w:color="000000" w:sz="4" w:space="0"/>
              <w:left w:val="single" w:color="auto" w:sz="4" w:space="0"/>
              <w:bottom w:val="single" w:color="000000" w:sz="4" w:space="0"/>
              <w:right w:val="single" w:color="000000" w:sz="4" w:space="0"/>
            </w:tcBorders>
            <w:noWrap/>
            <w:vAlign w:val="center"/>
          </w:tcPr>
          <w:p>
            <w:pPr>
              <w:jc w:val="both"/>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粮食库存真实率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100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lang w:val="en-US" w:eastAsia="zh-CN"/>
              </w:rPr>
            </w:pPr>
            <w:r>
              <w:rPr>
                <w:rFonts w:hint="eastAsia" w:ascii="Times New Roman" w:hAnsi="Times New Roman" w:eastAsia="方正楷体_GBK" w:cs="方正楷体_GBK"/>
                <w:b w:val="0"/>
                <w:bCs w:val="0"/>
                <w:color w:val="auto"/>
                <w:sz w:val="22"/>
                <w:lang w:val="en-US" w:eastAsia="zh-CN"/>
              </w:rPr>
              <w:t>15</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楷体_GBK" w:cs="方正楷体_GBK"/>
                <w:b w:val="0"/>
                <w:bCs w:val="0"/>
                <w:color w:val="auto"/>
                <w:sz w:val="22"/>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auto"/>
                <w:sz w:val="22"/>
              </w:rPr>
            </w:pPr>
          </w:p>
        </w:tc>
      </w:tr>
    </w:tbl>
    <w:p>
      <w:pPr>
        <w:pStyle w:val="11"/>
        <w:autoSpaceDE w:val="0"/>
        <w:ind w:left="0" w:leftChars="0" w:firstLine="0" w:firstLineChars="0"/>
        <w:jc w:val="both"/>
        <w:rPr>
          <w:rFonts w:hint="default" w:ascii="Times New Roman" w:hAnsi="Times New Roman" w:eastAsia="楷体" w:cs="Times New Roman"/>
          <w:b w:val="0"/>
          <w:bCs w:val="0"/>
          <w:color w:val="auto"/>
          <w:sz w:val="32"/>
          <w:szCs w:val="32"/>
          <w:shd w:val="clear" w:color="auto" w:fill="FFFFFF"/>
        </w:rPr>
      </w:pPr>
    </w:p>
    <w:tbl>
      <w:tblPr>
        <w:tblStyle w:val="7"/>
        <w:tblpPr w:leftFromText="180" w:rightFromText="180" w:vertAnchor="text" w:horzAnchor="page" w:tblpX="1418" w:tblpY="1"/>
        <w:tblOverlap w:val="never"/>
        <w:tblW w:w="141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308"/>
        <w:gridCol w:w="2443"/>
        <w:gridCol w:w="1320"/>
        <w:gridCol w:w="1092"/>
        <w:gridCol w:w="1400"/>
        <w:gridCol w:w="1108"/>
        <w:gridCol w:w="1516"/>
        <w:gridCol w:w="1254"/>
        <w:gridCol w:w="860"/>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187" w:type="dxa"/>
            <w:gridSpan w:val="11"/>
            <w:tcBorders>
              <w:top w:val="nil"/>
              <w:left w:val="nil"/>
              <w:bottom w:val="single" w:color="000000" w:sz="4" w:space="0"/>
              <w:right w:val="nil"/>
            </w:tcBorders>
            <w:noWrap/>
            <w:vAlign w:val="center"/>
          </w:tcPr>
          <w:p>
            <w:pPr>
              <w:keepNext w:val="0"/>
              <w:keepLines w:val="0"/>
              <w:pageBreakBefore w:val="0"/>
              <w:widowControl/>
              <w:suppressLineNumbers w:val="0"/>
              <w:kinsoku/>
              <w:wordWrap/>
              <w:overflowPunct/>
              <w:topLinePunct w:val="0"/>
              <w:autoSpaceDE w:val="0"/>
              <w:autoSpaceDN/>
              <w:bidi w:val="0"/>
              <w:adjustRightInd/>
              <w:spacing w:afterAutospacing="0" w:line="600" w:lineRule="exact"/>
              <w:ind w:leftChars="0"/>
              <w:jc w:val="center"/>
              <w:textAlignment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 w:val="32"/>
                <w:szCs w:val="32"/>
                <w:highlight w:val="none"/>
              </w:rPr>
              <w:t>重庆市万州区发展和改革委员会202</w:t>
            </w:r>
            <w:r>
              <w:rPr>
                <w:rFonts w:hint="eastAsia" w:ascii="Times New Roman" w:hAnsi="Times New Roman" w:eastAsia="方正小标宋_GBK" w:cs="Times New Roman"/>
                <w:color w:val="auto"/>
                <w:kern w:val="0"/>
                <w:sz w:val="32"/>
                <w:szCs w:val="32"/>
                <w:highlight w:val="none"/>
                <w:lang w:val="en-US" w:eastAsia="zh-CN"/>
              </w:rPr>
              <w:t>3</w:t>
            </w:r>
            <w:r>
              <w:rPr>
                <w:rFonts w:hint="eastAsia" w:ascii="Times New Roman" w:hAnsi="Times New Roman" w:eastAsia="方正小标宋_GBK" w:cs="方正小标宋_GBK"/>
                <w:color w:val="auto"/>
                <w:kern w:val="0"/>
                <w:sz w:val="32"/>
                <w:szCs w:val="32"/>
                <w:highlight w:val="none"/>
              </w:rPr>
              <w:t>年度一般性项目支出绩效自评表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序号</w:t>
            </w:r>
          </w:p>
        </w:tc>
        <w:tc>
          <w:tcPr>
            <w:tcW w:w="130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项目名称</w:t>
            </w:r>
          </w:p>
        </w:tc>
        <w:tc>
          <w:tcPr>
            <w:tcW w:w="244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指标名称</w:t>
            </w:r>
          </w:p>
        </w:tc>
        <w:tc>
          <w:tcPr>
            <w:tcW w:w="132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2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w:t>
            </w:r>
            <w:r>
              <w:rPr>
                <w:rFonts w:hint="eastAsia" w:ascii="Times New Roman" w:hAnsi="Times New Roman" w:eastAsia="方正黑体_GBK" w:cs="Times New Roman"/>
                <w:color w:val="auto"/>
                <w:kern w:val="0"/>
                <w:sz w:val="22"/>
                <w:szCs w:val="22"/>
                <w:lang w:eastAsia="zh-CN"/>
              </w:rPr>
              <w:t>性</w:t>
            </w:r>
            <w:r>
              <w:rPr>
                <w:rFonts w:hint="default" w:ascii="Times New Roman" w:hAnsi="Times New Roman" w:eastAsia="方正黑体_GBK" w:cs="Times New Roman"/>
                <w:color w:val="auto"/>
                <w:kern w:val="0"/>
                <w:sz w:val="22"/>
                <w:szCs w:val="22"/>
              </w:rPr>
              <w:t>质</w:t>
            </w:r>
          </w:p>
        </w:tc>
        <w:tc>
          <w:tcPr>
            <w:tcW w:w="1092"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w:t>
            </w:r>
          </w:p>
        </w:tc>
        <w:tc>
          <w:tcPr>
            <w:tcW w:w="140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计量单位</w:t>
            </w:r>
          </w:p>
        </w:tc>
        <w:tc>
          <w:tcPr>
            <w:tcW w:w="110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指标权重</w:t>
            </w:r>
          </w:p>
        </w:tc>
        <w:tc>
          <w:tcPr>
            <w:tcW w:w="151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全年完成值</w:t>
            </w:r>
          </w:p>
        </w:tc>
        <w:tc>
          <w:tcPr>
            <w:tcW w:w="125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指标得分</w:t>
            </w:r>
          </w:p>
        </w:tc>
        <w:tc>
          <w:tcPr>
            <w:tcW w:w="86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说明</w:t>
            </w:r>
          </w:p>
        </w:tc>
        <w:tc>
          <w:tcPr>
            <w:tcW w:w="11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afterAutospacing="0" w:line="300" w:lineRule="atLeas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restart"/>
            <w:tcBorders>
              <w:top w:val="single" w:color="auto" w:sz="4" w:space="0"/>
              <w:left w:val="single" w:color="auto"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1</w:t>
            </w:r>
          </w:p>
        </w:tc>
        <w:tc>
          <w:tcPr>
            <w:tcW w:w="1308" w:type="dxa"/>
            <w:vMerge w:val="restart"/>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农产品成本调查及价格监测经费</w:t>
            </w:r>
          </w:p>
        </w:tc>
        <w:tc>
          <w:tcPr>
            <w:tcW w:w="2443"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textAlignment w:val="auto"/>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年度</w:t>
            </w:r>
            <w:r>
              <w:rPr>
                <w:rFonts w:hint="default" w:ascii="Times New Roman" w:hAnsi="Times New Roman" w:eastAsia="方正楷体_GBK" w:cs="Times New Roman"/>
                <w:color w:val="auto"/>
                <w:kern w:val="0"/>
                <w:sz w:val="22"/>
                <w:szCs w:val="22"/>
              </w:rPr>
              <w:t>预算执行率</w:t>
            </w:r>
          </w:p>
        </w:tc>
        <w:tc>
          <w:tcPr>
            <w:tcW w:w="132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092"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40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1516"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254"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860" w:type="dxa"/>
            <w:tcBorders>
              <w:top w:val="single" w:color="auto"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restart"/>
            <w:tcBorders>
              <w:top w:val="nil"/>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仿宋_GBK" w:cs="Times New Roman"/>
                <w:color w:val="auto"/>
                <w:kern w:val="0"/>
                <w:sz w:val="22"/>
                <w:szCs w:val="22"/>
                <w:lang w:val="en-US" w:eastAsia="zh-CN"/>
              </w:rPr>
            </w:pPr>
            <w:r>
              <w:rPr>
                <w:rFonts w:hint="eastAsia" w:ascii="Times New Roman" w:hAnsi="Times New Roman" w:cs="Times New Roman"/>
                <w:color w:val="auto"/>
                <w:kern w:val="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农产品成本调查品种</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lang w:val="en-US" w:eastAsia="zh-CN" w:bidi="ar-SA"/>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13</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eastAsia"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个</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20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13</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20</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农产品成本调查总户</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lang w:val="en-US" w:eastAsia="zh-CN" w:bidi="ar-SA"/>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190</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eastAsia"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户</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20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191</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20</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调查数据按时报送率</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18"/>
                <w:szCs w:val="18"/>
                <w:lang w:val="en-US" w:eastAsia="zh-CN"/>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100</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15</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100</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15</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textAlignment w:val="auto"/>
              <w:rPr>
                <w:rFonts w:hint="eastAsia"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补贴准确、足额发放率</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eastAsia"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100</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15</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100</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15</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nil"/>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c>
          <w:tcPr>
            <w:tcW w:w="1308" w:type="dxa"/>
            <w:vMerge w:val="continue"/>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调查数据合格率</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95</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20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default"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100</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textAlignment w:val="auto"/>
              <w:rPr>
                <w:rFonts w:hint="eastAsia" w:ascii="Times New Roman" w:hAnsi="Times New Roman" w:eastAsia="方正楷体_GBK" w:cs="Times New Roman"/>
                <w:color w:val="auto"/>
                <w:kern w:val="0"/>
                <w:sz w:val="22"/>
                <w:szCs w:val="22"/>
                <w:lang w:val="en-US" w:eastAsia="zh-CN" w:bidi="ar-SA"/>
              </w:rPr>
            </w:pPr>
            <w:r>
              <w:rPr>
                <w:rFonts w:hint="eastAsia" w:ascii="Times New Roman" w:hAnsi="Times New Roman" w:eastAsia="方正楷体_GBK" w:cs="Times New Roman"/>
                <w:color w:val="auto"/>
                <w:kern w:val="0"/>
                <w:sz w:val="22"/>
                <w:szCs w:val="22"/>
                <w:lang w:val="en-US" w:eastAsia="zh-CN"/>
              </w:rPr>
              <w:t>20</w:t>
            </w:r>
          </w:p>
        </w:tc>
        <w:tc>
          <w:tcPr>
            <w:tcW w:w="860" w:type="dxa"/>
            <w:tcBorders>
              <w:top w:val="single" w:color="000000"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auto"/>
              <w:rPr>
                <w:rFonts w:hint="default" w:ascii="Times New Roman" w:hAnsi="Times New Roman" w:eastAsia="方正楷体_GBK" w:cs="Times New Roman"/>
                <w:color w:val="auto"/>
                <w:kern w:val="0"/>
                <w:sz w:val="22"/>
                <w:szCs w:val="22"/>
              </w:rPr>
            </w:pPr>
          </w:p>
        </w:tc>
        <w:tc>
          <w:tcPr>
            <w:tcW w:w="1196" w:type="dxa"/>
            <w:vMerge w:val="continue"/>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cente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textAlignment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2</w:t>
            </w:r>
          </w:p>
        </w:tc>
        <w:tc>
          <w:tcPr>
            <w:tcW w:w="1308" w:type="dxa"/>
            <w:vMerge w:val="restart"/>
            <w:tcBorders>
              <w:top w:val="single" w:color="auto"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黑体_GBK" w:cs="Times New Roman"/>
                <w:color w:val="auto"/>
                <w:kern w:val="0"/>
                <w:sz w:val="22"/>
                <w:szCs w:val="22"/>
              </w:rPr>
            </w:pPr>
            <w:r>
              <w:rPr>
                <w:rFonts w:hint="eastAsia" w:ascii="Times New Roman" w:hAnsi="Times New Roman" w:eastAsia="方正黑体_GBK" w:cs="Times New Roman"/>
                <w:color w:val="auto"/>
                <w:kern w:val="0"/>
                <w:sz w:val="22"/>
                <w:szCs w:val="22"/>
                <w:lang w:val="en-US" w:eastAsia="zh-CN"/>
              </w:rPr>
              <w:t>万州区</w:t>
            </w:r>
            <w:r>
              <w:rPr>
                <w:rFonts w:hint="default" w:ascii="Times New Roman" w:hAnsi="Times New Roman" w:eastAsia="方正黑体_GBK" w:cs="Times New Roman"/>
                <w:color w:val="auto"/>
                <w:kern w:val="0"/>
                <w:sz w:val="22"/>
                <w:szCs w:val="22"/>
              </w:rPr>
              <w:t>粮食</w:t>
            </w:r>
            <w:r>
              <w:rPr>
                <w:rFonts w:hint="eastAsia" w:ascii="Times New Roman" w:hAnsi="Times New Roman" w:eastAsia="方正黑体_GBK" w:cs="Times New Roman"/>
                <w:color w:val="auto"/>
                <w:kern w:val="0"/>
                <w:sz w:val="22"/>
                <w:szCs w:val="22"/>
                <w:lang w:val="en-US" w:eastAsia="zh-CN"/>
              </w:rPr>
              <w:t>安全行政首长责任制</w:t>
            </w:r>
            <w:r>
              <w:rPr>
                <w:rFonts w:hint="default" w:ascii="Times New Roman" w:hAnsi="Times New Roman" w:eastAsia="方正黑体_GBK" w:cs="Times New Roman"/>
                <w:color w:val="auto"/>
                <w:kern w:val="0"/>
                <w:sz w:val="22"/>
                <w:szCs w:val="22"/>
              </w:rPr>
              <w:t>专项</w:t>
            </w:r>
          </w:p>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工作经费</w:t>
            </w:r>
          </w:p>
        </w:tc>
        <w:tc>
          <w:tcPr>
            <w:tcW w:w="24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both"/>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年度</w:t>
            </w:r>
            <w:r>
              <w:rPr>
                <w:rFonts w:hint="default" w:ascii="Times New Roman" w:hAnsi="Times New Roman" w:eastAsia="方正楷体_GBK" w:cs="Times New Roman"/>
                <w:color w:val="auto"/>
                <w:kern w:val="0"/>
                <w:sz w:val="22"/>
                <w:szCs w:val="22"/>
              </w:rPr>
              <w:t>预算执行率</w:t>
            </w:r>
          </w:p>
        </w:tc>
        <w:tc>
          <w:tcPr>
            <w:tcW w:w="132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092"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40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1516"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254" w:type="dxa"/>
            <w:tcBorders>
              <w:top w:val="single" w:color="auto" w:sz="4" w:space="0"/>
              <w:left w:val="nil"/>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right="0" w:righ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86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p>
        </w:tc>
        <w:tc>
          <w:tcPr>
            <w:tcW w:w="1196" w:type="dxa"/>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仿宋_GBK" w:cs="Times New Roman"/>
                <w:color w:val="auto"/>
                <w:kern w:val="0"/>
                <w:sz w:val="22"/>
                <w:szCs w:val="22"/>
                <w:lang w:val="en-US" w:eastAsia="zh-CN"/>
              </w:rPr>
            </w:pPr>
            <w:r>
              <w:rPr>
                <w:rFonts w:hint="eastAsia" w:ascii="Times New Roman" w:hAnsi="Times New Roman" w:cs="Times New Roman"/>
                <w:color w:val="auto"/>
                <w:kern w:val="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开展</w:t>
            </w:r>
            <w:r>
              <w:rPr>
                <w:rFonts w:hint="default" w:ascii="Times New Roman" w:hAnsi="Times New Roman" w:eastAsia="方正楷体_GBK" w:cs="Times New Roman"/>
                <w:color w:val="auto"/>
                <w:kern w:val="0"/>
                <w:sz w:val="22"/>
                <w:szCs w:val="22"/>
              </w:rPr>
              <w:t>库存检查</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eastAsia" w:ascii="Times New Roman" w:hAnsi="Times New Roman" w:eastAsia="方正楷体_GBK" w:cs="Times New Roman"/>
                <w:color w:val="auto"/>
                <w:kern w:val="0"/>
                <w:sz w:val="22"/>
                <w:szCs w:val="22"/>
                <w:lang w:val="en-US" w:eastAsia="zh-CN"/>
              </w:rPr>
              <w:t>4</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Times New Roman" w:hAnsi="Times New Roman" w:eastAsia="方正楷体_GBK" w:cs="方正楷体_GBK"/>
                <w:color w:val="auto"/>
                <w:kern w:val="0"/>
                <w:sz w:val="22"/>
                <w:szCs w:val="22"/>
              </w:rPr>
            </w:pPr>
            <w:r>
              <w:rPr>
                <w:rFonts w:hint="eastAsia" w:ascii="Times New Roman" w:hAnsi="Times New Roman" w:eastAsia="方正楷体_GBK" w:cs="方正楷体_GBK"/>
                <w:i w:val="0"/>
                <w:iCs w:val="0"/>
                <w:color w:val="auto"/>
                <w:kern w:val="0"/>
                <w:sz w:val="22"/>
                <w:szCs w:val="22"/>
                <w:u w:val="none"/>
                <w:lang w:val="en-US" w:eastAsia="zh-CN" w:bidi="ar"/>
              </w:rPr>
              <w:t>次/年</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eastAsia" w:ascii="Times New Roman" w:hAnsi="Times New Roman" w:eastAsia="方正楷体_GBK" w:cs="Times New Roman"/>
                <w:color w:val="auto"/>
                <w:kern w:val="0"/>
                <w:sz w:val="22"/>
                <w:szCs w:val="22"/>
                <w:lang w:val="en-US" w:eastAsia="zh-CN"/>
              </w:rPr>
              <w:t>6</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10</w:t>
            </w:r>
          </w:p>
        </w:tc>
        <w:tc>
          <w:tcPr>
            <w:tcW w:w="860"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开展</w:t>
            </w:r>
            <w:r>
              <w:rPr>
                <w:rFonts w:hint="default" w:ascii="Times New Roman" w:hAnsi="Times New Roman" w:eastAsia="方正楷体_GBK" w:cs="Times New Roman"/>
                <w:color w:val="auto"/>
                <w:kern w:val="0"/>
                <w:sz w:val="22"/>
                <w:szCs w:val="22"/>
              </w:rPr>
              <w:t>粮食安全宣传教育</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2</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Times New Roman" w:hAnsi="Times New Roman" w:eastAsia="方正楷体_GBK" w:cs="方正楷体_GBK"/>
                <w:color w:val="auto"/>
                <w:kern w:val="0"/>
                <w:sz w:val="22"/>
                <w:szCs w:val="22"/>
              </w:rPr>
            </w:pPr>
            <w:r>
              <w:rPr>
                <w:rFonts w:hint="eastAsia" w:ascii="Times New Roman" w:hAnsi="Times New Roman" w:eastAsia="方正楷体_GBK" w:cs="方正楷体_GBK"/>
                <w:i w:val="0"/>
                <w:iCs w:val="0"/>
                <w:color w:val="auto"/>
                <w:kern w:val="0"/>
                <w:sz w:val="22"/>
                <w:szCs w:val="22"/>
                <w:u w:val="none"/>
                <w:lang w:val="en-US" w:eastAsia="zh-CN" w:bidi="ar"/>
              </w:rPr>
              <w:t>次/年</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15</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2</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15</w:t>
            </w:r>
          </w:p>
        </w:tc>
        <w:tc>
          <w:tcPr>
            <w:tcW w:w="86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开展</w:t>
            </w:r>
            <w:r>
              <w:rPr>
                <w:rFonts w:hint="default" w:ascii="Times New Roman" w:hAnsi="Times New Roman" w:eastAsia="方正楷体_GBK" w:cs="Times New Roman"/>
                <w:color w:val="auto"/>
                <w:kern w:val="0"/>
                <w:sz w:val="22"/>
                <w:szCs w:val="22"/>
              </w:rPr>
              <w:t>粮食流通监督检查</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4</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Times New Roman" w:hAnsi="Times New Roman" w:eastAsia="方正楷体_GBK" w:cs="方正楷体_GBK"/>
                <w:color w:val="auto"/>
                <w:kern w:val="0"/>
                <w:sz w:val="22"/>
                <w:szCs w:val="22"/>
              </w:rPr>
            </w:pPr>
            <w:r>
              <w:rPr>
                <w:rFonts w:hint="eastAsia" w:ascii="Times New Roman" w:hAnsi="Times New Roman" w:eastAsia="方正楷体_GBK" w:cs="方正楷体_GBK"/>
                <w:i w:val="0"/>
                <w:iCs w:val="0"/>
                <w:color w:val="auto"/>
                <w:kern w:val="0"/>
                <w:sz w:val="22"/>
                <w:szCs w:val="22"/>
                <w:u w:val="none"/>
                <w:lang w:val="en-US" w:eastAsia="zh-CN" w:bidi="ar"/>
              </w:rPr>
              <w:t>次/年</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10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5</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10</w:t>
            </w:r>
          </w:p>
        </w:tc>
        <w:tc>
          <w:tcPr>
            <w:tcW w:w="86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重大涉粮案件</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eastAsia" w:ascii="Times New Roman" w:hAnsi="Times New Roman" w:eastAsia="方正楷体_GBK" w:cs="Times New Roman"/>
                <w:color w:val="auto"/>
                <w:kern w:val="0"/>
                <w:sz w:val="18"/>
                <w:szCs w:val="18"/>
                <w:lang w:val="en-US" w:eastAsia="zh-CN"/>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eastAsia" w:ascii="Times New Roman" w:hAnsi="Times New Roman" w:eastAsia="方正楷体_GBK" w:cs="Times New Roman"/>
                <w:color w:val="auto"/>
                <w:kern w:val="0"/>
                <w:sz w:val="22"/>
                <w:szCs w:val="22"/>
                <w:lang w:val="en-US" w:eastAsia="zh-CN"/>
              </w:rPr>
              <w:t>0</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方正楷体_GBK"/>
                <w:i w:val="0"/>
                <w:iCs w:val="0"/>
                <w:color w:val="auto"/>
                <w:kern w:val="0"/>
                <w:sz w:val="22"/>
                <w:szCs w:val="22"/>
                <w:u w:val="none"/>
                <w:lang w:val="en-US" w:eastAsia="zh-CN" w:bidi="ar"/>
              </w:rPr>
              <w:t>次/年</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r>
              <w:rPr>
                <w:rFonts w:hint="eastAsia" w:ascii="Times New Roman" w:hAnsi="Times New Roman" w:eastAsia="方正楷体_GBK" w:cs="Times New Roman"/>
                <w:color w:val="auto"/>
                <w:kern w:val="0"/>
                <w:sz w:val="22"/>
                <w:szCs w:val="22"/>
                <w:lang w:val="en-US" w:eastAsia="zh-CN"/>
              </w:rPr>
              <w:t>30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default" w:ascii="Times New Roman" w:hAnsi="Times New Roman" w:eastAsia="方正楷体_GBK" w:cs="Times New Roman"/>
                <w:color w:val="auto"/>
                <w:kern w:val="0"/>
                <w:sz w:val="22"/>
                <w:szCs w:val="22"/>
              </w:rPr>
              <w:t>3</w:t>
            </w:r>
            <w:r>
              <w:rPr>
                <w:rFonts w:hint="eastAsia" w:ascii="Times New Roman" w:hAnsi="Times New Roman" w:eastAsia="方正楷体_GBK" w:cs="Times New Roman"/>
                <w:color w:val="auto"/>
                <w:kern w:val="0"/>
                <w:sz w:val="22"/>
                <w:szCs w:val="22"/>
                <w:lang w:val="en-US" w:eastAsia="zh-CN"/>
              </w:rPr>
              <w:t>7</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30</w:t>
            </w:r>
          </w:p>
        </w:tc>
        <w:tc>
          <w:tcPr>
            <w:tcW w:w="86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开展</w:t>
            </w:r>
            <w:r>
              <w:rPr>
                <w:rFonts w:hint="default" w:ascii="Times New Roman" w:hAnsi="Times New Roman" w:eastAsia="方正楷体_GBK" w:cs="Times New Roman"/>
                <w:color w:val="auto"/>
                <w:kern w:val="0"/>
                <w:sz w:val="22"/>
                <w:szCs w:val="22"/>
              </w:rPr>
              <w:t>统计培训</w:t>
            </w:r>
          </w:p>
        </w:tc>
        <w:tc>
          <w:tcPr>
            <w:tcW w:w="13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18"/>
                <w:szCs w:val="18"/>
              </w:rPr>
              <w:t>≥</w:t>
            </w:r>
          </w:p>
        </w:tc>
        <w:tc>
          <w:tcPr>
            <w:tcW w:w="10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25</w:t>
            </w:r>
          </w:p>
        </w:tc>
        <w:tc>
          <w:tcPr>
            <w:tcW w:w="14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人次</w:t>
            </w:r>
          </w:p>
        </w:tc>
        <w:tc>
          <w:tcPr>
            <w:tcW w:w="11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151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eastAsia" w:ascii="Times New Roman" w:hAnsi="Times New Roman" w:eastAsia="方正楷体_GBK" w:cs="Times New Roman"/>
                <w:color w:val="auto"/>
                <w:kern w:val="0"/>
                <w:sz w:val="22"/>
                <w:szCs w:val="22"/>
                <w:lang w:val="en-US" w:eastAsia="zh-CN"/>
              </w:rPr>
              <w:t>2</w:t>
            </w:r>
            <w:r>
              <w:rPr>
                <w:rFonts w:hint="default" w:ascii="Times New Roman" w:hAnsi="Times New Roman" w:eastAsia="方正楷体_GBK" w:cs="Times New Roman"/>
                <w:color w:val="auto"/>
                <w:kern w:val="0"/>
                <w:sz w:val="22"/>
                <w:szCs w:val="22"/>
              </w:rPr>
              <w:t>7</w:t>
            </w:r>
          </w:p>
        </w:tc>
        <w:tc>
          <w:tcPr>
            <w:tcW w:w="125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w:t>
            </w:r>
          </w:p>
        </w:tc>
        <w:tc>
          <w:tcPr>
            <w:tcW w:w="86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nil"/>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1308" w:type="dxa"/>
            <w:vMerge w:val="continue"/>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c>
          <w:tcPr>
            <w:tcW w:w="2443"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both"/>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管理制度执行率</w:t>
            </w:r>
          </w:p>
        </w:tc>
        <w:tc>
          <w:tcPr>
            <w:tcW w:w="1320"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092"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400"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w:t>
            </w:r>
          </w:p>
        </w:tc>
        <w:tc>
          <w:tcPr>
            <w:tcW w:w="1108"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eastAsia" w:ascii="Times New Roman" w:hAnsi="Times New Roman" w:eastAsia="方正楷体_GBK" w:cs="Times New Roman"/>
                <w:color w:val="auto"/>
                <w:kern w:val="0"/>
                <w:sz w:val="22"/>
                <w:szCs w:val="22"/>
                <w:lang w:eastAsia="zh-CN"/>
              </w:rPr>
            </w:pPr>
            <w:r>
              <w:rPr>
                <w:rFonts w:hint="default" w:ascii="Times New Roman" w:hAnsi="Times New Roman" w:eastAsia="方正楷体_GBK" w:cs="Times New Roman"/>
                <w:color w:val="auto"/>
                <w:kern w:val="0"/>
                <w:sz w:val="22"/>
                <w:szCs w:val="22"/>
              </w:rPr>
              <w:t>1</w:t>
            </w:r>
            <w:r>
              <w:rPr>
                <w:rFonts w:hint="eastAsia" w:ascii="Times New Roman" w:hAnsi="Times New Roman" w:eastAsia="方正楷体_GBK" w:cs="Times New Roman"/>
                <w:color w:val="auto"/>
                <w:kern w:val="0"/>
                <w:sz w:val="22"/>
                <w:szCs w:val="22"/>
                <w:lang w:val="en-US" w:eastAsia="zh-CN"/>
              </w:rPr>
              <w:t>5</w:t>
            </w:r>
          </w:p>
        </w:tc>
        <w:tc>
          <w:tcPr>
            <w:tcW w:w="1516"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rPr>
            </w:pPr>
            <w:r>
              <w:rPr>
                <w:rFonts w:hint="default" w:ascii="Times New Roman" w:hAnsi="Times New Roman" w:eastAsia="方正楷体_GBK" w:cs="Times New Roman"/>
                <w:color w:val="auto"/>
                <w:kern w:val="0"/>
                <w:sz w:val="22"/>
                <w:szCs w:val="22"/>
              </w:rPr>
              <w:t>100</w:t>
            </w:r>
          </w:p>
        </w:tc>
        <w:tc>
          <w:tcPr>
            <w:tcW w:w="1254"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0" w:leftChars="0"/>
              <w:jc w:val="center"/>
              <w:rPr>
                <w:rFonts w:hint="default" w:ascii="Times New Roman" w:hAnsi="Times New Roman" w:eastAsia="方正楷体_GBK" w:cs="Times New Roman"/>
                <w:color w:val="auto"/>
                <w:kern w:val="0"/>
                <w:sz w:val="22"/>
                <w:szCs w:val="22"/>
                <w:lang w:val="en-US" w:eastAsia="zh-CN"/>
              </w:rPr>
            </w:pPr>
            <w:r>
              <w:rPr>
                <w:rFonts w:hint="default" w:ascii="Times New Roman" w:hAnsi="Times New Roman" w:eastAsia="方正楷体_GBK" w:cs="Times New Roman"/>
                <w:color w:val="auto"/>
                <w:kern w:val="0"/>
                <w:sz w:val="22"/>
                <w:szCs w:val="22"/>
              </w:rPr>
              <w:t>1</w:t>
            </w:r>
            <w:r>
              <w:rPr>
                <w:rFonts w:hint="eastAsia" w:ascii="Times New Roman" w:hAnsi="Times New Roman" w:eastAsia="方正楷体_GBK" w:cs="Times New Roman"/>
                <w:color w:val="auto"/>
                <w:kern w:val="0"/>
                <w:sz w:val="22"/>
                <w:szCs w:val="22"/>
                <w:lang w:val="en-US" w:eastAsia="zh-CN"/>
              </w:rPr>
              <w:t>5</w:t>
            </w:r>
          </w:p>
        </w:tc>
        <w:tc>
          <w:tcPr>
            <w:tcW w:w="860"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bidi w:val="0"/>
              <w:adjustRightInd/>
              <w:snapToGrid/>
              <w:spacing w:after="0" w:afterAutospacing="0" w:line="300" w:lineRule="exact"/>
              <w:ind w:leftChars="0"/>
              <w:jc w:val="center"/>
              <w:rPr>
                <w:rFonts w:hint="default" w:ascii="Times New Roman" w:hAnsi="Times New Roman" w:eastAsia="方正楷体_GBK" w:cs="Times New Roman"/>
                <w:color w:val="auto"/>
                <w:kern w:val="0"/>
                <w:sz w:val="22"/>
                <w:szCs w:val="22"/>
                <w:lang w:val="en-US" w:eastAsia="zh-CN"/>
              </w:rPr>
            </w:pPr>
          </w:p>
        </w:tc>
        <w:tc>
          <w:tcPr>
            <w:tcW w:w="1196" w:type="dxa"/>
            <w:vMerge w:val="continue"/>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N/>
              <w:bidi w:val="0"/>
              <w:adjustRightInd/>
              <w:snapToGrid/>
              <w:spacing w:after="0" w:afterAutospacing="0" w:line="300" w:lineRule="exact"/>
              <w:jc w:val="both"/>
              <w:rPr>
                <w:rFonts w:hint="default" w:ascii="Times New Roman" w:hAnsi="Times New Roman" w:cs="Times New Roman"/>
                <w:color w:val="auto"/>
                <w:sz w:val="20"/>
                <w:szCs w:val="20"/>
              </w:rPr>
            </w:pPr>
          </w:p>
        </w:tc>
      </w:tr>
    </w:tbl>
    <w:p>
      <w:pPr>
        <w:pStyle w:val="11"/>
        <w:autoSpaceDE w:val="0"/>
        <w:ind w:firstLine="643"/>
        <w:jc w:val="both"/>
        <w:rPr>
          <w:rFonts w:hint="default" w:ascii="Times New Roman" w:hAnsi="Times New Roman" w:eastAsia="楷体" w:cs="Times New Roman"/>
          <w:b w:val="0"/>
          <w:bCs w:val="0"/>
          <w:color w:val="auto"/>
          <w:sz w:val="32"/>
          <w:szCs w:val="32"/>
          <w:shd w:val="clear" w:color="auto" w:fill="FFFFFF"/>
        </w:rPr>
        <w:sectPr>
          <w:pgSz w:w="16840" w:h="11915" w:orient="landscape"/>
          <w:pgMar w:top="1531" w:right="2098" w:bottom="1531" w:left="1984" w:header="851" w:footer="992" w:gutter="0"/>
          <w:pgNumType w:fmt="decimal"/>
          <w:cols w:space="720" w:num="1"/>
          <w:docGrid w:type="lines" w:linePitch="312" w:charSpace="0"/>
        </w:sectPr>
      </w:pPr>
    </w:p>
    <w:p>
      <w:pPr>
        <w:pStyle w:val="11"/>
        <w:keepNext w:val="0"/>
        <w:keepLines w:val="0"/>
        <w:pageBreakBefore w:val="0"/>
        <w:widowControl/>
        <w:kinsoku/>
        <w:wordWrap/>
        <w:overflowPunct/>
        <w:topLinePunct w:val="0"/>
        <w:autoSpaceDE w:val="0"/>
        <w:autoSpaceDN/>
        <w:bidi w:val="0"/>
        <w:adjustRightInd/>
        <w:spacing w:line="600" w:lineRule="atLeast"/>
        <w:ind w:left="0" w:leftChars="0" w:firstLine="640" w:firstLineChars="200"/>
        <w:jc w:val="both"/>
        <w:textAlignment w:val="auto"/>
        <w:rPr>
          <w:rFonts w:hint="default" w:ascii="Times New Roman" w:hAnsi="Times New Roman" w:eastAsia="楷体" w:cs="Times New Roman"/>
          <w:b w:val="0"/>
          <w:bCs w:val="0"/>
          <w:color w:val="auto"/>
          <w:sz w:val="32"/>
          <w:szCs w:val="32"/>
          <w:highlight w:val="none"/>
          <w:shd w:val="clear" w:color="auto" w:fill="FFFFFF"/>
        </w:rPr>
      </w:pPr>
      <w:r>
        <w:rPr>
          <w:rFonts w:hint="default" w:ascii="Times New Roman" w:hAnsi="Times New Roman" w:eastAsia="楷体" w:cs="Times New Roman"/>
          <w:b w:val="0"/>
          <w:bCs w:val="0"/>
          <w:color w:val="auto"/>
          <w:sz w:val="32"/>
          <w:szCs w:val="32"/>
          <w:highlight w:val="none"/>
          <w:shd w:val="clear" w:color="auto" w:fill="FFFFFF"/>
        </w:rPr>
        <w:t>（</w:t>
      </w:r>
      <w:r>
        <w:rPr>
          <w:rFonts w:hint="eastAsia" w:ascii="Times New Roman" w:hAnsi="Times New Roman" w:eastAsia="楷体" w:cs="Times New Roman"/>
          <w:b w:val="0"/>
          <w:bCs w:val="0"/>
          <w:color w:val="auto"/>
          <w:sz w:val="32"/>
          <w:szCs w:val="32"/>
          <w:highlight w:val="none"/>
          <w:shd w:val="clear" w:color="auto" w:fill="FFFFFF"/>
          <w:lang w:eastAsia="zh-CN"/>
        </w:rPr>
        <w:t>三</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楷体" w:cs="Times New Roman"/>
          <w:b w:val="0"/>
          <w:bCs w:val="0"/>
          <w:color w:val="auto"/>
          <w:sz w:val="32"/>
          <w:szCs w:val="32"/>
          <w:highlight w:val="none"/>
          <w:shd w:val="clear" w:color="auto" w:fill="FFFFFF"/>
          <w:lang w:eastAsia="zh-CN"/>
        </w:rPr>
        <w:t>部门</w:t>
      </w:r>
      <w:r>
        <w:rPr>
          <w:rFonts w:hint="default" w:ascii="Times New Roman" w:hAnsi="Times New Roman" w:eastAsia="楷体" w:cs="Times New Roman"/>
          <w:b w:val="0"/>
          <w:bCs w:val="0"/>
          <w:color w:val="auto"/>
          <w:sz w:val="32"/>
          <w:szCs w:val="32"/>
          <w:highlight w:val="none"/>
          <w:shd w:val="clear" w:color="auto" w:fill="FFFFFF"/>
        </w:rPr>
        <w:t>绩效评价情况</w:t>
      </w:r>
    </w:p>
    <w:p>
      <w:pPr>
        <w:pStyle w:val="11"/>
        <w:keepNext w:val="0"/>
        <w:keepLines w:val="0"/>
        <w:pageBreakBefore w:val="0"/>
        <w:widowControl/>
        <w:kinsoku/>
        <w:wordWrap/>
        <w:overflowPunct/>
        <w:topLinePunct w:val="0"/>
        <w:autoSpaceDE w:val="0"/>
        <w:autoSpaceDN/>
        <w:bidi w:val="0"/>
        <w:adjustRightInd/>
        <w:spacing w:line="600" w:lineRule="atLeast"/>
        <w:ind w:firstLine="643"/>
        <w:jc w:val="both"/>
        <w:textAlignment w:val="auto"/>
        <w:rPr>
          <w:rFonts w:hint="eastAsia" w:ascii="Times New Roman" w:hAnsi="Times New Roman" w:eastAsia="方正仿宋_GBK" w:cs="方正仿宋_GBK"/>
          <w:b w:val="0"/>
          <w:bCs w:val="0"/>
          <w:color w:val="auto"/>
          <w:sz w:val="32"/>
          <w:szCs w:val="32"/>
          <w:highlight w:val="none"/>
          <w:shd w:val="clear" w:color="auto" w:fill="FFFFFF"/>
        </w:rPr>
      </w:pPr>
      <w:r>
        <w:rPr>
          <w:rFonts w:hint="eastAsia" w:ascii="Times New Roman" w:hAnsi="Times New Roman" w:eastAsia="方正仿宋_GBK" w:cs="方正仿宋_GBK"/>
          <w:b w:val="0"/>
          <w:bCs w:val="0"/>
          <w:color w:val="auto"/>
          <w:sz w:val="32"/>
          <w:szCs w:val="32"/>
          <w:highlight w:val="none"/>
          <w:shd w:val="clear" w:color="auto" w:fill="FFFFFF"/>
        </w:rPr>
        <w:t>我单位未组织开展绩效评价。</w:t>
      </w:r>
    </w:p>
    <w:p>
      <w:pPr>
        <w:pStyle w:val="11"/>
        <w:keepNext w:val="0"/>
        <w:keepLines w:val="0"/>
        <w:pageBreakBefore w:val="0"/>
        <w:widowControl/>
        <w:numPr>
          <w:numId w:val="0"/>
        </w:numPr>
        <w:kinsoku/>
        <w:wordWrap/>
        <w:overflowPunct/>
        <w:topLinePunct w:val="0"/>
        <w:autoSpaceDE w:val="0"/>
        <w:autoSpaceDN/>
        <w:bidi w:val="0"/>
        <w:adjustRightInd/>
        <w:spacing w:line="600" w:lineRule="atLeast"/>
        <w:ind w:firstLine="640" w:firstLineChars="200"/>
        <w:jc w:val="both"/>
        <w:textAlignment w:val="auto"/>
        <w:rPr>
          <w:rFonts w:hint="default" w:ascii="Times New Roman" w:hAnsi="Times New Roman" w:eastAsia="楷体" w:cs="Times New Roman"/>
          <w:b w:val="0"/>
          <w:bCs w:val="0"/>
          <w:color w:val="auto"/>
          <w:sz w:val="32"/>
          <w:szCs w:val="32"/>
          <w:highlight w:val="none"/>
          <w:shd w:val="clear" w:color="auto" w:fill="FFFFFF"/>
        </w:rPr>
      </w:pPr>
      <w:bookmarkStart w:id="0" w:name="_GoBack"/>
      <w:bookmarkEnd w:id="0"/>
      <w:r>
        <w:rPr>
          <w:rFonts w:hint="eastAsia" w:ascii="Times New Roman" w:hAnsi="Times New Roman" w:eastAsia="楷体" w:cs="Times New Roman"/>
          <w:b w:val="0"/>
          <w:bCs w:val="0"/>
          <w:color w:val="auto"/>
          <w:sz w:val="32"/>
          <w:szCs w:val="32"/>
          <w:highlight w:val="none"/>
          <w:shd w:val="clear" w:color="auto" w:fill="FFFFFF"/>
          <w:lang w:eastAsia="zh-CN"/>
        </w:rPr>
        <w:t>（四）</w:t>
      </w:r>
      <w:r>
        <w:rPr>
          <w:rFonts w:hint="default" w:ascii="Times New Roman" w:hAnsi="Times New Roman" w:eastAsia="楷体" w:cs="Times New Roman"/>
          <w:b w:val="0"/>
          <w:bCs w:val="0"/>
          <w:color w:val="auto"/>
          <w:sz w:val="32"/>
          <w:szCs w:val="32"/>
          <w:highlight w:val="none"/>
          <w:shd w:val="clear" w:color="auto" w:fill="FFFFFF"/>
        </w:rPr>
        <w:t>财政绩效评价情况</w:t>
      </w:r>
    </w:p>
    <w:p>
      <w:pPr>
        <w:pStyle w:val="11"/>
        <w:keepNext w:val="0"/>
        <w:keepLines w:val="0"/>
        <w:pageBreakBefore w:val="0"/>
        <w:widowControl/>
        <w:kinsoku/>
        <w:wordWrap/>
        <w:overflowPunct/>
        <w:topLinePunct w:val="0"/>
        <w:autoSpaceDE w:val="0"/>
        <w:autoSpaceDN/>
        <w:bidi w:val="0"/>
        <w:adjustRightInd/>
        <w:spacing w:line="600" w:lineRule="atLeast"/>
        <w:ind w:left="0" w:leftChars="0" w:firstLine="640" w:firstLineChars="200"/>
        <w:jc w:val="both"/>
        <w:textAlignment w:val="auto"/>
        <w:rPr>
          <w:rFonts w:hint="eastAsia" w:ascii="Times New Roman" w:hAnsi="Times New Roman" w:eastAsia="方正仿宋_GBK" w:cs="方正仿宋_GBK"/>
          <w:b w:val="0"/>
          <w:bCs w:val="0"/>
          <w:color w:val="auto"/>
          <w:sz w:val="32"/>
          <w:szCs w:val="32"/>
          <w:highlight w:val="yellow"/>
          <w:shd w:val="clear" w:color="auto" w:fill="FFFFFF"/>
        </w:rPr>
      </w:pPr>
      <w:r>
        <w:rPr>
          <w:rFonts w:hint="eastAsia" w:ascii="Times New Roman" w:hAnsi="Times New Roman" w:eastAsia="方正仿宋_GBK" w:cs="方正仿宋_GBK"/>
          <w:b w:val="0"/>
          <w:bCs w:val="0"/>
          <w:color w:val="auto"/>
          <w:sz w:val="32"/>
          <w:szCs w:val="32"/>
          <w:highlight w:val="none"/>
          <w:shd w:val="clear" w:color="auto" w:fill="FFFFFF"/>
          <w:lang w:eastAsia="zh-CN"/>
        </w:rPr>
        <w:t>区</w:t>
      </w:r>
      <w:r>
        <w:rPr>
          <w:rFonts w:hint="eastAsia" w:ascii="Times New Roman" w:hAnsi="Times New Roman" w:eastAsia="方正仿宋_GBK" w:cs="方正仿宋_GBK"/>
          <w:b w:val="0"/>
          <w:bCs w:val="0"/>
          <w:color w:val="auto"/>
          <w:sz w:val="32"/>
          <w:szCs w:val="32"/>
          <w:highlight w:val="none"/>
          <w:shd w:val="clear" w:color="auto" w:fill="FFFFFF"/>
        </w:rPr>
        <w:t>财政局未委托第三方对我单位开展绩效评价。</w:t>
      </w:r>
    </w:p>
    <w:p>
      <w:pPr>
        <w:pStyle w:val="11"/>
        <w:keepNext w:val="0"/>
        <w:keepLines w:val="0"/>
        <w:pageBreakBefore w:val="0"/>
        <w:widowControl/>
        <w:kinsoku/>
        <w:wordWrap/>
        <w:overflowPunct/>
        <w:topLinePunct w:val="0"/>
        <w:autoSpaceDE w:val="0"/>
        <w:autoSpaceDN/>
        <w:bidi w:val="0"/>
        <w:adjustRightInd/>
        <w:spacing w:line="600" w:lineRule="atLeast"/>
        <w:ind w:left="0" w:leftChars="0" w:firstLine="640" w:firstLineChars="200"/>
        <w:jc w:val="both"/>
        <w:textAlignment w:val="auto"/>
        <w:rPr>
          <w:rStyle w:val="10"/>
          <w:rFonts w:hint="eastAsia" w:ascii="Times New Roman" w:hAnsi="Times New Roman" w:eastAsia="方正黑体_GBK" w:cs="方正黑体_GBK"/>
          <w:b w:val="0"/>
          <w:bCs w:val="0"/>
          <w:color w:val="auto"/>
          <w:sz w:val="32"/>
          <w:szCs w:val="32"/>
          <w:shd w:val="clear" w:color="auto" w:fill="FFFFFF"/>
        </w:rPr>
      </w:pPr>
      <w:r>
        <w:rPr>
          <w:rStyle w:val="10"/>
          <w:rFonts w:hint="eastAsia" w:ascii="Times New Roman" w:hAnsi="Times New Roman" w:eastAsia="方正黑体_GBK" w:cs="方正黑体_GBK"/>
          <w:b w:val="0"/>
          <w:bCs w:val="0"/>
          <w:color w:val="auto"/>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shd w:val="clear" w:color="auto" w:fill="FFFFFF"/>
          <w:lang w:val="en-US" w:eastAsia="zh-CN" w:bidi="ar-SA"/>
        </w:rPr>
        <w:t> </w:t>
      </w:r>
      <w:r>
        <w:rPr>
          <w:rFonts w:hint="eastAsia" w:ascii="Times New Roman" w:hAnsi="Times New Roman" w:eastAsia="方正楷体_GBK" w:cs="Times New Roman"/>
          <w:b w:val="0"/>
          <w:bCs w:val="0"/>
          <w:color w:val="auto"/>
          <w:sz w:val="32"/>
          <w:szCs w:val="32"/>
          <w:shd w:val="clear" w:color="auto" w:fill="FFFFFF"/>
          <w:lang w:val="en-US" w:eastAsia="zh-CN" w:bidi="ar-SA"/>
        </w:rPr>
        <w:t>（一）财政拨款收入：</w:t>
      </w:r>
      <w:r>
        <w:rPr>
          <w:rFonts w:hint="default"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lang w:val="en-US" w:eastAsia="zh-CN" w:bidi="ar-SA"/>
        </w:rPr>
        <w:t>（二）事业收入：</w:t>
      </w:r>
      <w:r>
        <w:rPr>
          <w:rFonts w:hint="default"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（三）</w:t>
      </w:r>
      <w:r>
        <w:rPr>
          <w:rFonts w:hint="default" w:ascii="Times New Roman" w:hAnsi="Times New Roman" w:eastAsia="方正楷体_GBK" w:cs="Times New Roman"/>
          <w:b w:val="0"/>
          <w:bCs w:val="0"/>
          <w:color w:val="auto"/>
          <w:sz w:val="32"/>
          <w:szCs w:val="32"/>
          <w:shd w:val="clear" w:color="auto" w:fill="FFFFFF"/>
        </w:rPr>
        <w:t>经营</w:t>
      </w:r>
      <w:r>
        <w:rPr>
          <w:rFonts w:hint="default" w:ascii="Times New Roman" w:hAnsi="Times New Roman" w:eastAsia="方正楷体_GBK" w:cs="方正楷体_GBK"/>
          <w:b w:val="0"/>
          <w:bCs w:val="0"/>
          <w:color w:val="auto"/>
          <w:sz w:val="32"/>
          <w:szCs w:val="32"/>
          <w:shd w:val="clear" w:color="auto" w:fill="FFFFFF"/>
        </w:rPr>
        <w:t>收入：</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（四）其他收入：</w:t>
      </w:r>
      <w:r>
        <w:rPr>
          <w:rFonts w:hint="default"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方正楷体_GBK"/>
          <w:b w:val="0"/>
          <w:bCs w:val="0"/>
          <w:color w:val="auto"/>
          <w:sz w:val="32"/>
          <w:szCs w:val="32"/>
          <w:shd w:val="clear" w:color="auto" w:fill="FFFFFF"/>
        </w:rPr>
        <w:t>（五）使用非财政拨款结余：</w:t>
      </w:r>
      <w:r>
        <w:rPr>
          <w:rFonts w:hint="default"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（六）年初结转和结余：</w:t>
      </w:r>
      <w:r>
        <w:rPr>
          <w:rFonts w:hint="default"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（七）结余分配：</w:t>
      </w:r>
      <w:r>
        <w:rPr>
          <w:rFonts w:hint="default"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（八）年末结转和结余：</w:t>
      </w:r>
      <w:r>
        <w:rPr>
          <w:rFonts w:hint="default"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（九）基本支出：</w:t>
      </w:r>
      <w:r>
        <w:rPr>
          <w:rFonts w:hint="default"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（十）项目支出：</w:t>
      </w:r>
      <w:r>
        <w:rPr>
          <w:rFonts w:hint="default"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（十一）经营支出：</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（十二）“三公”经费：</w:t>
      </w:r>
      <w:r>
        <w:rPr>
          <w:rFonts w:hint="default" w:ascii="Times New Roman" w:hAnsi="Times New Roman" w:eastAsia="方正仿宋_GBK" w:cs="Times New Roman"/>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方正楷体_GBK"/>
          <w:b w:val="0"/>
          <w:bCs w:val="0"/>
          <w:color w:val="auto"/>
          <w:sz w:val="32"/>
          <w:szCs w:val="32"/>
          <w:shd w:val="clear" w:color="auto" w:fill="FFFFFF"/>
        </w:rPr>
        <w:t> （十三）机关运行经费：</w:t>
      </w:r>
      <w:r>
        <w:rPr>
          <w:rFonts w:hint="default"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（十四）工资福利支出（支出经济分类科目类级）：</w:t>
      </w:r>
      <w:r>
        <w:rPr>
          <w:rFonts w:hint="default" w:ascii="Times New Roman" w:hAnsi="Times New Roman" w:eastAsia="方正仿宋_GBK" w:cs="Times New Roman"/>
          <w:b w:val="0"/>
          <w:bCs w:val="0"/>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（十五）商品和服务支出（支出经济分类科目类级）：</w:t>
      </w:r>
      <w:r>
        <w:rPr>
          <w:rFonts w:hint="default" w:ascii="Times New Roman" w:hAnsi="Times New Roman" w:eastAsia="方正仿宋_GBK" w:cs="Times New Roman"/>
          <w:b w:val="0"/>
          <w:bCs w:val="0"/>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楷体"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（十六）对个人和家庭的补助（支出经济分类科目类级）：</w:t>
      </w:r>
      <w:r>
        <w:rPr>
          <w:rFonts w:hint="default" w:ascii="Times New Roman" w:hAnsi="Times New Roman" w:eastAsia="方正仿宋_GBK" w:cs="Times New Roman"/>
          <w:b w:val="0"/>
          <w:bCs w:val="0"/>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方正楷体_GBK" w:cs="方正楷体_GBK"/>
          <w:b w:val="0"/>
          <w:bCs w:val="0"/>
          <w:color w:val="auto"/>
          <w:sz w:val="32"/>
          <w:szCs w:val="32"/>
          <w:shd w:val="clear" w:color="auto" w:fill="FFFFFF"/>
        </w:rPr>
        <w:t>（十七）其他资本性支出（支出经济分类科目类级）：</w:t>
      </w:r>
      <w:r>
        <w:rPr>
          <w:rFonts w:hint="default" w:ascii="Times New Roman" w:hAnsi="Times New Roman" w:eastAsia="方正仿宋_GBK" w:cs="Times New Roman"/>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Style w:val="10"/>
          <w:rFonts w:hint="eastAsia" w:ascii="Times New Roman" w:hAnsi="Times New Roman" w:eastAsia="方正楷体_GBK" w:cs="方正楷体_GBK"/>
          <w:b w:val="0"/>
          <w:bCs w:val="0"/>
          <w:color w:val="auto"/>
          <w:sz w:val="32"/>
          <w:szCs w:val="32"/>
          <w:shd w:val="clear" w:color="auto" w:fill="FFFFFF"/>
        </w:rPr>
      </w:pPr>
      <w:r>
        <w:rPr>
          <w:rStyle w:val="10"/>
          <w:rFonts w:hint="eastAsia" w:ascii="Times New Roman" w:hAnsi="Times New Roman" w:eastAsia="方正楷体_GBK" w:cs="方正楷体_GBK"/>
          <w:b w:val="0"/>
          <w:bCs w:val="0"/>
          <w:color w:val="auto"/>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line="600" w:lineRule="atLeast"/>
        <w:ind w:firstLine="640" w:firstLineChars="200"/>
        <w:jc w:val="both"/>
        <w:textAlignment w:val="auto"/>
        <w:rPr>
          <w:rStyle w:val="10"/>
          <w:rFonts w:hint="default" w:ascii="Times New Roman" w:hAnsi="Times New Roman" w:eastAsia="方正仿宋_GBK" w:cs="Times New Roman"/>
          <w:b w:val="0"/>
          <w:bCs w:val="0"/>
          <w:color w:val="auto"/>
          <w:sz w:val="32"/>
          <w:szCs w:val="32"/>
          <w:shd w:val="clear" w:color="auto" w:fill="FFFF00"/>
        </w:rPr>
        <w:sectPr>
          <w:pgSz w:w="11915" w:h="16840"/>
          <w:pgMar w:top="2098" w:right="1531" w:bottom="1984" w:left="1531" w:header="851" w:footer="1304" w:gutter="0"/>
          <w:pgNumType w:fmt="decimal"/>
          <w:cols w:space="720" w:num="1"/>
          <w:docGrid w:type="lines" w:linePitch="312" w:charSpace="0"/>
        </w:sectPr>
      </w:pPr>
      <w:r>
        <w:rPr>
          <w:rFonts w:hint="default" w:ascii="Times New Roman" w:hAnsi="Times New Roman" w:eastAsia="方正仿宋_GBK" w:cs="Times New Roman"/>
          <w:b w:val="0"/>
          <w:bCs w:val="0"/>
          <w:color w:val="auto"/>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val="en-US" w:eastAsia="zh-CN"/>
        </w:rPr>
        <w:t>023-58258033</w:t>
      </w:r>
    </w:p>
    <w:p>
      <w:pPr>
        <w:jc w:val="center"/>
        <w:rPr>
          <w:rFonts w:hint="default" w:ascii="Times New Roman" w:hAnsi="Times New Roman" w:cs="Times New Roman"/>
          <w:b w:val="0"/>
          <w:bCs w:val="0"/>
          <w:color w:val="auto"/>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0"/>
                <w:szCs w:val="20"/>
              </w:rPr>
              <w:t>公开单位：</w:t>
            </w:r>
            <w:r>
              <w:rPr>
                <w:rFonts w:hint="default" w:ascii="Times New Roman" w:hAnsi="Times New Roman" w:cs="Times New Roman"/>
                <w:b w:val="0"/>
                <w:bCs w:val="0"/>
                <w:color w:val="auto"/>
                <w:sz w:val="20"/>
                <w:u w:color="auto"/>
              </w:rPr>
              <w:t>重庆市万州区发展和改革委员会（本级）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5,302.74</w:t>
            </w: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2,317.68</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90"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686.04</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1,748.29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Times New Roman"/>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5,302.74</w:t>
            </w: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5,529.69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226.95</w:t>
            </w: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5,529.69</w:t>
            </w:r>
            <w:r>
              <w:rPr>
                <w:rFonts w:hint="default" w:ascii="Times New Roman" w:hAnsi="Times New Roman" w:cs="Times New Roman"/>
                <w:b w:val="0"/>
                <w:bCs w:val="0"/>
                <w:color w:val="auto"/>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5,529.69</w:t>
            </w:r>
            <w:r>
              <w:rPr>
                <w:rFonts w:hint="default" w:ascii="Times New Roman" w:hAnsi="Times New Roman" w:cs="Times New Roman"/>
                <w:b w:val="0"/>
                <w:bCs w:val="0"/>
                <w:color w:val="auto"/>
                <w:sz w:val="20"/>
                <w:u w:color="auto"/>
              </w:rPr>
              <w:t xml:space="preserve"> </w:t>
            </w:r>
          </w:p>
        </w:tc>
      </w:tr>
    </w:tbl>
    <w:p>
      <w:pPr>
        <w:spacing w:line="240" w:lineRule="exact"/>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备注：1.本表反映单位本年度的总收支和年末结转结余情况。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公开单位：</w:t>
            </w:r>
            <w:r>
              <w:rPr>
                <w:rFonts w:hint="default" w:ascii="Times New Roman" w:hAnsi="Times New Roman" w:cs="Times New Roman"/>
                <w:b w:val="0"/>
                <w:bCs w:val="0"/>
                <w:color w:val="auto"/>
                <w:sz w:val="20"/>
                <w:u w:color="auto"/>
              </w:rPr>
              <w:t>重庆市万州区发展和改革委员会（本级）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5,302.74</w:t>
            </w:r>
            <w:r>
              <w:rPr>
                <w:rFonts w:hint="default" w:ascii="Times New Roman" w:hAnsi="Times New Roman" w:cs="Times New Roman"/>
                <w:b w:val="0"/>
                <w:bCs w:val="0"/>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5,302.74</w:t>
            </w:r>
            <w:r>
              <w:rPr>
                <w:rFonts w:hint="default" w:ascii="Times New Roman" w:hAnsi="Times New Roman" w:cs="Times New Roman"/>
                <w:b w:val="0"/>
                <w:bCs w:val="0"/>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2,090.73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2,090.73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发展与改革事务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2,038.40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2,038.40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685.34</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685.34</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战略规划与实施</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社会事业发展规划</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物价管理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其他发展与改革事务支出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94.20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94.20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商贸事务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招商引资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686.04</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686.04</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534.13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534.13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12.21</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12.21</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126.40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126.40</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57.83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57.83</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305.25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305.25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退役安置</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军队转业干部安置</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29.68</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29.68</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粮油物资储备支出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1,748.29</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1,748.29</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其他粮油物资事务支出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粮油储备</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储备粮油补贴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bl>
    <w:p>
      <w:pPr>
        <w:ind w:left="600" w:hanging="600" w:hangingChars="300"/>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备注：1.本表反映单位本年度取得的各项收入情况。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pPr>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公开单位： </w:t>
            </w:r>
            <w:r>
              <w:rPr>
                <w:rFonts w:hint="default" w:ascii="Times New Roman" w:hAnsi="Times New Roman" w:cs="Times New Roman"/>
                <w:b w:val="0"/>
                <w:bCs w:val="0"/>
                <w:color w:val="auto"/>
                <w:sz w:val="20"/>
                <w:u w:color="auto"/>
              </w:rPr>
              <w:t xml:space="preserve">重庆市万州区发展和改革委员会（本级）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both"/>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5,529.69</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1,942.28</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3,587.41</w:t>
            </w:r>
            <w:r>
              <w:rPr>
                <w:rFonts w:hint="default" w:ascii="Times New Roman" w:hAnsi="Times New Roman" w:cs="Times New Roman"/>
                <w:b w:val="0"/>
                <w:bCs w:val="0"/>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2,317.68</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1,209.79</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信访事务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发展与改革事务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2,265.35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1,157.46</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912.29</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912.29</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战略规划与实施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社会事业发展规划</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物价管理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其他发展与改革事务支出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94.20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94.20</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商贸事务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招商引资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686.04</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684.80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534.13</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534.13</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12.21</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12.21</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126.40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126.40</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57.83</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57.83</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305.25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305.25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退役安置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军队转业干部安置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29.68</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29.68</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粮油物资储备支出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1,748.29</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1,748.29</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其他粮油物资事务支出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粮油储备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储备粮油补贴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bl>
    <w:p>
      <w:pPr>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备注：1.本表反映单位本年度各项支出情况。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pPr>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p>
      <w:pPr>
        <w:jc w:val="both"/>
        <w:rPr>
          <w:rFonts w:hint="default" w:ascii="Times New Roman" w:hAnsi="Times New Roman" w:cs="Times New Roman"/>
          <w:b w:val="0"/>
          <w:bCs w:val="0"/>
          <w:color w:val="auto"/>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20"/>
                <w:szCs w:val="20"/>
              </w:rPr>
              <w:t xml:space="preserve">公开单位： </w:t>
            </w:r>
            <w:r>
              <w:rPr>
                <w:rFonts w:hint="default" w:ascii="Times New Roman" w:hAnsi="Times New Roman" w:cs="Times New Roman"/>
                <w:b w:val="0"/>
                <w:bCs w:val="0"/>
                <w:color w:val="auto"/>
                <w:sz w:val="20"/>
                <w:u w:color="auto"/>
              </w:rPr>
              <w:t>重庆市万州区发展和改革委员会（本级）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5,302.74</w:t>
            </w:r>
            <w:r>
              <w:rPr>
                <w:rFonts w:hint="default" w:ascii="Times New Roman" w:hAnsi="Times New Roman" w:cs="Times New Roman"/>
                <w:b w:val="0"/>
                <w:bCs w:val="0"/>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2,317.68</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2,317.68</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628.09</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628.09</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686.04</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686.04</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75.06</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75.06</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74.51</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74.51</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1,748.29</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1,748.29</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5,302.74</w:t>
            </w:r>
            <w:r>
              <w:rPr>
                <w:rFonts w:hint="default" w:ascii="Times New Roman" w:hAnsi="Times New Roman" w:cs="Times New Roman"/>
                <w:b w:val="0"/>
                <w:bCs w:val="0"/>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5,529.69</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5,529.69</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226.95</w:t>
            </w:r>
            <w:r>
              <w:rPr>
                <w:rFonts w:hint="default" w:ascii="Times New Roman" w:hAnsi="Times New Roman" w:cs="Times New Roman"/>
                <w:b w:val="0"/>
                <w:bCs w:val="0"/>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226.95</w:t>
            </w:r>
            <w:r>
              <w:rPr>
                <w:rFonts w:hint="default" w:ascii="Times New Roman" w:hAnsi="Times New Roman" w:cs="Times New Roman"/>
                <w:b w:val="0"/>
                <w:bCs w:val="0"/>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5,529.69</w:t>
            </w:r>
            <w:r>
              <w:rPr>
                <w:rFonts w:hint="default" w:ascii="Times New Roman" w:hAnsi="Times New Roman" w:cs="Times New Roman"/>
                <w:b w:val="0"/>
                <w:bCs w:val="0"/>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5,529.69</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5,529.69</w:t>
            </w:r>
            <w:r>
              <w:rPr>
                <w:rFonts w:hint="default" w:ascii="Times New Roman" w:hAnsi="Times New Roman" w:cs="Times New Roman"/>
                <w:b w:val="0"/>
                <w:bCs w:val="0"/>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bl>
    <w:p>
      <w:pPr>
        <w:spacing w:line="240" w:lineRule="exact"/>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公开单位： </w:t>
            </w:r>
            <w:r>
              <w:rPr>
                <w:rFonts w:hint="default" w:ascii="Times New Roman" w:hAnsi="Times New Roman" w:cs="Times New Roman"/>
                <w:b w:val="0"/>
                <w:bCs w:val="0"/>
                <w:color w:val="auto"/>
                <w:sz w:val="20"/>
                <w:u w:color="auto"/>
              </w:rPr>
              <w:t>重庆市万州区发展和改革委员会（本级）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5,529.69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1,942.28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3,587.41</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2,317.68</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1,209.79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信访事务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46.33</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发展与改革事务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2,265.35</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1,157.46</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1,107.90</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912.29</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912.29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战略规划与实施</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118.00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社会事业发展规划</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物价管理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13.17</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其他发展与改革事务支出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94.20</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94.20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商贸事务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2011308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招商引资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628.09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686.04</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684.80</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534.13</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534.13</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32.45</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12.21</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12.21</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126.40</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126.40</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57.83</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57.83</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305.25</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305.25</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149.35</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退役安置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2080905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军队转业干部安置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1.24</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1.32</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75.06</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45.38</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29.68</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29.68</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74.51</w:t>
            </w: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粮油物资储备支出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1,748.29</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1,748.29</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粮油物资事务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其他粮油物资事务支出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58.25</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粮油储备</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2220401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储备粮油补贴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1,690.05</w:t>
            </w:r>
            <w:r>
              <w:rPr>
                <w:rFonts w:hint="default" w:ascii="Times New Roman" w:hAnsi="Times New Roman" w:cs="Times New Roman"/>
                <w:b w:val="0"/>
                <w:bCs w:val="0"/>
                <w:color w:val="auto"/>
                <w:sz w:val="20"/>
                <w:u w:color="auto"/>
              </w:rPr>
              <w:t xml:space="preserve"> </w:t>
            </w:r>
          </w:p>
        </w:tc>
      </w:tr>
    </w:tbl>
    <w:p>
      <w:pPr>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备注：1.本表反映单位本年度一般公共预算财政拨款支出情况。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pPr>
        <w:ind w:firstLine="630" w:firstLineChars="300"/>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一般公共预算财政拨款基本支出决算表</w:t>
            </w:r>
          </w:p>
        </w:tc>
      </w:tr>
      <w:tr>
        <w:tblPrEx>
          <w:tblCellMar>
            <w:top w:w="0" w:type="dxa"/>
            <w:left w:w="0" w:type="dxa"/>
            <w:bottom w:w="0" w:type="dxa"/>
            <w:right w:w="0" w:type="dxa"/>
          </w:tblCellMar>
        </w:tblPrEx>
        <w:trPr>
          <w:trHeight w:val="271"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20"/>
                <w:szCs w:val="20"/>
              </w:rPr>
              <w:t xml:space="preserve">公开单位： </w:t>
            </w:r>
            <w:r>
              <w:rPr>
                <w:rFonts w:hint="default" w:ascii="Times New Roman" w:hAnsi="Times New Roman" w:cs="Times New Roman"/>
                <w:b w:val="0"/>
                <w:bCs w:val="0"/>
                <w:color w:val="auto"/>
                <w:sz w:val="20"/>
                <w:u w:color="auto"/>
              </w:rPr>
              <w:t>重庆市万州区发展和改革委员会（本级）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val="0"/>
                <w:bCs w:val="0"/>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1,180.65</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237.90</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0.49</w:t>
            </w: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277.59</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26.64</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197.66</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1.98</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0.49</w:t>
            </w: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383.96</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1.82</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126.40</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9.96</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57.83</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24.65</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45.38</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1.32</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14.57</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74.51</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8.48</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2.17</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7.51</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1.95</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523.25</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0.44</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31.51</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1.26</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4.94</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149.35</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321.19</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7.69</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21.20</w:t>
            </w: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5.27</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9.70</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13.58</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49.93</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61.35</w:t>
            </w: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auto"/>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1,703.89</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238.39</w:t>
            </w:r>
            <w:r>
              <w:rPr>
                <w:rFonts w:hint="default" w:ascii="Times New Roman" w:hAnsi="Times New Roman" w:cs="Times New Roman"/>
                <w:b w:val="0"/>
                <w:bCs w:val="0"/>
                <w:color w:val="auto"/>
                <w:sz w:val="18"/>
                <w:u w:color="auto"/>
              </w:rPr>
              <w:t xml:space="preserve"> </w:t>
            </w:r>
          </w:p>
        </w:tc>
      </w:tr>
    </w:tbl>
    <w:p>
      <w:pPr>
        <w:spacing w:line="280" w:lineRule="exact"/>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备注：1.本表反映单位本年度一般公共预算财政拨款基本支出明细情况。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公开单位： </w:t>
            </w:r>
            <w:r>
              <w:rPr>
                <w:rFonts w:hint="default" w:ascii="Times New Roman" w:hAnsi="Times New Roman" w:cs="Times New Roman"/>
                <w:b w:val="0"/>
                <w:bCs w:val="0"/>
                <w:color w:val="auto"/>
                <w:sz w:val="20"/>
                <w:u w:color="auto"/>
              </w:rPr>
              <w:t>重庆市万州区发展和改革委员会（本级）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val="0"/>
                <w:bCs w:val="0"/>
                <w:color w:val="auto"/>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val="0"/>
                <w:bCs w:val="0"/>
                <w:color w:val="auto"/>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val="0"/>
                <w:bCs w:val="0"/>
                <w:color w:val="auto"/>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val="0"/>
                <w:bCs w:val="0"/>
                <w:color w:val="auto"/>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val="0"/>
                <w:bCs w:val="0"/>
                <w:color w:val="auto"/>
                <w:sz w:val="20"/>
                <w:szCs w:val="20"/>
              </w:rPr>
            </w:pP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val="0"/>
                <w:bCs w:val="0"/>
                <w:color w:val="auto"/>
                <w:sz w:val="20"/>
                <w:szCs w:val="20"/>
              </w:rPr>
            </w:pPr>
          </w:p>
        </w:tc>
      </w:tr>
    </w:tbl>
    <w:p>
      <w:pPr>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pPr>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公开单位： </w:t>
            </w:r>
            <w:r>
              <w:rPr>
                <w:rFonts w:hint="default" w:ascii="Times New Roman" w:hAnsi="Times New Roman" w:cs="Times New Roman"/>
                <w:b w:val="0"/>
                <w:bCs w:val="0"/>
                <w:color w:val="auto"/>
                <w:sz w:val="20"/>
                <w:u w:color="auto"/>
              </w:rPr>
              <w:t>重庆市万州区发展和改革委员会（本级）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b w:val="0"/>
                <w:bCs w:val="0"/>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val="0"/>
                <w:bCs w:val="0"/>
                <w:color w:val="auto"/>
                <w:sz w:val="20"/>
                <w:szCs w:val="20"/>
              </w:rPr>
            </w:pP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val="0"/>
                <w:bCs w:val="0"/>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val="0"/>
                <w:bCs w:val="0"/>
                <w:color w:val="auto"/>
                <w:sz w:val="20"/>
                <w:szCs w:val="20"/>
              </w:rPr>
            </w:pPr>
          </w:p>
        </w:tc>
      </w:tr>
    </w:tbl>
    <w:p>
      <w:pPr>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b w:val="0"/>
                <w:bCs w:val="0"/>
                <w:color w:val="auto"/>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b w:val="0"/>
                <w:bCs w:val="0"/>
                <w:color w:val="auto"/>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b w:val="0"/>
                <w:bCs w:val="0"/>
                <w:color w:val="auto"/>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b w:val="0"/>
                <w:bCs w:val="0"/>
                <w:color w:val="auto"/>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公开单位： </w:t>
            </w:r>
            <w:r>
              <w:rPr>
                <w:rFonts w:hint="default" w:ascii="Times New Roman" w:hAnsi="Times New Roman" w:cs="Times New Roman"/>
                <w:b w:val="0"/>
                <w:bCs w:val="0"/>
                <w:color w:val="auto"/>
                <w:sz w:val="20"/>
                <w:u w:color="auto"/>
              </w:rPr>
              <w:t>重庆市万州区发展和改革委员会（本级）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b w:val="0"/>
                <w:bCs w:val="0"/>
                <w:color w:val="auto"/>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b w:val="0"/>
                <w:bCs w:val="0"/>
                <w:color w:val="auto"/>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238.39</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34.75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34.75</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238.39</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29.81</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29.81</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16.23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16.23</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eastAsia" w:ascii="Times New Roman" w:hAnsi="Times New Roman" w:cs="Times New Roman"/>
                <w:b w:val="0"/>
                <w:bCs w:val="0"/>
                <w:color w:val="auto"/>
                <w:sz w:val="16"/>
                <w:szCs w:val="16"/>
                <w:lang w:val="en-US" w:eastAsia="zh-CN"/>
              </w:rPr>
              <w:t>5</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13.58</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13.58</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4.94</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4.94</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4.94</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2</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ascii="Times New Roman" w:hAnsi="Times New Roman" w:cs="Times New Roman"/>
                <w:b w:val="0"/>
                <w:bCs w:val="0"/>
                <w:color w:val="auto"/>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1</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ascii="Times New Roman" w:hAnsi="Times New Roman" w:cs="Times New Roman"/>
                <w:b w:val="0"/>
                <w:bCs w:val="0"/>
                <w:color w:val="auto"/>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eastAsia" w:ascii="Times New Roman" w:hAnsi="Times New Roman" w:cs="Times New Roman"/>
                <w:b w:val="0"/>
                <w:bCs w:val="0"/>
                <w:color w:val="auto"/>
                <w:sz w:val="16"/>
                <w:szCs w:val="16"/>
                <w:lang w:val="en-US" w:eastAsia="zh-CN"/>
              </w:rPr>
              <w:t>2</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ascii="Times New Roman" w:hAnsi="Times New Roman" w:cs="Times New Roman"/>
                <w:b w:val="0"/>
                <w:bCs w:val="0"/>
                <w:color w:val="auto"/>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ascii="Times New Roman" w:hAnsi="Times New Roman" w:cs="Times New Roman"/>
                <w:b w:val="0"/>
                <w:bCs w:val="0"/>
                <w:color w:val="auto"/>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1</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4</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35</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2.70</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2.70</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522</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2.70</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2.70</w:t>
            </w:r>
            <w:r>
              <w:rPr>
                <w:rFonts w:hint="default" w:ascii="Times New Roman" w:hAnsi="Times New Roman" w:cs="Times New Roman"/>
                <w:b w:val="0"/>
                <w:bCs w:val="0"/>
                <w:color w:val="auto"/>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3.40</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55.54</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both"/>
              <w:rPr>
                <w:rFonts w:hint="default" w:ascii="Times New Roman" w:hAnsi="Times New Roman" w:cs="Times New Roman"/>
                <w:b w:val="0"/>
                <w:bCs w:val="0"/>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auto"/>
                <w:sz w:val="16"/>
                <w:szCs w:val="16"/>
              </w:rPr>
            </w:pPr>
          </w:p>
        </w:tc>
      </w:tr>
    </w:tbl>
    <w:p>
      <w:pPr>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sz w:val="18"/>
      </w:rPr>
      <w:pict>
        <v:shape id="_x0000_s1029"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cs="宋体"/>
                    <w:sz w:val="28"/>
                    <w:szCs w:val="28"/>
                    <w:lang w:eastAsia="zh-CN"/>
                  </w:rPr>
                  <w:t>—</w:t>
                </w:r>
                <w:r>
                  <w:rPr>
                    <w:rFonts w:hint="eastAsia"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cs="宋体"/>
                    <w:sz w:val="28"/>
                    <w:szCs w:val="28"/>
                    <w:lang w:val="en-US" w:eastAsia="zh-CN"/>
                  </w:rPr>
                  <w:t xml:space="preserve"> </w:t>
                </w:r>
                <w:r>
                  <w:rPr>
                    <w:rFonts w:hint="eastAsia" w:cs="宋体"/>
                    <w:sz w:val="28"/>
                    <w:szCs w:val="28"/>
                    <w:lang w:eastAsia="zh-CN"/>
                  </w:rPr>
                  <w:t>—</w:t>
                </w:r>
              </w:p>
            </w:txbxContent>
          </v:textbox>
        </v:shape>
      </w:pict>
    </w: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rPr>
                    <w:rFonts w:hint="default"/>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2"/>
                  <w:rPr>
                    <w:rFonts w:hint="default"/>
                  </w:rPr>
                </w:pPr>
                <w:r>
                  <w:rPr>
                    <w:rFonts w:hint="eastAsia" w:cs="宋体"/>
                    <w:sz w:val="28"/>
                    <w:szCs w:val="28"/>
                    <w:lang w:eastAsia="zh-CN"/>
                  </w:rPr>
                  <w:t>—</w:t>
                </w:r>
                <w:r>
                  <w:rPr>
                    <w:rFonts w:hint="eastAsia"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30 -</w:t>
                </w:r>
                <w:r>
                  <w:rPr>
                    <w:rFonts w:hint="eastAsia" w:ascii="宋体" w:hAnsi="宋体" w:eastAsia="宋体" w:cs="宋体"/>
                    <w:sz w:val="28"/>
                    <w:szCs w:val="28"/>
                  </w:rPr>
                  <w:fldChar w:fldCharType="end"/>
                </w:r>
                <w:r>
                  <w:rPr>
                    <w:rFonts w:hint="eastAsia" w:cs="宋体"/>
                    <w:sz w:val="28"/>
                    <w:szCs w:val="28"/>
                    <w:lang w:val="en-US" w:eastAsia="zh-CN"/>
                  </w:rPr>
                  <w:t xml:space="preserve"> </w:t>
                </w:r>
                <w:r>
                  <w:rPr>
                    <w:rFonts w:hint="eastAsia" w:cs="宋体"/>
                    <w:sz w:val="28"/>
                    <w:szCs w:val="28"/>
                    <w:lang w:eastAsia="zh-CN"/>
                  </w:rPr>
                  <w:t>—</w:t>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D87970"/>
    <w:rsid w:val="01F3521E"/>
    <w:rsid w:val="03B87EA0"/>
    <w:rsid w:val="03E3214F"/>
    <w:rsid w:val="044C50BA"/>
    <w:rsid w:val="05BC6D49"/>
    <w:rsid w:val="06194FF1"/>
    <w:rsid w:val="06A2550B"/>
    <w:rsid w:val="06F80EE2"/>
    <w:rsid w:val="07001CCA"/>
    <w:rsid w:val="075678DB"/>
    <w:rsid w:val="07825A74"/>
    <w:rsid w:val="079D7CC7"/>
    <w:rsid w:val="08051BCA"/>
    <w:rsid w:val="086C12F4"/>
    <w:rsid w:val="08705944"/>
    <w:rsid w:val="08A2665A"/>
    <w:rsid w:val="08BA052C"/>
    <w:rsid w:val="08DB07BA"/>
    <w:rsid w:val="0969353F"/>
    <w:rsid w:val="098305D0"/>
    <w:rsid w:val="0A3317EA"/>
    <w:rsid w:val="0A5C4B69"/>
    <w:rsid w:val="0A86124A"/>
    <w:rsid w:val="0AB54CC0"/>
    <w:rsid w:val="0B9335CE"/>
    <w:rsid w:val="0BF2311A"/>
    <w:rsid w:val="0C104830"/>
    <w:rsid w:val="0C7927C4"/>
    <w:rsid w:val="0C9B098C"/>
    <w:rsid w:val="0D673E11"/>
    <w:rsid w:val="0DDA54E4"/>
    <w:rsid w:val="0E3A5F83"/>
    <w:rsid w:val="0F836721"/>
    <w:rsid w:val="0FA25D96"/>
    <w:rsid w:val="0FBD206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8117C3"/>
    <w:rsid w:val="163A6CEE"/>
    <w:rsid w:val="173708E3"/>
    <w:rsid w:val="17C374FC"/>
    <w:rsid w:val="182E4AB6"/>
    <w:rsid w:val="189079DC"/>
    <w:rsid w:val="189B0D0B"/>
    <w:rsid w:val="18B43F7C"/>
    <w:rsid w:val="194A1770"/>
    <w:rsid w:val="19B906A4"/>
    <w:rsid w:val="19FE4385"/>
    <w:rsid w:val="1A862D73"/>
    <w:rsid w:val="1B6F15B6"/>
    <w:rsid w:val="1BAA2EDC"/>
    <w:rsid w:val="1CA55E64"/>
    <w:rsid w:val="1D014A01"/>
    <w:rsid w:val="1D022362"/>
    <w:rsid w:val="1D1B04B0"/>
    <w:rsid w:val="1DA52501"/>
    <w:rsid w:val="1DBD6767"/>
    <w:rsid w:val="1DC52125"/>
    <w:rsid w:val="1DD26311"/>
    <w:rsid w:val="1E374ACB"/>
    <w:rsid w:val="1E3C7B05"/>
    <w:rsid w:val="1E7922AE"/>
    <w:rsid w:val="1ECF0A66"/>
    <w:rsid w:val="1EF67CA4"/>
    <w:rsid w:val="1F020D3A"/>
    <w:rsid w:val="1F2C5189"/>
    <w:rsid w:val="1F303EDE"/>
    <w:rsid w:val="1F4B0B02"/>
    <w:rsid w:val="1F835EC0"/>
    <w:rsid w:val="1FBB35CD"/>
    <w:rsid w:val="1FCD26AF"/>
    <w:rsid w:val="20642787"/>
    <w:rsid w:val="21556F04"/>
    <w:rsid w:val="21BF1A1B"/>
    <w:rsid w:val="22403BD3"/>
    <w:rsid w:val="24B92327"/>
    <w:rsid w:val="24C14514"/>
    <w:rsid w:val="2533755C"/>
    <w:rsid w:val="25791755"/>
    <w:rsid w:val="26396DF4"/>
    <w:rsid w:val="26BA2E39"/>
    <w:rsid w:val="27167136"/>
    <w:rsid w:val="271B442C"/>
    <w:rsid w:val="27B23302"/>
    <w:rsid w:val="29310A5F"/>
    <w:rsid w:val="29C37A35"/>
    <w:rsid w:val="2A076083"/>
    <w:rsid w:val="2A2E2215"/>
    <w:rsid w:val="2A73162E"/>
    <w:rsid w:val="2A8A65BD"/>
    <w:rsid w:val="2B167953"/>
    <w:rsid w:val="2B200583"/>
    <w:rsid w:val="2B8209DE"/>
    <w:rsid w:val="2C636760"/>
    <w:rsid w:val="2C6762A3"/>
    <w:rsid w:val="2CB82385"/>
    <w:rsid w:val="2CDF3777"/>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1D4"/>
    <w:rsid w:val="3ADD7F09"/>
    <w:rsid w:val="3B1705E5"/>
    <w:rsid w:val="3B18334B"/>
    <w:rsid w:val="3B36794F"/>
    <w:rsid w:val="3B6F6EE0"/>
    <w:rsid w:val="3C566AD6"/>
    <w:rsid w:val="3C594871"/>
    <w:rsid w:val="3C6A5B02"/>
    <w:rsid w:val="3D2757A1"/>
    <w:rsid w:val="3D3D4FC4"/>
    <w:rsid w:val="3D450AFF"/>
    <w:rsid w:val="3DDF3AB1"/>
    <w:rsid w:val="3E1D0952"/>
    <w:rsid w:val="3E42660A"/>
    <w:rsid w:val="3E7555B1"/>
    <w:rsid w:val="3E787ED9"/>
    <w:rsid w:val="3EE205E6"/>
    <w:rsid w:val="3F032E93"/>
    <w:rsid w:val="3F0527E5"/>
    <w:rsid w:val="3F694D83"/>
    <w:rsid w:val="3F885DCC"/>
    <w:rsid w:val="3FCD675E"/>
    <w:rsid w:val="4004000C"/>
    <w:rsid w:val="40BD5482"/>
    <w:rsid w:val="411B6CE5"/>
    <w:rsid w:val="412070D7"/>
    <w:rsid w:val="41314E40"/>
    <w:rsid w:val="41E0734B"/>
    <w:rsid w:val="424232F0"/>
    <w:rsid w:val="426C1EA8"/>
    <w:rsid w:val="42736402"/>
    <w:rsid w:val="42E86A87"/>
    <w:rsid w:val="43307B09"/>
    <w:rsid w:val="439A3EB9"/>
    <w:rsid w:val="43BB152F"/>
    <w:rsid w:val="44C37687"/>
    <w:rsid w:val="45CB699A"/>
    <w:rsid w:val="465B470D"/>
    <w:rsid w:val="469D6AD4"/>
    <w:rsid w:val="471E6C84"/>
    <w:rsid w:val="4748792B"/>
    <w:rsid w:val="475D719D"/>
    <w:rsid w:val="47674801"/>
    <w:rsid w:val="477C1F64"/>
    <w:rsid w:val="48225EF7"/>
    <w:rsid w:val="488F422B"/>
    <w:rsid w:val="489F6E1C"/>
    <w:rsid w:val="48DB60D2"/>
    <w:rsid w:val="48E36915"/>
    <w:rsid w:val="48EB6572"/>
    <w:rsid w:val="495C4A24"/>
    <w:rsid w:val="497135DF"/>
    <w:rsid w:val="4A263DF2"/>
    <w:rsid w:val="4A6F6675"/>
    <w:rsid w:val="4AF95C0A"/>
    <w:rsid w:val="4B135857"/>
    <w:rsid w:val="4B7951CB"/>
    <w:rsid w:val="4B7C315C"/>
    <w:rsid w:val="4C330B38"/>
    <w:rsid w:val="4DAC4ACA"/>
    <w:rsid w:val="4DBE01D2"/>
    <w:rsid w:val="4EAD3ADB"/>
    <w:rsid w:val="4EBE523D"/>
    <w:rsid w:val="4F0C6BA3"/>
    <w:rsid w:val="4F135C6D"/>
    <w:rsid w:val="4F186D58"/>
    <w:rsid w:val="4F9F68AD"/>
    <w:rsid w:val="50F06B6E"/>
    <w:rsid w:val="51290781"/>
    <w:rsid w:val="51BF7DC1"/>
    <w:rsid w:val="51D21804"/>
    <w:rsid w:val="52234D33"/>
    <w:rsid w:val="522F6E0C"/>
    <w:rsid w:val="52370AA5"/>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873821"/>
    <w:rsid w:val="56B43771"/>
    <w:rsid w:val="56FF7E9E"/>
    <w:rsid w:val="578867FC"/>
    <w:rsid w:val="5842572D"/>
    <w:rsid w:val="5A3B59D6"/>
    <w:rsid w:val="5ABC3DE8"/>
    <w:rsid w:val="5AD134D8"/>
    <w:rsid w:val="5C263CE4"/>
    <w:rsid w:val="5C5D2777"/>
    <w:rsid w:val="5CF66BF3"/>
    <w:rsid w:val="5D290C69"/>
    <w:rsid w:val="5F2D4A41"/>
    <w:rsid w:val="60205F1A"/>
    <w:rsid w:val="60C74F6C"/>
    <w:rsid w:val="61025A59"/>
    <w:rsid w:val="613D5BBC"/>
    <w:rsid w:val="61536C39"/>
    <w:rsid w:val="6264757B"/>
    <w:rsid w:val="62944DD7"/>
    <w:rsid w:val="6319381F"/>
    <w:rsid w:val="63732B49"/>
    <w:rsid w:val="63C25DC5"/>
    <w:rsid w:val="63C62057"/>
    <w:rsid w:val="64571EF5"/>
    <w:rsid w:val="64FB113D"/>
    <w:rsid w:val="656152C6"/>
    <w:rsid w:val="6587477F"/>
    <w:rsid w:val="658C3A08"/>
    <w:rsid w:val="65C031CA"/>
    <w:rsid w:val="65CE6852"/>
    <w:rsid w:val="65F6292F"/>
    <w:rsid w:val="66267C04"/>
    <w:rsid w:val="663F02CB"/>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12140E"/>
    <w:rsid w:val="6EFD1324"/>
    <w:rsid w:val="6F5A53AC"/>
    <w:rsid w:val="6FAC003D"/>
    <w:rsid w:val="6FE55E12"/>
    <w:rsid w:val="6FFB2E76"/>
    <w:rsid w:val="708F1039"/>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ED2E4D"/>
    <w:rsid w:val="7B2C4B10"/>
    <w:rsid w:val="7B420052"/>
    <w:rsid w:val="7BD06A28"/>
    <w:rsid w:val="7C123BAF"/>
    <w:rsid w:val="7C3A7C0B"/>
    <w:rsid w:val="7C5248E4"/>
    <w:rsid w:val="7C566698"/>
    <w:rsid w:val="7C5866A3"/>
    <w:rsid w:val="7D474C68"/>
    <w:rsid w:val="7D7406BB"/>
    <w:rsid w:val="7DE94331"/>
    <w:rsid w:val="7EDB766B"/>
    <w:rsid w:val="7F446A19"/>
    <w:rsid w:val="7F7452B9"/>
    <w:rsid w:val="BF79A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pPr>
    <w:rPr>
      <w:sz w:val="18"/>
      <w:szCs w:val="18"/>
    </w:rPr>
  </w:style>
  <w:style w:type="paragraph" w:styleId="3">
    <w:name w:val="Balloon Text"/>
    <w:basedOn w:val="1"/>
    <w:link w:val="15"/>
    <w:qFormat/>
    <w:uiPriority w:val="0"/>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3"/>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32</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晏涛</cp:lastModifiedBy>
  <cp:lastPrinted>2024-10-24T15:58:00Z</cp:lastPrinted>
  <dcterms:modified xsi:type="dcterms:W3CDTF">2024-11-06T11:31:01Z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