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both"/>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rPr>
        <w:t>重庆市万州区发展改革服务中心（重庆市万州区军队粮油供应站）</w:t>
      </w:r>
      <w:r>
        <w:rPr>
          <w:rFonts w:ascii="Times New Roman" w:hAnsi="Times New Roman" w:eastAsia="方正小标宋_GBK" w:cs="方正小标宋_GBK"/>
          <w:sz w:val="44"/>
          <w:szCs w:val="44"/>
          <w:shd w:val="clear" w:color="auto" w:fill="FFFFFF"/>
        </w:rPr>
        <w:t>2023年度决算公开说明</w:t>
      </w:r>
    </w:p>
    <w:p>
      <w:pPr>
        <w:pStyle w:val="6"/>
        <w:shd w:val="clear" w:color="auto" w:fill="FFFFFF"/>
        <w:adjustRightInd w:val="0"/>
        <w:spacing w:before="0" w:beforeAutospacing="0" w:after="0" w:afterAutospacing="0" w:line="600" w:lineRule="exact"/>
        <w:rPr>
          <w:rStyle w:val="10"/>
          <w:rFonts w:hint="default" w:ascii="Times New Roman" w:hAnsi="Times New Roman" w:eastAsia="方正黑体_GBK" w:cs="方正黑体_GBK"/>
          <w:b w:val="0"/>
          <w:bCs/>
          <w:sz w:val="32"/>
          <w:szCs w:val="32"/>
          <w:shd w:val="clear" w:color="auto" w:fill="FFFFFF"/>
        </w:rPr>
      </w:pPr>
    </w:p>
    <w:p>
      <w:pPr>
        <w:pStyle w:val="6"/>
        <w:shd w:val="clear" w:color="auto" w:fill="FFFFFF"/>
        <w:adjustRightInd w:val="0"/>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一、单位基本情况</w:t>
      </w:r>
    </w:p>
    <w:p>
      <w:pPr>
        <w:pStyle w:val="6"/>
        <w:shd w:val="clear" w:color="auto" w:fill="FFFFFF"/>
        <w:adjustRightInd w:val="0"/>
        <w:spacing w:before="0" w:beforeAutospacing="0" w:after="0" w:afterAutospacing="0" w:line="600" w:lineRule="exact"/>
        <w:ind w:firstLine="640" w:firstLineChars="20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（一）职能职责</w:t>
      </w:r>
    </w:p>
    <w:p>
      <w:pPr>
        <w:pStyle w:val="6"/>
        <w:shd w:val="clear" w:color="auto" w:fill="FFFFFF"/>
        <w:adjustRightInd w:val="0"/>
        <w:spacing w:before="0" w:beforeAutospacing="0" w:after="0" w:afterAutospacing="0"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本单位现行的职能职责：</w:t>
      </w:r>
      <w:r>
        <w:rPr>
          <w:rFonts w:hint="default" w:ascii="Times New Roman" w:hAnsi="Times New Roman" w:eastAsia="方正仿宋_GBK"/>
          <w:sz w:val="32"/>
          <w:szCs w:val="32"/>
        </w:rPr>
        <w:t>承担经济运行监测、重大发展政策研究、项目咨询等事务性、服务性工作；承担价格认定服务工作；负责军供资产管理、统筹协调渝东北辖区内的军粮供应，承担部队的物资应急保供工作</w:t>
      </w:r>
      <w:r>
        <w:rPr>
          <w:rFonts w:ascii="Times New Roman" w:hAnsi="Times New Roman" w:eastAsia="方正仿宋_GBK"/>
          <w:sz w:val="32"/>
          <w:szCs w:val="32"/>
        </w:rPr>
        <w:t>；</w:t>
      </w:r>
      <w:r>
        <w:rPr>
          <w:rFonts w:hint="default" w:ascii="Times New Roman" w:hAnsi="Times New Roman" w:eastAsia="方正仿宋_GBK"/>
          <w:sz w:val="32"/>
          <w:szCs w:val="32"/>
        </w:rPr>
        <w:t>发展改革领域的政策研究、项目咨询等方面的公益服务职责</w:t>
      </w:r>
      <w:r>
        <w:rPr>
          <w:rFonts w:ascii="Times New Roman" w:hAnsi="Times New Roman" w:eastAsia="方正仿宋_GBK"/>
          <w:sz w:val="32"/>
          <w:szCs w:val="32"/>
        </w:rPr>
        <w:t>；</w:t>
      </w:r>
      <w:r>
        <w:rPr>
          <w:rFonts w:hint="default" w:ascii="Times New Roman" w:hAnsi="Times New Roman" w:eastAsia="方正仿宋_GBK"/>
          <w:sz w:val="32"/>
          <w:szCs w:val="32"/>
        </w:rPr>
        <w:t>承担全区重大项目投融资模式研究，重大项目策划、包装、储备、论证</w:t>
      </w:r>
      <w:r>
        <w:rPr>
          <w:rFonts w:ascii="Times New Roman" w:hAnsi="Times New Roman" w:eastAsia="方正仿宋_GBK"/>
          <w:sz w:val="32"/>
          <w:szCs w:val="32"/>
        </w:rPr>
        <w:t>，</w:t>
      </w:r>
      <w:r>
        <w:rPr>
          <w:rFonts w:hint="default" w:ascii="Times New Roman" w:hAnsi="Times New Roman" w:eastAsia="方正仿宋_GBK"/>
          <w:sz w:val="32"/>
          <w:szCs w:val="32"/>
        </w:rPr>
        <w:t>重大项目年度计划编制，重大项目推进落实等方面的事务性服务性职责和强化经济监测和经济政策研究以及区域合作政策研究职能</w:t>
      </w:r>
      <w:r>
        <w:rPr>
          <w:rFonts w:ascii="Times New Roman" w:hAnsi="Times New Roman" w:eastAsia="方正仿宋_GBK"/>
          <w:sz w:val="32"/>
          <w:szCs w:val="32"/>
        </w:rPr>
        <w:t>；承担公共资源交易、物资储备、民营经济发展方面的工作职责。</w:t>
      </w:r>
    </w:p>
    <w:p>
      <w:pPr>
        <w:pStyle w:val="6"/>
        <w:shd w:val="clear" w:color="auto" w:fill="FFFFFF"/>
        <w:spacing w:before="0" w:beforeAutospacing="0" w:after="0" w:afterAutospacing="0" w:line="600" w:lineRule="exact"/>
        <w:ind w:firstLine="420"/>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本单位共设10个科室，具体包括：</w:t>
      </w:r>
      <w:r>
        <w:rPr>
          <w:rFonts w:hint="default" w:ascii="Times New Roman" w:hAnsi="Times New Roman" w:eastAsia="方正仿宋_GBK"/>
          <w:sz w:val="32"/>
          <w:szCs w:val="32"/>
        </w:rPr>
        <w:t>综合科、价格服务科、军粮供应科</w:t>
      </w:r>
      <w:r>
        <w:rPr>
          <w:rFonts w:ascii="Times New Roman" w:hAnsi="Times New Roman" w:eastAsia="方正仿宋_GBK"/>
          <w:sz w:val="32"/>
          <w:szCs w:val="32"/>
        </w:rPr>
        <w:t>、</w:t>
      </w:r>
      <w:r>
        <w:rPr>
          <w:rFonts w:hint="default" w:ascii="Times New Roman" w:hAnsi="Times New Roman" w:eastAsia="方正仿宋_GBK"/>
          <w:sz w:val="32"/>
          <w:szCs w:val="32"/>
        </w:rPr>
        <w:t>经济发展科、项目策划科、区域政策协调科、项目服务科</w:t>
      </w:r>
      <w:r>
        <w:rPr>
          <w:rFonts w:ascii="Times New Roman" w:hAnsi="Times New Roman" w:eastAsia="方正仿宋_GBK"/>
          <w:sz w:val="32"/>
          <w:szCs w:val="32"/>
        </w:rPr>
        <w:t>、公共资源交易服务科、物资储备科、民营经济服务科。</w:t>
      </w:r>
    </w:p>
    <w:p>
      <w:pPr>
        <w:pStyle w:val="6"/>
        <w:widowControl w:val="0"/>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二、单位决算情况说明</w:t>
      </w:r>
    </w:p>
    <w:p>
      <w:pPr>
        <w:pStyle w:val="6"/>
        <w:widowControl w:val="0"/>
        <w:shd w:val="clear" w:color="auto" w:fill="FFFFFF"/>
        <w:spacing w:before="0" w:beforeAutospacing="0" w:after="0" w:afterAutospacing="0" w:line="600" w:lineRule="exact"/>
        <w:ind w:firstLine="640" w:firstLineChars="20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（一）收入支出决算总体情况说明</w:t>
      </w:r>
    </w:p>
    <w:p>
      <w:pPr>
        <w:pStyle w:val="6"/>
        <w:widowControl w:val="0"/>
        <w:shd w:val="clear" w:color="auto" w:fill="FFFFFF"/>
        <w:spacing w:before="0" w:beforeAutospacing="0" w:after="0" w:afterAutospacing="0" w:line="600" w:lineRule="exact"/>
        <w:ind w:firstLine="642"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2023年度收入总计1629.43万元，支出总计</w:t>
      </w:r>
      <w:r>
        <w:rPr>
          <w:rFonts w:ascii="Times New Roman" w:hAnsi="Times New Roman" w:eastAsia="方正仿宋_GBK" w:cs="方正仿宋_GBK"/>
          <w:sz w:val="32"/>
          <w:szCs w:val="32"/>
        </w:rPr>
        <w:t>1629.43</w:t>
      </w:r>
      <w:r>
        <w:rPr>
          <w:rFonts w:ascii="Times New Roman" w:hAnsi="Times New Roman" w:eastAsia="方正仿宋_GBK" w:cs="方正仿宋_GBK"/>
          <w:sz w:val="32"/>
          <w:szCs w:val="32"/>
          <w:shd w:val="clear" w:color="auto" w:fill="FFFFFF"/>
        </w:rPr>
        <w:t>万元。收支较上年决算数增加140.9元，增长9.</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%，主要原因是基建项目增加。</w:t>
      </w:r>
    </w:p>
    <w:p>
      <w:pPr>
        <w:pStyle w:val="6"/>
        <w:widowControl w:val="0"/>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2023年度收入合计1629.43万元，较上年决算数增加140.9万元，增长9.</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%，主要原因是基建项目增加。其中：财政拨款收入</w:t>
      </w:r>
      <w:r>
        <w:rPr>
          <w:rFonts w:ascii="Times New Roman" w:hAnsi="Times New Roman" w:eastAsia="方正仿宋_GBK" w:cs="方正仿宋_GBK"/>
          <w:sz w:val="32"/>
          <w:szCs w:val="32"/>
        </w:rPr>
        <w:t>1629.43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万元，占0.0%；经营收入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万元，占0.0%；其他收入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万元，占0.0%。此外，使用非财政拨款结余和专用结余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1629.43</w:t>
      </w:r>
      <w:r>
        <w:rPr>
          <w:rFonts w:ascii="Times New Roman" w:hAnsi="Times New Roman" w:eastAsia="方正仿宋_GBK" w:cs="方正仿宋_GBK"/>
          <w:sz w:val="32"/>
          <w:szCs w:val="32"/>
          <w:shd w:val="clear" w:color="auto" w:fill="FFFFFF"/>
        </w:rPr>
        <w:t>万元，较上年决算数增加140.9万元，增长9.</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%，主要原因是基建项目增加。其中：基本支出</w:t>
      </w:r>
      <w:r>
        <w:rPr>
          <w:rFonts w:ascii="Times New Roman" w:hAnsi="Times New Roman" w:eastAsia="方正仿宋_GBK" w:cs="方正仿宋_GBK"/>
          <w:sz w:val="32"/>
          <w:szCs w:val="32"/>
        </w:rPr>
        <w:t>1059.43</w:t>
      </w:r>
      <w:r>
        <w:rPr>
          <w:rFonts w:ascii="Times New Roman" w:hAnsi="Times New Roman" w:eastAsia="方正仿宋_GBK" w:cs="方正仿宋_GBK"/>
          <w:sz w:val="32"/>
          <w:szCs w:val="32"/>
          <w:shd w:val="clear" w:color="auto" w:fill="FFFFFF"/>
        </w:rPr>
        <w:t>万元，占65.0%；项目支出</w:t>
      </w:r>
      <w:r>
        <w:rPr>
          <w:rFonts w:ascii="Times New Roman" w:hAnsi="Times New Roman" w:eastAsia="方正仿宋_GBK" w:cs="方正仿宋_GBK"/>
          <w:sz w:val="32"/>
          <w:szCs w:val="32"/>
        </w:rPr>
        <w:t>570</w:t>
      </w:r>
      <w:r>
        <w:rPr>
          <w:rFonts w:ascii="Times New Roman" w:hAnsi="Times New Roman" w:eastAsia="方正仿宋_GBK" w:cs="方正仿宋_GBK"/>
          <w:sz w:val="32"/>
          <w:szCs w:val="32"/>
          <w:shd w:val="clear" w:color="auto" w:fill="FFFFFF"/>
        </w:rPr>
        <w:t>万元，占3</w:t>
      </w:r>
      <w:r>
        <w:rPr>
          <w:rFonts w:hint="default" w:ascii="Times New Roman" w:hAnsi="Times New Roman" w:eastAsia="方正仿宋_GBK" w:cs="方正仿宋_GBK"/>
          <w:sz w:val="32"/>
          <w:szCs w:val="32"/>
          <w:shd w:val="clear" w:color="auto" w:fill="FFFFFF"/>
        </w:rPr>
        <w:t>5.0</w:t>
      </w:r>
      <w:r>
        <w:rPr>
          <w:rFonts w:ascii="Times New Roman" w:hAnsi="Times New Roman" w:eastAsia="方正仿宋_GBK" w:cs="方正仿宋_GBK"/>
          <w:sz w:val="32"/>
          <w:szCs w:val="32"/>
          <w:shd w:val="clear" w:color="auto" w:fill="FFFFFF"/>
        </w:rPr>
        <w:t>%；经营支出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万元，占0.0%。此外，结余分配</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2023年度无年末结转和结余。</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2023年度财政拨款收、支总计1629.43万元。与2022年相比，财政拨款收、支总计各增加140.9万元，增长9.</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%。主要原因是基建项目增加。</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1629.43</w:t>
      </w:r>
      <w:r>
        <w:rPr>
          <w:rFonts w:ascii="Times New Roman" w:hAnsi="Times New Roman" w:eastAsia="方正仿宋_GBK" w:cs="方正仿宋_GBK"/>
          <w:sz w:val="32"/>
          <w:szCs w:val="32"/>
          <w:shd w:val="clear" w:color="auto" w:fill="FFFFFF"/>
        </w:rPr>
        <w:t>万元，较上年决算数增加312.9万元，增长23.</w:t>
      </w:r>
      <w:r>
        <w:rPr>
          <w:rFonts w:hint="default" w:ascii="Times New Roman" w:hAnsi="Times New Roman" w:eastAsia="方正仿宋_GBK" w:cs="方正仿宋_GBK"/>
          <w:sz w:val="32"/>
          <w:szCs w:val="32"/>
          <w:shd w:val="clear" w:color="auto" w:fill="FFFFFF"/>
        </w:rPr>
        <w:t>8</w:t>
      </w:r>
      <w:r>
        <w:rPr>
          <w:rFonts w:ascii="Times New Roman" w:hAnsi="Times New Roman" w:eastAsia="方正仿宋_GBK" w:cs="方正仿宋_GBK"/>
          <w:sz w:val="32"/>
          <w:szCs w:val="32"/>
          <w:shd w:val="clear" w:color="auto" w:fill="FFFFFF"/>
        </w:rPr>
        <w:t>%。主要原因是基建项目增加。较年初预算数增加1043.74万元，增长178.2%。主要原因是单位人员新增和职责变动追加的预算。此外，年初财政拨款结转和结余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1629.43</w:t>
      </w:r>
      <w:r>
        <w:rPr>
          <w:rFonts w:ascii="Times New Roman" w:hAnsi="Times New Roman" w:eastAsia="方正仿宋_GBK" w:cs="方正仿宋_GBK"/>
          <w:sz w:val="32"/>
          <w:szCs w:val="32"/>
          <w:shd w:val="clear" w:color="auto" w:fill="FFFFFF"/>
        </w:rPr>
        <w:t>万元，较上年决算数增加312.9万元，增长23.</w:t>
      </w:r>
      <w:r>
        <w:rPr>
          <w:rFonts w:hint="default" w:ascii="Times New Roman" w:hAnsi="Times New Roman" w:eastAsia="方正仿宋_GBK" w:cs="方正仿宋_GBK"/>
          <w:sz w:val="32"/>
          <w:szCs w:val="32"/>
          <w:shd w:val="clear" w:color="auto" w:fill="FFFFFF"/>
        </w:rPr>
        <w:t>8</w:t>
      </w:r>
      <w:r>
        <w:rPr>
          <w:rFonts w:ascii="Times New Roman" w:hAnsi="Times New Roman" w:eastAsia="方正仿宋_GBK" w:cs="方正仿宋_GBK"/>
          <w:sz w:val="32"/>
          <w:szCs w:val="32"/>
          <w:shd w:val="clear" w:color="auto" w:fill="FFFFFF"/>
        </w:rPr>
        <w:t>%。主要原因是基建项目增加。较年初预算数增加1043.74万元，增长178.2%。主要原因是单位人员新增和职责变动追加的预算。</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1410.93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86.</w:t>
      </w:r>
      <w:r>
        <w:rPr>
          <w:rFonts w:hint="default" w:ascii="Times New Roman" w:hAnsi="Times New Roman" w:eastAsia="方正仿宋_GBK" w:cs="方正仿宋_GBK"/>
          <w:sz w:val="32"/>
          <w:szCs w:val="32"/>
        </w:rPr>
        <w:t>6</w:t>
      </w:r>
      <w:r>
        <w:rPr>
          <w:rFonts w:ascii="Times New Roman" w:hAnsi="Times New Roman" w:eastAsia="方正仿宋_GBK" w:cs="方正仿宋_GBK"/>
          <w:sz w:val="32"/>
          <w:szCs w:val="32"/>
          <w:shd w:val="clear" w:color="auto" w:fill="FFFFFF"/>
        </w:rPr>
        <w:t>%，较年初预算数增加1021.65万元，增长262.</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%，主要原因是单位人员新增。</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154.46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w:t>
      </w:r>
      <w:r>
        <w:rPr>
          <w:rFonts w:hint="default" w:ascii="Times New Roman" w:hAnsi="Times New Roman" w:eastAsia="方正仿宋_GBK" w:cs="方正仿宋_GBK"/>
          <w:sz w:val="32"/>
          <w:szCs w:val="32"/>
        </w:rPr>
        <w:t>5</w:t>
      </w:r>
      <w:r>
        <w:rPr>
          <w:rFonts w:ascii="Times New Roman" w:hAnsi="Times New Roman" w:eastAsia="方正仿宋_GBK" w:cs="方正仿宋_GBK"/>
          <w:sz w:val="32"/>
          <w:szCs w:val="32"/>
          <w:shd w:val="clear" w:color="auto" w:fill="FFFFFF"/>
        </w:rPr>
        <w:t>%，较年初预算数增加16.45万元，增长11.9%，主要原因是单位人员新增。</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36.53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2.2</w:t>
      </w:r>
      <w:r>
        <w:rPr>
          <w:rFonts w:ascii="Times New Roman" w:hAnsi="Times New Roman" w:eastAsia="方正仿宋_GBK" w:cs="方正仿宋_GBK"/>
          <w:sz w:val="32"/>
          <w:szCs w:val="32"/>
          <w:shd w:val="clear" w:color="auto" w:fill="FFFFFF"/>
        </w:rPr>
        <w:t>%，较年初预算数增加4.25万元，增长13.</w:t>
      </w:r>
      <w:r>
        <w:rPr>
          <w:rFonts w:hint="default" w:ascii="Times New Roman" w:hAnsi="Times New Roman" w:eastAsia="方正仿宋_GBK" w:cs="方正仿宋_GBK"/>
          <w:sz w:val="32"/>
          <w:szCs w:val="32"/>
          <w:shd w:val="clear" w:color="auto" w:fill="FFFFFF"/>
        </w:rPr>
        <w:t>2</w:t>
      </w:r>
      <w:r>
        <w:rPr>
          <w:rFonts w:ascii="Times New Roman" w:hAnsi="Times New Roman" w:eastAsia="方正仿宋_GBK" w:cs="方正仿宋_GBK"/>
          <w:sz w:val="32"/>
          <w:szCs w:val="32"/>
          <w:shd w:val="clear" w:color="auto" w:fill="FFFFFF"/>
        </w:rPr>
        <w:t>%，主要原因是单位人员新增。</w:t>
      </w:r>
    </w:p>
    <w:p>
      <w:pPr>
        <w:spacing w:after="0" w:line="600" w:lineRule="exact"/>
        <w:ind w:firstLine="640" w:firstLineChars="200"/>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住房保障支出27.52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w:t>
      </w:r>
      <w:r>
        <w:rPr>
          <w:rFonts w:hint="default" w:ascii="Times New Roman" w:hAnsi="Times New Roman" w:eastAsia="方正仿宋_GBK" w:cs="方正仿宋_GBK"/>
          <w:sz w:val="32"/>
          <w:szCs w:val="32"/>
        </w:rPr>
        <w:t>7</w:t>
      </w:r>
      <w:r>
        <w:rPr>
          <w:rFonts w:ascii="Times New Roman" w:hAnsi="Times New Roman" w:eastAsia="方正仿宋_GBK" w:cs="方正仿宋_GBK"/>
          <w:sz w:val="32"/>
          <w:szCs w:val="32"/>
          <w:shd w:val="clear" w:color="auto" w:fill="FFFFFF"/>
        </w:rPr>
        <w:t>%，较年初预算数增加1.41万元，增长5.4%，主要原因是单位人员新增。</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1059.43</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890.41</w:t>
      </w:r>
      <w:r>
        <w:rPr>
          <w:rFonts w:ascii="Times New Roman" w:hAnsi="Times New Roman" w:eastAsia="方正仿宋_GBK" w:cs="方正仿宋_GBK"/>
          <w:sz w:val="32"/>
          <w:szCs w:val="32"/>
          <w:shd w:val="clear" w:color="auto" w:fill="FFFFFF"/>
        </w:rPr>
        <w:t>万元，较上年决算数增加68.16万元，增长8.</w:t>
      </w:r>
      <w:r>
        <w:rPr>
          <w:rFonts w:hint="default" w:ascii="Times New Roman" w:hAnsi="Times New Roman" w:eastAsia="方正仿宋_GBK" w:cs="方正仿宋_GBK"/>
          <w:sz w:val="32"/>
          <w:szCs w:val="32"/>
          <w:shd w:val="clear" w:color="auto" w:fill="FFFFFF"/>
        </w:rPr>
        <w:t>3</w:t>
      </w:r>
      <w:r>
        <w:rPr>
          <w:rFonts w:ascii="Times New Roman" w:hAnsi="Times New Roman" w:eastAsia="方正仿宋_GBK" w:cs="方正仿宋_GBK"/>
          <w:sz w:val="32"/>
          <w:szCs w:val="32"/>
          <w:shd w:val="clear" w:color="auto" w:fill="FFFFFF"/>
        </w:rPr>
        <w:t>%，主要原因是单位人员新增。人员经费用途主要包括工资、津补贴、社保等。公用经费</w:t>
      </w:r>
      <w:r>
        <w:rPr>
          <w:rFonts w:ascii="Times New Roman" w:hAnsi="Times New Roman" w:eastAsia="方正仿宋_GBK" w:cs="方正仿宋_GBK"/>
          <w:sz w:val="32"/>
          <w:szCs w:val="32"/>
        </w:rPr>
        <w:t>169.02</w:t>
      </w:r>
      <w:r>
        <w:rPr>
          <w:rFonts w:ascii="Times New Roman" w:hAnsi="Times New Roman" w:eastAsia="方正仿宋_GBK" w:cs="方正仿宋_GBK"/>
          <w:sz w:val="32"/>
          <w:szCs w:val="32"/>
          <w:shd w:val="clear" w:color="auto" w:fill="FFFFFF"/>
        </w:rPr>
        <w:t>万元，较上年决算数减少129.71万元，下降43.4%，主要原因是非税成本返还项目经济分类科目使用较上年有所调整。公用经费用途主要包括办公费、水电气费、修缮费等。</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本单位2023年度无政府性基金预算财政拨款收支。</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本单位2023年度无国有资本经营预算财政拨款支出。</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三、“三公”经费情况说明</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1.15</w:t>
      </w:r>
      <w:r>
        <w:rPr>
          <w:rFonts w:ascii="Times New Roman" w:hAnsi="Times New Roman" w:eastAsia="方正仿宋_GBK" w:cs="方正仿宋_GBK"/>
          <w:sz w:val="32"/>
          <w:szCs w:val="32"/>
          <w:shd w:val="clear" w:color="auto" w:fill="FFFFFF"/>
        </w:rPr>
        <w:t>万元，较年初预算数减少6.85万元，下降85.6%，主要原因是厉行勤俭节约，加强预算管理，严控“三公”经费。较上年支出数减少6.28万元，下降84.5%，主要原因是厉行勤俭节约，加强预算管理，严控“三公”经费。</w:t>
      </w:r>
    </w:p>
    <w:p>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2023年度本单位未发生因公出国（境）费用，</w:t>
      </w:r>
      <w:r>
        <w:rPr>
          <w:rFonts w:ascii="Times New Roman" w:hAnsi="Times New Roman" w:eastAsia="方正仿宋_GBK" w:cs="方正仿宋_GBK"/>
          <w:sz w:val="32"/>
          <w:szCs w:val="32"/>
        </w:rPr>
        <w:t>与年初预算数和上年决算数持平。</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2023年度本单位未发生公务车购置费，</w:t>
      </w:r>
      <w:r>
        <w:rPr>
          <w:rFonts w:ascii="Times New Roman" w:hAnsi="Times New Roman" w:eastAsia="方正仿宋_GBK" w:cs="方正仿宋_GBK"/>
          <w:sz w:val="32"/>
          <w:szCs w:val="32"/>
        </w:rPr>
        <w:t>与年初预算数和上年决算数持平。</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1.15</w:t>
      </w:r>
      <w:r>
        <w:rPr>
          <w:rFonts w:ascii="Times New Roman" w:hAnsi="Times New Roman" w:eastAsia="方正仿宋_GBK" w:cs="方正仿宋_GBK"/>
          <w:sz w:val="32"/>
          <w:szCs w:val="32"/>
          <w:shd w:val="clear" w:color="auto" w:fill="FFFFFF"/>
        </w:rPr>
        <w:t>万元，主要用于车辆的维修、保养、燃料费等。费用支出较年初预算数减少2.85万元，下降71.</w:t>
      </w:r>
      <w:r>
        <w:rPr>
          <w:rFonts w:hint="default" w:ascii="Times New Roman" w:hAnsi="Times New Roman" w:eastAsia="方正仿宋_GBK" w:cs="方正仿宋_GBK"/>
          <w:sz w:val="32"/>
          <w:szCs w:val="32"/>
          <w:shd w:val="clear" w:color="auto" w:fill="FFFFFF"/>
        </w:rPr>
        <w:t>3</w:t>
      </w:r>
      <w:r>
        <w:rPr>
          <w:rFonts w:ascii="Times New Roman" w:hAnsi="Times New Roman" w:eastAsia="方正仿宋_GBK" w:cs="方正仿宋_GBK"/>
          <w:sz w:val="32"/>
          <w:szCs w:val="32"/>
          <w:shd w:val="clear" w:color="auto" w:fill="FFFFFF"/>
        </w:rPr>
        <w:t>%，主要原因是厉行勤俭节约，减少了汽油车辆的使用。较上年支出数减少2.72万元，下降70.</w:t>
      </w:r>
      <w:r>
        <w:rPr>
          <w:rFonts w:hint="default" w:ascii="Times New Roman" w:hAnsi="Times New Roman" w:eastAsia="方正仿宋_GBK" w:cs="方正仿宋_GBK"/>
          <w:sz w:val="32"/>
          <w:szCs w:val="32"/>
          <w:shd w:val="clear" w:color="auto" w:fill="FFFFFF"/>
        </w:rPr>
        <w:t>3</w:t>
      </w:r>
      <w:r>
        <w:rPr>
          <w:rFonts w:ascii="Times New Roman" w:hAnsi="Times New Roman" w:eastAsia="方正仿宋_GBK" w:cs="方正仿宋_GBK"/>
          <w:sz w:val="32"/>
          <w:szCs w:val="32"/>
          <w:shd w:val="clear" w:color="auto" w:fill="FFFFFF"/>
        </w:rPr>
        <w:t>%，主要原因是厉行勤俭节约，减少了汽油车辆的使用。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万元，费用支出较年初预算数减少4万元，下降100.0%，主要原因是本年无公务接待。较上年支出数减少3.57万元，下降100.0%，主要原因是本年无公务接待。</w:t>
      </w:r>
    </w:p>
    <w:p>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0.38</w:t>
      </w:r>
      <w:r>
        <w:rPr>
          <w:rFonts w:ascii="Times New Roman" w:hAnsi="Times New Roman"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四、其他需要说明的事项</w:t>
      </w:r>
    </w:p>
    <w:p>
      <w:pPr>
        <w:pStyle w:val="6"/>
        <w:shd w:val="clear" w:color="auto" w:fill="FFFFFF"/>
        <w:spacing w:before="0" w:beforeAutospacing="0" w:after="0" w:afterAutospacing="0" w:line="600" w:lineRule="exact"/>
        <w:ind w:firstLine="640" w:firstLineChars="200"/>
        <w:rPr>
          <w:rFonts w:hint="default" w:ascii="Times New Roman" w:hAnsi="Times New Roman" w:eastAsia="楷体" w:cs="楷体"/>
          <w:b/>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（一）财政拨款会议费和培训费情况说明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万元，较上年决算数无增减，主要原因是无相关费用发生。本年度培训费支出</w:t>
      </w:r>
      <w:r>
        <w:rPr>
          <w:rFonts w:ascii="Times New Roman" w:hAnsi="Times New Roman" w:eastAsia="方正仿宋_GBK" w:cs="方正仿宋_GBK"/>
          <w:sz w:val="32"/>
          <w:szCs w:val="32"/>
        </w:rPr>
        <w:t>2.25</w:t>
      </w:r>
      <w:r>
        <w:rPr>
          <w:rFonts w:ascii="Times New Roman" w:hAnsi="Times New Roman" w:eastAsia="方正仿宋_GBK" w:cs="方正仿宋_GBK"/>
          <w:sz w:val="32"/>
          <w:szCs w:val="32"/>
          <w:shd w:val="clear" w:color="auto" w:fill="FFFFFF"/>
        </w:rPr>
        <w:t>万元，较上年决算数增加0.4万元，增长21.6%，主要原因是单位人员新增。</w:t>
      </w:r>
    </w:p>
    <w:p>
      <w:pPr>
        <w:pStyle w:val="11"/>
        <w:widowControl w:val="0"/>
        <w:autoSpaceDE w:val="0"/>
        <w:spacing w:after="0" w:line="600" w:lineRule="exact"/>
        <w:ind w:firstLine="640"/>
        <w:rPr>
          <w:rStyle w:val="10"/>
          <w:rFonts w:ascii="Times New Roman" w:hAnsi="Times New Roman" w:eastAsia="方正楷体_GBK" w:cs="方正楷体_GBK"/>
          <w:b w:val="0"/>
          <w:bCs/>
          <w:sz w:val="32"/>
          <w:szCs w:val="32"/>
          <w:shd w:val="clear" w:color="auto" w:fill="FFFFFF"/>
        </w:rPr>
      </w:pPr>
      <w:r>
        <w:rPr>
          <w:rStyle w:val="10"/>
          <w:rFonts w:hint="eastAsia" w:ascii="Times New Roman" w:hAnsi="Times New Roman" w:eastAsia="方正楷体_GBK" w:cs="方正楷体_GBK"/>
          <w:b w:val="0"/>
          <w:bCs/>
          <w:sz w:val="32"/>
          <w:szCs w:val="32"/>
          <w:shd w:val="clear" w:color="auto" w:fill="FFFFFF"/>
        </w:rPr>
        <w:t>（二）机关运行经费情况说明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cs="方正仿宋_GBK"/>
          <w:sz w:val="32"/>
          <w:szCs w:val="32"/>
        </w:rPr>
        <w:t>按照部门决算列报口径，我单位不在机关运行经费统计范围之内</w:t>
      </w:r>
      <w:r>
        <w:rPr>
          <w:rFonts w:ascii="Times New Roman" w:hAnsi="Times New Roman" w:eastAsia="方正仿宋_GBK" w:cs="方正仿宋_GBK"/>
          <w:sz w:val="32"/>
          <w:szCs w:val="32"/>
        </w:rPr>
        <w:t>。</w:t>
      </w:r>
      <w:r>
        <w:rPr>
          <w:rFonts w:ascii="Times New Roman" w:hAnsi="Times New Roman" w:eastAsia="方正仿宋_GBK" w:cs="方正仿宋_GBK"/>
          <w:sz w:val="32"/>
          <w:szCs w:val="32"/>
          <w:shd w:val="clear" w:color="auto" w:fill="FFFFFF"/>
        </w:rPr>
        <w:t>机关运行经费较上年支出数无增减，按照部门决算列报口径，我单位不在机关运行经费统计范围之内。</w:t>
      </w:r>
    </w:p>
    <w:p>
      <w:pPr>
        <w:pStyle w:val="11"/>
        <w:widowControl w:val="0"/>
        <w:autoSpaceDE w:val="0"/>
        <w:spacing w:after="0" w:line="600" w:lineRule="exact"/>
        <w:ind w:firstLine="640"/>
        <w:rPr>
          <w:rStyle w:val="10"/>
          <w:rFonts w:ascii="Times New Roman" w:hAnsi="Times New Roman" w:eastAsia="方正楷体_GBK" w:cs="方正楷体_GBK"/>
          <w:b w:val="0"/>
          <w:bCs/>
          <w:sz w:val="32"/>
          <w:szCs w:val="32"/>
          <w:shd w:val="clear" w:color="auto" w:fill="FFFFFF"/>
        </w:rPr>
      </w:pPr>
      <w:r>
        <w:rPr>
          <w:rStyle w:val="10"/>
          <w:rFonts w:hint="eastAsia" w:ascii="Times New Roman" w:hAnsi="Times New Roman" w:eastAsia="方正楷体_GBK" w:cs="方正楷体_GBK"/>
          <w:b w:val="0"/>
          <w:bCs/>
          <w:sz w:val="32"/>
          <w:szCs w:val="32"/>
          <w:shd w:val="clear" w:color="auto" w:fill="FFFFFF"/>
        </w:rPr>
        <w:t>（三）国有资产占用情况说明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widowControl w:val="0"/>
        <w:autoSpaceDE w:val="0"/>
        <w:spacing w:after="0" w:line="600" w:lineRule="exact"/>
        <w:ind w:firstLine="640"/>
        <w:rPr>
          <w:rStyle w:val="10"/>
          <w:rFonts w:ascii="Times New Roman" w:hAnsi="Times New Roman" w:eastAsia="方正楷体_GBK" w:cs="方正楷体_GBK"/>
          <w:b w:val="0"/>
          <w:bCs/>
          <w:sz w:val="32"/>
          <w:szCs w:val="32"/>
          <w:shd w:val="clear" w:color="auto" w:fill="FFFFFF"/>
        </w:rPr>
      </w:pPr>
      <w:r>
        <w:rPr>
          <w:rStyle w:val="10"/>
          <w:rFonts w:hint="eastAsia" w:ascii="Times New Roman" w:hAnsi="Times New Roman" w:eastAsia="方正楷体_GBK" w:cs="方正楷体_GBK"/>
          <w:b w:val="0"/>
          <w:bCs/>
          <w:sz w:val="32"/>
          <w:szCs w:val="32"/>
          <w:shd w:val="clear" w:color="auto" w:fill="FFFFFF"/>
        </w:rPr>
        <w:t>（四）政府采购支出情况说明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2023年度我单位未发生政府采购事项，无相关经费支出。</w:t>
      </w:r>
    </w:p>
    <w:p>
      <w:pPr>
        <w:pStyle w:val="6"/>
        <w:widowControl w:val="0"/>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五、预算绩效管理情况说明</w:t>
      </w:r>
    </w:p>
    <w:p>
      <w:pPr>
        <w:pStyle w:val="11"/>
        <w:widowControl w:val="0"/>
        <w:autoSpaceDE w:val="0"/>
        <w:spacing w:after="0" w:line="600" w:lineRule="exact"/>
        <w:ind w:firstLine="640"/>
        <w:rPr>
          <w:rStyle w:val="10"/>
          <w:rFonts w:ascii="Times New Roman" w:hAnsi="Times New Roman" w:eastAsia="方正楷体_GBK" w:cs="方正楷体_GBK"/>
          <w:b w:val="0"/>
          <w:bCs/>
          <w:sz w:val="32"/>
          <w:szCs w:val="32"/>
          <w:shd w:val="clear" w:color="auto" w:fill="FFFFFF"/>
        </w:rPr>
      </w:pPr>
      <w:r>
        <w:rPr>
          <w:rStyle w:val="10"/>
          <w:rFonts w:hint="eastAsia" w:ascii="Times New Roman" w:hAnsi="Times New Roman" w:eastAsia="方正楷体_GBK" w:cs="方正楷体_GBK"/>
          <w:b w:val="0"/>
          <w:bCs/>
          <w:sz w:val="32"/>
          <w:szCs w:val="32"/>
          <w:shd w:val="clear" w:color="auto" w:fill="FFFFFF"/>
        </w:rPr>
        <w:t>（一）单位自评情况（必须公开内容）</w:t>
      </w:r>
    </w:p>
    <w:p>
      <w:pPr>
        <w:pStyle w:val="16"/>
        <w:widowControl w:val="0"/>
        <w:tabs>
          <w:tab w:val="center" w:pos="4153"/>
          <w:tab w:val="left" w:pos="7275"/>
        </w:tabs>
        <w:spacing w:after="0" w:line="600" w:lineRule="exact"/>
        <w:ind w:firstLine="640"/>
        <w:rPr>
          <w:rFonts w:hint="default" w:ascii="Times New Roman" w:hAnsi="Times New Roman" w:eastAsia="方正仿宋_GBK" w:cs="宋体"/>
          <w:sz w:val="32"/>
          <w:szCs w:val="32"/>
        </w:rPr>
      </w:pPr>
      <w:r>
        <w:rPr>
          <w:rFonts w:ascii="Times New Roman" w:hAnsi="Times New Roman" w:eastAsia="方正仿宋_GBK" w:cs="宋体"/>
          <w:sz w:val="32"/>
          <w:szCs w:val="32"/>
        </w:rPr>
        <w:t>根据预算绩效管理要求，我单位对</w:t>
      </w:r>
      <w:r>
        <w:rPr>
          <w:rFonts w:hint="default" w:ascii="Times New Roman" w:hAnsi="Times New Roman" w:eastAsia="方正仿宋_GBK" w:cs="宋体"/>
          <w:sz w:val="32"/>
          <w:szCs w:val="32"/>
        </w:rPr>
        <w:t>1</w:t>
      </w:r>
      <w:r>
        <w:rPr>
          <w:rFonts w:ascii="Times New Roman" w:hAnsi="Times New Roman" w:eastAsia="方正仿宋_GBK" w:cs="宋体"/>
          <w:sz w:val="32"/>
          <w:szCs w:val="32"/>
        </w:rPr>
        <w:t>个一般性项目开展了绩效自评，涉及财政拨款项目支出</w:t>
      </w:r>
      <w:r>
        <w:rPr>
          <w:rFonts w:hint="default" w:ascii="Times New Roman" w:hAnsi="Times New Roman" w:eastAsia="方正仿宋_GBK" w:cs="宋体"/>
          <w:sz w:val="32"/>
          <w:szCs w:val="32"/>
        </w:rPr>
        <w:t>570</w:t>
      </w:r>
      <w:r>
        <w:rPr>
          <w:rFonts w:ascii="Times New Roman" w:hAnsi="Times New Roman" w:eastAsia="方正仿宋_GBK" w:cs="宋体"/>
          <w:sz w:val="32"/>
          <w:szCs w:val="32"/>
        </w:rPr>
        <w:t>万元。</w:t>
      </w:r>
    </w:p>
    <w:p>
      <w:pPr>
        <w:pStyle w:val="11"/>
        <w:autoSpaceDE w:val="0"/>
        <w:spacing w:line="600" w:lineRule="exact"/>
        <w:ind w:firstLine="640"/>
        <w:rPr>
          <w:rStyle w:val="10"/>
          <w:rFonts w:ascii="Times New Roman" w:hAnsi="Times New Roman" w:eastAsia="方正楷体_GBK" w:cs="方正楷体_GBK"/>
          <w:b w:val="0"/>
          <w:bCs/>
          <w:sz w:val="32"/>
          <w:szCs w:val="32"/>
          <w:shd w:val="clear" w:color="auto" w:fill="FFFFFF"/>
        </w:rPr>
      </w:pPr>
      <w:r>
        <w:rPr>
          <w:rStyle w:val="10"/>
          <w:rFonts w:hint="eastAsia" w:ascii="Times New Roman" w:hAnsi="Times New Roman" w:eastAsia="方正楷体_GBK" w:cs="方正楷体_GBK"/>
          <w:b w:val="0"/>
          <w:bCs/>
          <w:sz w:val="32"/>
          <w:szCs w:val="32"/>
          <w:shd w:val="clear" w:color="auto" w:fill="FFFFFF"/>
        </w:rPr>
        <w:t>（二）绩效自评结果</w:t>
      </w:r>
    </w:p>
    <w:p>
      <w:pPr>
        <w:spacing w:line="600" w:lineRule="exact"/>
        <w:ind w:firstLine="640" w:firstLineChars="200"/>
        <w:textAlignment w:val="center"/>
        <w:rPr>
          <w:rFonts w:hint="default" w:ascii="Times New Roman" w:hAnsi="Times New Roman" w:eastAsia="方正仿宋_GBK" w:cs="宋体"/>
          <w:sz w:val="32"/>
          <w:szCs w:val="32"/>
        </w:rPr>
      </w:pPr>
      <w:r>
        <w:rPr>
          <w:rFonts w:ascii="Times New Roman" w:hAnsi="Times New Roman" w:eastAsia="方正仿宋_GBK" w:cs="宋体"/>
          <w:sz w:val="32"/>
          <w:szCs w:val="32"/>
        </w:rPr>
        <w:t>本单位只有1个一般性项目支出。</w:t>
      </w:r>
    </w:p>
    <w:p>
      <w:pPr>
        <w:spacing w:line="600" w:lineRule="exact"/>
        <w:ind w:firstLine="640" w:firstLineChars="200"/>
        <w:textAlignment w:val="center"/>
        <w:rPr>
          <w:rFonts w:hint="default" w:ascii="Times New Roman" w:hAnsi="Times New Roman" w:eastAsia="方正仿宋_GBK" w:cs="宋体"/>
          <w:sz w:val="32"/>
          <w:szCs w:val="32"/>
        </w:rPr>
      </w:pPr>
    </w:p>
    <w:p>
      <w:pPr>
        <w:spacing w:line="600" w:lineRule="exact"/>
        <w:ind w:firstLine="640" w:firstLineChars="200"/>
        <w:textAlignment w:val="center"/>
        <w:rPr>
          <w:rFonts w:hint="default" w:ascii="Times New Roman" w:hAnsi="Times New Roman" w:eastAsia="方正仿宋_GBK" w:cs="宋体"/>
          <w:sz w:val="32"/>
          <w:szCs w:val="32"/>
        </w:rPr>
      </w:pPr>
    </w:p>
    <w:tbl>
      <w:tblPr>
        <w:tblStyle w:val="7"/>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895" w:hRule="atLeast"/>
        </w:trPr>
        <w:tc>
          <w:tcPr>
            <w:tcW w:w="8355" w:type="dxa"/>
            <w:gridSpan w:val="11"/>
            <w:tcBorders>
              <w:top w:val="nil"/>
              <w:left w:val="nil"/>
              <w:bottom w:val="single" w:color="000000" w:sz="4" w:space="0"/>
              <w:right w:val="nil"/>
            </w:tcBorders>
            <w:noWrap/>
            <w:vAlign w:val="center"/>
          </w:tcPr>
          <w:p>
            <w:pPr>
              <w:spacing w:after="0" w:line="560" w:lineRule="exact"/>
              <w:jc w:val="center"/>
              <w:textAlignment w:val="center"/>
              <w:rPr>
                <w:rFonts w:hint="default" w:ascii="Times New Roman" w:hAnsi="Times New Roman" w:eastAsia="方正小标宋_GBK" w:cs="方正小标宋_GBK"/>
                <w:color w:val="000000"/>
                <w:sz w:val="36"/>
                <w:szCs w:val="36"/>
                <w:lang w:bidi="ar"/>
              </w:rPr>
            </w:pPr>
            <w:r>
              <w:rPr>
                <w:rFonts w:ascii="Times New Roman" w:hAnsi="Times New Roman" w:eastAsia="方正小标宋_GBK" w:cs="方正小标宋_GBK"/>
                <w:color w:val="000000"/>
                <w:sz w:val="36"/>
                <w:szCs w:val="36"/>
                <w:lang w:bidi="ar"/>
              </w:rPr>
              <w:t>区发展改革服中心2023年度一般性项目</w:t>
            </w:r>
          </w:p>
          <w:p>
            <w:pPr>
              <w:spacing w:after="0" w:line="560" w:lineRule="exact"/>
              <w:jc w:val="center"/>
              <w:textAlignment w:val="center"/>
              <w:rPr>
                <w:rFonts w:hint="default"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sz w:val="36"/>
                <w:szCs w:val="36"/>
                <w:lang w:bidi="ar"/>
              </w:rPr>
              <w:t>支出绩效自评表</w:t>
            </w:r>
          </w:p>
        </w:tc>
      </w:tr>
      <w:tr>
        <w:tblPrEx>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color w:val="000000"/>
                <w:sz w:val="22"/>
              </w:rPr>
            </w:pPr>
            <w:r>
              <w:rPr>
                <w:rFonts w:ascii="Times New Roman" w:hAnsi="Times New Roman"/>
                <w:color w:val="000000"/>
                <w:sz w:val="22"/>
                <w:lang w:bidi="ar"/>
              </w:rPr>
              <w:t>1</w:t>
            </w:r>
          </w:p>
        </w:tc>
        <w:tc>
          <w:tcPr>
            <w:tcW w:w="750" w:type="dxa"/>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非税成本反还</w:t>
            </w: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1</w:t>
            </w:r>
            <w:r>
              <w:rPr>
                <w:rFonts w:hint="default" w:ascii="Times New Roman" w:hAnsi="Times New Roman" w:cs="宋体"/>
                <w:color w:val="000000"/>
                <w:sz w:val="22"/>
              </w:rPr>
              <w:t>00</w:t>
            </w: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数量指标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5</w:t>
            </w:r>
            <w:r>
              <w:rPr>
                <w:rFonts w:hint="default" w:ascii="Times New Roman" w:hAnsi="Times New Roman" w:cs="宋体"/>
                <w:color w:val="000000"/>
                <w:sz w:val="22"/>
              </w:rPr>
              <w:t>70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万元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6</w:t>
            </w:r>
            <w:r>
              <w:rPr>
                <w:rFonts w:hint="default" w:ascii="Times New Roman" w:hAnsi="Times New Roman" w:cs="宋体"/>
                <w:color w:val="000000"/>
                <w:sz w:val="22"/>
              </w:rPr>
              <w:t>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5</w:t>
            </w:r>
            <w:r>
              <w:rPr>
                <w:rFonts w:hint="default" w:ascii="Times New Roman" w:hAnsi="Times New Roman" w:cs="宋体"/>
                <w:color w:val="000000"/>
                <w:sz w:val="22"/>
              </w:rPr>
              <w:t>70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hint="default" w:ascii="Times New Roman" w:hAnsi="Times New Roman" w:cs="宋体"/>
                <w:color w:val="000000"/>
                <w:sz w:val="22"/>
              </w:rPr>
              <w:t>60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社会效益</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定性指标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3</w:t>
            </w:r>
            <w:r>
              <w:rPr>
                <w:rFonts w:hint="default" w:ascii="Times New Roman" w:hAnsi="Times New Roman" w:cs="宋体"/>
                <w:color w:val="000000"/>
                <w:sz w:val="22"/>
              </w:rPr>
              <w:t>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Times New Roman" w:hAnsi="Times New Roman" w:cs="宋体"/>
                <w:color w:val="000000"/>
                <w:sz w:val="22"/>
              </w:rPr>
            </w:pPr>
            <w:r>
              <w:rPr>
                <w:rFonts w:ascii="Times New Roman" w:hAnsi="Times New Roman" w:cs="宋体"/>
                <w:color w:val="000000"/>
                <w:sz w:val="22"/>
              </w:rPr>
              <w:t>全部</w:t>
            </w:r>
          </w:p>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完成</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3</w:t>
            </w:r>
            <w:r>
              <w:rPr>
                <w:rFonts w:hint="default" w:ascii="Times New Roman" w:hAnsi="Times New Roman" w:cs="宋体"/>
                <w:color w:val="000000"/>
                <w:sz w:val="22"/>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&gt;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9</w:t>
            </w:r>
            <w:r>
              <w:rPr>
                <w:rFonts w:hint="default" w:ascii="Times New Roman" w:hAnsi="Times New Roman" w:cs="宋体"/>
                <w:color w:val="000000"/>
                <w:sz w:val="22"/>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1</w:t>
            </w:r>
            <w:r>
              <w:rPr>
                <w:rFonts w:hint="default" w:ascii="Times New Roman" w:hAnsi="Times New Roman" w:cs="宋体"/>
                <w:color w:val="000000"/>
                <w:sz w:val="22"/>
              </w:rPr>
              <w:t>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9</w:t>
            </w:r>
            <w:r>
              <w:rPr>
                <w:rFonts w:hint="default" w:ascii="Times New Roman" w:hAnsi="Times New Roman" w:cs="宋体"/>
                <w:color w:val="000000"/>
                <w:sz w:val="22"/>
              </w:rPr>
              <w:t>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r>
              <w:rPr>
                <w:rFonts w:ascii="Times New Roman" w:hAnsi="Times New Roman" w:cs="宋体"/>
                <w:color w:val="000000"/>
                <w:sz w:val="22"/>
              </w:rPr>
              <w:t>1</w:t>
            </w:r>
            <w:r>
              <w:rPr>
                <w:rFonts w:hint="default" w:ascii="Times New Roman" w:hAnsi="Times New Roman" w:cs="宋体"/>
                <w:color w:val="000000"/>
                <w:sz w:val="22"/>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cs="宋体"/>
                <w:color w:val="000000"/>
                <w:sz w:val="22"/>
              </w:rPr>
            </w:pPr>
          </w:p>
        </w:tc>
      </w:tr>
    </w:tbl>
    <w:p>
      <w:pPr>
        <w:pStyle w:val="11"/>
        <w:autoSpaceDE w:val="0"/>
        <w:spacing w:after="0"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（三）部门绩效评价情况</w:t>
      </w:r>
    </w:p>
    <w:p>
      <w:pPr>
        <w:pStyle w:val="11"/>
        <w:autoSpaceDE w:val="0"/>
        <w:spacing w:after="0"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bookmarkStart w:id="0" w:name="_GoBack"/>
      <w:bookmarkEnd w:id="0"/>
    </w:p>
    <w:p>
      <w:pPr>
        <w:pStyle w:val="11"/>
        <w:autoSpaceDE w:val="0"/>
        <w:spacing w:after="0"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（四）财政绩效评价情况</w:t>
      </w:r>
    </w:p>
    <w:p>
      <w:pPr>
        <w:pStyle w:val="16"/>
        <w:tabs>
          <w:tab w:val="center" w:pos="4153"/>
          <w:tab w:val="left" w:pos="7275"/>
        </w:tabs>
        <w:spacing w:after="0" w:line="600" w:lineRule="exact"/>
        <w:ind w:firstLine="64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区财政局未委托第三方对我单位开展绩效评价。</w:t>
      </w:r>
    </w:p>
    <w:p>
      <w:pPr>
        <w:pStyle w:val="16"/>
        <w:tabs>
          <w:tab w:val="center" w:pos="4153"/>
          <w:tab w:val="left" w:pos="7275"/>
        </w:tabs>
        <w:spacing w:after="0" w:line="600" w:lineRule="exact"/>
        <w:ind w:firstLine="64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本单位决算公开信息反馈和联系方式：58960199。</w:t>
      </w:r>
    </w:p>
    <w:p>
      <w:pPr>
        <w:pStyle w:val="11"/>
        <w:autoSpaceDE w:val="0"/>
        <w:spacing w:after="0" w:line="600" w:lineRule="exact"/>
        <w:ind w:firstLine="0" w:firstLineChars="0"/>
        <w:rPr>
          <w:rStyle w:val="10"/>
          <w:rFonts w:ascii="Times New Roman" w:hAnsi="Times New Roman" w:eastAsia="方正仿宋_GBK" w:cs="方正仿宋_GBK"/>
          <w:sz w:val="32"/>
          <w:szCs w:val="32"/>
          <w:shd w:val="clear" w:color="auto" w:fill="FFFF00"/>
        </w:rPr>
        <w:sectPr>
          <w:footerReference r:id="rId5" w:type="default"/>
          <w:pgSz w:w="11915" w:h="16840"/>
          <w:pgMar w:top="2098" w:right="1531" w:bottom="1984" w:left="1531" w:header="851" w:footer="992" w:gutter="0"/>
          <w:cols w:space="720" w:num="1"/>
          <w:docGrid w:type="lines" w:linePitch="312" w:charSpace="0"/>
        </w:sectPr>
      </w:pPr>
    </w:p>
    <w:p>
      <w:pPr>
        <w:rPr>
          <w:rFonts w:hint="default" w:ascii="Times New Roman" w:hAnsi="Times New Roman"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重庆市万州区发展改革服务中心（重庆市万州区军队粮油供应站）</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1,629.43</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1,410.93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154.46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36.53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both"/>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1,629.43</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1,629.43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1,629.43</w:t>
            </w:r>
            <w:r>
              <w:rPr>
                <w:rFonts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1,629.43</w:t>
            </w:r>
            <w:r>
              <w:rPr>
                <w:rFonts w:ascii="Times New Roman" w:hAnsi="Times New Roman"/>
                <w:color w:val="000000"/>
                <w:sz w:val="20"/>
              </w:rPr>
              <w:t xml:space="preserve"> </w:t>
            </w: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p>
      <w:pPr>
        <w:spacing w:line="240" w:lineRule="exact"/>
        <w:rPr>
          <w:rFonts w:hint="default" w:ascii="Times New Roman" w:hAnsi="Times New Roman" w:cs="宋体"/>
          <w:sz w:val="20"/>
          <w:szCs w:val="20"/>
        </w:rPr>
      </w:pP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重庆市万州区发展改革服务中心（重庆市万州区军队粮油供应站）</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538"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1,629.43</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1,629.43</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其他发展与改革事务支出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661.83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661.83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0"/>
          <w:szCs w:val="20"/>
        </w:rPr>
      </w:pPr>
      <w:r>
        <w:rPr>
          <w:rFonts w:ascii="Times New Roman" w:hAnsi="Times New Roman"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重庆市万州区发展改革服务中心（重庆市万州区军队粮油供应站）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5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1,629.43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1,059.43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570.00</w:t>
            </w: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840.93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570.00</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840.93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570.00</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其他发展与改革事务支出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661.83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570.00</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ascii="Times New Roman" w:hAnsi="Times New Roman" w:cs="宋体"/>
          <w:sz w:val="21"/>
          <w:szCs w:val="21"/>
        </w:rPr>
        <w:br w:type="page"/>
      </w:r>
    </w:p>
    <w:p>
      <w:pPr>
        <w:rPr>
          <w:rFonts w:hint="default" w:ascii="Times New Roman" w:hAnsi="Times New Roman"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1,410.93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1,410.93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154.46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154.46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1,629.43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538"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538"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1,629.43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1,059.43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570.00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840.93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1,410.93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840.93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749.10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其他发展与改革事务支出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661.83</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91.83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570.00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154.46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153.80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42.22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26.45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82.46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0.65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0.65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36.53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25.70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10.83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27.52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27.52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60"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60"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801.75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169.02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161.31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120.63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330.00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19.20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28.30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48.99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145.89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88.66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82.46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8.90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8.40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890.41</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169.02</w:t>
            </w:r>
            <w:r>
              <w:rPr>
                <w:rFonts w:ascii="Times New Roman" w:hAnsi="Times New Roman"/>
                <w:color w:val="000000"/>
                <w:sz w:val="18"/>
              </w:rPr>
              <w:t xml:space="preserve"> </w:t>
            </w:r>
          </w:p>
        </w:tc>
      </w:tr>
    </w:tbl>
    <w:p>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538"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538"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重庆市万州区发展改革服务中心（重庆市万州区军队粮油供应站）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3</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1.15</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3</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2.25</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宋体"/>
                <w:color w:val="000000"/>
                <w:sz w:val="16"/>
                <w:szCs w:val="16"/>
              </w:rPr>
            </w:pPr>
          </w:p>
        </w:tc>
      </w:tr>
    </w:tbl>
    <w:p>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6" w:type="default"/>
      <w:footerReference r:id="rId7" w:type="default"/>
      <w:pgSz w:w="16839" w:h="11907" w:orient="landscape"/>
      <w:pgMar w:top="567" w:right="454" w:bottom="567" w:left="1037" w:header="0" w:footer="283"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- 4 -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- 4 -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30 -</w:t>
                          </w:r>
                          <w:r>
                            <w:rPr>
                              <w:sz w:val="28"/>
                              <w:szCs w:val="28"/>
                            </w:rPr>
                            <w:fldChar w:fldCharType="end"/>
                          </w:r>
                          <w:r>
                            <w:rPr>
                              <w:sz w:val="28"/>
                              <w:szCs w:val="28"/>
                            </w:rPr>
                            <w:t>—</w:t>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30 -</w:t>
                    </w:r>
                    <w:r>
                      <w:rPr>
                        <w:sz w:val="28"/>
                        <w:szCs w:val="28"/>
                      </w:rPr>
                      <w:fldChar w:fldCharType="end"/>
                    </w:r>
                    <w:r>
                      <w:rPr>
                        <w:sz w:val="28"/>
                        <w:szCs w:val="28"/>
                      </w:rPr>
                      <w:t>—</w:t>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2F04EA"/>
    <w:rsid w:val="00345C90"/>
    <w:rsid w:val="00466C9B"/>
    <w:rsid w:val="0047082C"/>
    <w:rsid w:val="0049026E"/>
    <w:rsid w:val="00550ABE"/>
    <w:rsid w:val="005C5E63"/>
    <w:rsid w:val="006A04C1"/>
    <w:rsid w:val="00770383"/>
    <w:rsid w:val="007819D4"/>
    <w:rsid w:val="007909C1"/>
    <w:rsid w:val="007B419D"/>
    <w:rsid w:val="007B7C4B"/>
    <w:rsid w:val="007D3D39"/>
    <w:rsid w:val="008959A0"/>
    <w:rsid w:val="00994AF7"/>
    <w:rsid w:val="009A67D8"/>
    <w:rsid w:val="009B67B8"/>
    <w:rsid w:val="009D2B67"/>
    <w:rsid w:val="00A0443B"/>
    <w:rsid w:val="00A26D93"/>
    <w:rsid w:val="00A566F9"/>
    <w:rsid w:val="00A668FA"/>
    <w:rsid w:val="00AF2751"/>
    <w:rsid w:val="00AF2CFE"/>
    <w:rsid w:val="00B03CCD"/>
    <w:rsid w:val="00B128FD"/>
    <w:rsid w:val="00B22DF5"/>
    <w:rsid w:val="00BB61AD"/>
    <w:rsid w:val="00BE2B89"/>
    <w:rsid w:val="00C10E9E"/>
    <w:rsid w:val="00C14DBF"/>
    <w:rsid w:val="00C20C3E"/>
    <w:rsid w:val="00D51C4A"/>
    <w:rsid w:val="00D84578"/>
    <w:rsid w:val="00D94DA0"/>
    <w:rsid w:val="00DC7CE1"/>
    <w:rsid w:val="00DE39DC"/>
    <w:rsid w:val="00EF39C3"/>
    <w:rsid w:val="00F24270"/>
    <w:rsid w:val="00F73F90"/>
    <w:rsid w:val="00FA105D"/>
    <w:rsid w:val="00FD4F52"/>
    <w:rsid w:val="01474EBF"/>
    <w:rsid w:val="01F3521E"/>
    <w:rsid w:val="03B87EA0"/>
    <w:rsid w:val="03E3214F"/>
    <w:rsid w:val="044C50BA"/>
    <w:rsid w:val="05BC6D49"/>
    <w:rsid w:val="06194FF1"/>
    <w:rsid w:val="066077E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421290"/>
    <w:rsid w:val="12C921C4"/>
    <w:rsid w:val="13871C70"/>
    <w:rsid w:val="13A71CB4"/>
    <w:rsid w:val="13AF1D43"/>
    <w:rsid w:val="13CE1647"/>
    <w:rsid w:val="13FD55AB"/>
    <w:rsid w:val="14200702"/>
    <w:rsid w:val="163A6CEE"/>
    <w:rsid w:val="173708E3"/>
    <w:rsid w:val="17C374FC"/>
    <w:rsid w:val="182E4AB6"/>
    <w:rsid w:val="189079DC"/>
    <w:rsid w:val="189B0D0B"/>
    <w:rsid w:val="18B43F7C"/>
    <w:rsid w:val="192B49E0"/>
    <w:rsid w:val="194A1770"/>
    <w:rsid w:val="195E6746"/>
    <w:rsid w:val="19B906A4"/>
    <w:rsid w:val="1A862D73"/>
    <w:rsid w:val="1AEA2EA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A0670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69353B"/>
    <w:rsid w:val="2FCA4B37"/>
    <w:rsid w:val="2FE029D7"/>
    <w:rsid w:val="2FF06E00"/>
    <w:rsid w:val="30586FEC"/>
    <w:rsid w:val="315F0B22"/>
    <w:rsid w:val="31D84415"/>
    <w:rsid w:val="31E76CDA"/>
    <w:rsid w:val="32285F6F"/>
    <w:rsid w:val="32770556"/>
    <w:rsid w:val="329C0913"/>
    <w:rsid w:val="32AA0460"/>
    <w:rsid w:val="3337290D"/>
    <w:rsid w:val="33E31118"/>
    <w:rsid w:val="33EF7674"/>
    <w:rsid w:val="342D7BC6"/>
    <w:rsid w:val="34AC403B"/>
    <w:rsid w:val="352930DB"/>
    <w:rsid w:val="35573069"/>
    <w:rsid w:val="355F6038"/>
    <w:rsid w:val="358C217E"/>
    <w:rsid w:val="36C9128A"/>
    <w:rsid w:val="374C64E5"/>
    <w:rsid w:val="37733DC4"/>
    <w:rsid w:val="37841E99"/>
    <w:rsid w:val="37BF1123"/>
    <w:rsid w:val="383C3F15"/>
    <w:rsid w:val="38BE4696"/>
    <w:rsid w:val="3939115E"/>
    <w:rsid w:val="399927C3"/>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531FF0"/>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D70E55"/>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E38ED"/>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2485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80695"/>
    <w:rsid w:val="66EE5541"/>
    <w:rsid w:val="67924660"/>
    <w:rsid w:val="68407834"/>
    <w:rsid w:val="6883293E"/>
    <w:rsid w:val="688412AD"/>
    <w:rsid w:val="68EB1B71"/>
    <w:rsid w:val="698D18E2"/>
    <w:rsid w:val="6A6C7940"/>
    <w:rsid w:val="6AAD2300"/>
    <w:rsid w:val="6B474EF5"/>
    <w:rsid w:val="6B8561A1"/>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A041E"/>
    <w:rsid w:val="72933756"/>
    <w:rsid w:val="72DB435C"/>
    <w:rsid w:val="72E2613A"/>
    <w:rsid w:val="72F771F4"/>
    <w:rsid w:val="73934AD2"/>
    <w:rsid w:val="750837F0"/>
    <w:rsid w:val="754758CF"/>
    <w:rsid w:val="764A3A6F"/>
    <w:rsid w:val="764F62AB"/>
    <w:rsid w:val="765C45EC"/>
    <w:rsid w:val="768A7619"/>
    <w:rsid w:val="772E1EBA"/>
    <w:rsid w:val="781926BC"/>
    <w:rsid w:val="796D60A4"/>
    <w:rsid w:val="79A031D5"/>
    <w:rsid w:val="7A1525F7"/>
    <w:rsid w:val="7ADA18D5"/>
    <w:rsid w:val="7B420052"/>
    <w:rsid w:val="7BD06A28"/>
    <w:rsid w:val="7C123BAF"/>
    <w:rsid w:val="7C3A7C0B"/>
    <w:rsid w:val="7C5248E4"/>
    <w:rsid w:val="7C566698"/>
    <w:rsid w:val="7C5866A3"/>
    <w:rsid w:val="7D7406BB"/>
    <w:rsid w:val="7DE94331"/>
    <w:rsid w:val="7EF04D72"/>
    <w:rsid w:val="7F1A45E4"/>
    <w:rsid w:val="7F446A19"/>
    <w:rsid w:val="7F7452B9"/>
    <w:rsid w:val="D5BFD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1965</Words>
  <Characters>11201</Characters>
  <Lines>93</Lines>
  <Paragraphs>26</Paragraphs>
  <TotalTime>10</TotalTime>
  <ScaleCrop>false</ScaleCrop>
  <LinksUpToDate>false</LinksUpToDate>
  <CharactersWithSpaces>13140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晏涛</cp:lastModifiedBy>
  <dcterms:modified xsi:type="dcterms:W3CDTF">2024-11-06T11:07:20Z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