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重庆市万州区大数据应用发展管理局</w:t>
      </w:r>
    </w:p>
    <w:p>
      <w:pPr>
        <w:pStyle w:val="6"/>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方正小标宋_GBK"/>
          <w:sz w:val="44"/>
          <w:szCs w:val="44"/>
          <w:shd w:val="clear" w:color="auto" w:fill="FFFFFF"/>
        </w:rPr>
      </w:pPr>
      <w:r>
        <w:rPr>
          <w:rFonts w:ascii="Times New Roman" w:hAnsi="Times New Roman" w:eastAsia="方正小标宋_GBK" w:cs="方正小标宋_GBK"/>
          <w:sz w:val="44"/>
          <w:szCs w:val="44"/>
          <w:shd w:val="clear" w:color="auto" w:fill="FFFFFF"/>
        </w:rPr>
        <w:t>2023年度决算公开说明</w:t>
      </w:r>
    </w:p>
    <w:p>
      <w:pPr>
        <w:pStyle w:val="6"/>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textAlignment w:val="auto"/>
        <w:rPr>
          <w:rStyle w:val="10"/>
          <w:rFonts w:ascii="Times New Roman" w:hAnsi="Times New Roman" w:eastAsia="黑体" w:cs="黑体"/>
          <w:sz w:val="32"/>
          <w:szCs w:val="32"/>
          <w:shd w:val="clear" w:color="auto" w:fill="FFFFFF"/>
        </w:rPr>
      </w:pP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2" w:firstLineChars="200"/>
        <w:textAlignment w:val="auto"/>
        <w:rPr>
          <w:rFonts w:hint="default" w:ascii="Times New Roman" w:hAnsi="Times New Roman" w:eastAsia="黑体" w:cs="黑体"/>
          <w:sz w:val="32"/>
          <w:szCs w:val="32"/>
        </w:rPr>
      </w:pPr>
      <w:r>
        <w:rPr>
          <w:rStyle w:val="10"/>
          <w:rFonts w:ascii="Times New Roman" w:hAnsi="Times New Roman" w:eastAsia="黑体" w:cs="黑体"/>
          <w:sz w:val="32"/>
          <w:szCs w:val="32"/>
          <w:shd w:val="clear" w:color="auto" w:fill="FFFFFF"/>
        </w:rPr>
        <w:t>一</w:t>
      </w:r>
      <w:r>
        <w:rPr>
          <w:rStyle w:val="10"/>
          <w:rFonts w:ascii="Times New Roman" w:hAnsi="Times New Roman" w:eastAsia="黑体" w:cs="黑体"/>
          <w:b w:val="0"/>
          <w:bCs/>
          <w:sz w:val="32"/>
          <w:szCs w:val="32"/>
          <w:shd w:val="clear" w:color="auto" w:fill="FFFFFF"/>
        </w:rPr>
        <w:t>、部门基本情况</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sz w:val="32"/>
          <w:szCs w:val="32"/>
        </w:rPr>
      </w:pPr>
      <w:r>
        <w:rPr>
          <w:rStyle w:val="10"/>
          <w:rFonts w:ascii="Times New Roman" w:hAnsi="Times New Roman" w:eastAsia="楷体" w:cs="楷体"/>
          <w:b w:val="0"/>
          <w:bCs/>
          <w:sz w:val="32"/>
          <w:szCs w:val="32"/>
          <w:shd w:val="clear" w:color="auto" w:fill="FFFFFF"/>
        </w:rPr>
        <w:t>（一）职能职责</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rPr>
        <w:t>1、区大数据发展局职能职责。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推进全区政府数据采集汇聚、登记管理、共享开放。负责推动社会数据汇聚融合、互联互通、资源共享。负责研究推进数据资源的流通交易。负责推进社会公共信息资源整合和应用。负责全区大数据应用发展管理。统筹推进大数据、人工智能等新一代信息技术和国民经济各领域融合应用。推动大数据、人工智能等产学研用结合，推动大数据、人工智能等新兴领域发展。负责推进全区信息化应用工作。负责组织编制全区信息化发展规划并组织实施。统筹推进全区智慧城市和智慧政务建设。负责组织协调跨部门、跨行业、跨领域的信息化应用，协调解决信息化建设中的重大问题。统筹协调全区信息化项目建设。负责协调全区信息基础设施建设。组织编制全区数据中心规划并组织实施。协调推动下一代网络部署和规模化商用。负责推动大数据、人工智能、信息化领域对外交流合作。组织参与各类重大交流合作活动，指导开展区域化合作、国际化经营，承办相关活动。指导大数据、人工智能、信息化人才队伍建设工作。指导相关行业协会、学会、联盟机构工作。负责协调推进数据基础制度建设，统筹数据资源整合共享和开发利用，统筹数字重庆、数字社会规划和建设。负责协调推动公共服务和社会治理信息化，协调全区重要信息资源开发利用和共享。</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区党政信息中心（二级单位）职能职责。贯彻执行有关政务信息化和电子政务建设的法律、法规和方针政策，为全区党委、政府信息化建设提供服务保障。承担全区党委系统信息化建设工作。承担信息化系统建设和运行维护工作，做好电子政务内网应用推广和技术服务。承担全区政务系统信息化建设工作。承担政务信息化系统建设、运行维护和管理工作，做好电子政务应用推广和技术服务。承担全区电子政务外网的规划建设、应用开发、运行维护及网络核心机房的运行维护和管理工作。承担万州区人民政府网站日常运行保障工作，协助相关单位做好网站建设管理和政</w:t>
      </w:r>
      <w:r>
        <w:rPr>
          <w:rFonts w:hint="eastAsia" w:ascii="Times New Roman" w:hAnsi="Times New Roman" w:eastAsia="方正仿宋_GBK" w:cs="方正仿宋_GBK"/>
          <w:color w:val="auto"/>
          <w:sz w:val="32"/>
          <w:szCs w:val="32"/>
          <w:shd w:val="clear" w:color="auto" w:fill="FFFFFF"/>
          <w:lang w:eastAsia="zh-CN"/>
        </w:rPr>
        <w:t>府</w:t>
      </w:r>
      <w:r>
        <w:rPr>
          <w:rFonts w:hint="eastAsia" w:ascii="Times New Roman" w:hAnsi="Times New Roman" w:eastAsia="方正仿宋_GBK" w:cs="方正仿宋_GBK"/>
          <w:color w:val="auto"/>
          <w:sz w:val="32"/>
          <w:szCs w:val="32"/>
          <w:shd w:val="clear" w:color="auto" w:fill="FFFFFF"/>
        </w:rPr>
        <w:t>信息公开。承担全区政务大数据、云计算、应用开发、平台建设等技术服务工作。承担全区政务数据汇聚、整理、应用、开发等工作。协助做好数字政府、智慧城市等重要信息化项目建设和应用推广工作，对相关智慧应用场景建设提供技术服务。完成区委、区政府和区大数据发展局交办的其他任务。</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3、区大数据发展服务中心（二级单位）职能职责。（根据中共重庆市万州区委机构编制委员会《关于同意设立重庆市万州区大数据发展服务中心的批复》（万州委编委〔2023〕23号）文件，设立重庆市万州区大数据发展服务中心）承担全区数字化改革各领域的数据开发利用事务性工作，促进全区大数据产业发展；为全区经济社会发展及以大数据产业为重点的信息产业提供信息和技术服务；承担政府投资信息化相关重点项目的建设、运维管理、推广应用工作，承担全区相关智慧化应用场景建设的技术指导工作，承担全区政务协同办公系统的建设、运维管理事务性工作；协助开展政府数字化转型等相关重大项目建设工作；承担全区政务数据及公共数据归集整理、开发利用、开放共享等事务性工作，承担政府投资信息化项目及“城市大脑”项目的技术审核、全流程管理事务性工作；挖掘全区大数据资源价值，推动大数据智能化与经济社会深度融合发展；负责数字化发展相关数据统计分析应用，参与数字化发展相关政策研究以及产业发展规划编制等；完成区委、区政府和区大数据发展局交办的其他任务。</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楷体" w:cs="楷体"/>
          <w:b w:val="0"/>
          <w:bCs/>
          <w:sz w:val="32"/>
          <w:szCs w:val="32"/>
        </w:rPr>
      </w:pPr>
      <w:r>
        <w:rPr>
          <w:rStyle w:val="10"/>
          <w:rFonts w:ascii="Times New Roman" w:hAnsi="Times New Roman" w:eastAsia="楷体" w:cs="楷体"/>
          <w:b w:val="0"/>
          <w:bCs/>
          <w:sz w:val="32"/>
          <w:szCs w:val="32"/>
          <w:shd w:val="clear" w:color="auto" w:fill="FFFFFF"/>
        </w:rPr>
        <w:t>（二）机构设置</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重庆市万州区大数据应用发展管理局（本级）；重庆市万州区党政信息中心；重庆市万州区大数据发展服务中心。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1、重庆市万州区大数据应用发展管理局</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重庆市万州区大数据应用发展管理局是区政府工作部门，为正处级。内设机构：综合科、应用发展科、规划建设管理科。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（1）综合科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负责机关文电、机要、保密、档案、信息、信访、应急、安全、会务、外事等工作。承担综合性材料等重要文稿起草工作。负责机关日常工作协调和重大事项督办督查、目标管理工作。负责机关财务管理等相关工作。负责机关及所属单位机构编制、组织人事、社会保障、退休干部服务等工作。负责有关培训工作，指导大数据、人工智能、信息化人才队伍建设。负责组织开展大数据、人工智能、信息化领域新闻宣传。负责机关和所属单位的党群工作。负责本局乡村振兴工作。负责监督实施相关政策法律法规、政府规章和相关地方标准规范。负责重大项目谈判和合同审签，依法处理涉法事务。承担有关规范性文件的合法性审查工作。承担行政执法监督、行政复议、行政应诉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（2）应用发展科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组织协调跨部门、跨行业、跨领域大数据应用工作。推动全区智能机关建设，推进各级机关办公、服务智能化。承担统筹推动渝快政、渝快办等数字重庆一体化智能化公共数据平台建设。负责协调推动重点行业、领域大数据应用工作。负责推动大数据、人工智能等新一代信息技术在国民经济各领域融合应用，促进大数据商用，推动大数据、人工智能等新兴领域的新产品、新服务、新模式、新业态的建设。推动大数据、人工智能等产学研用结合。推动数据资源分级分类管理和商用。协调推动下一代网络部署和规模化商用。负责协调推动全区信息网络行业发展工作。协调推动全区公共服务和社会治理信息化。推动相关领域对外交流合作，组织参与各类重大交流合作活动。指导相关行业协会、学会、联盟机构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（3）规划建设管理科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统筹数据要素工作，统筹数据要素产权、流通、分配、治理等基础制度建设并实施。探索推进数据资源的流通交易，研究提出培育数据要素市场的政策建议，引导数据交易向数据交易场所汇聚。协调推进公共数据确权授权。贯彻执行数据基础设施制度建设、数据要素市场建设、数据标准规范、数据基础设施建设中的相关数据安全政策，建立数据安全管理制度。承担协同开展网络数据跨境流动安全评估和监管工作。负责全区数据资源体系的建设和管理工作。承担全区政务数据的统筹管理，推进政务数据的采集、存储、登记、共享等工作，推动数据资源整合共享和开发利用，协调全区重要信息资源开发利用与共享、推动信息资源跨行业跨部门互联互通。负责协调全区数字基础设施布局建设工作，组织编制有关数字基础设施布局规划并组织实施，承担全区电子政务外网、视联网、电子政务云平台、区块链、物联感知网络等布局规划，指导相关建设。协调数字重庆云平台建设使用。负责统筹推进数字重庆、数字社会规划和建设。承担协调促进全区智慧城市建设。</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2、重庆市万州区党政信息中心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重庆市万州区党政信息中心是区财政全额拨款的事业单位，内设5科1室。</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（1）办公室</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综合协调和重大事项的督查督办工作。负责会务、公文、财务、后勤、公务接待、物资管理等工作。负责党建、人事、政工、老年、工会、统计、机要保密、档案、住房公积金、社会保障保险等工作。承担岗位责任目标的落实及考核奖惩等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（2）外网管理科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电子政务外网及互联网安全接入规划建设、日常运行维护和管理工作。承担电子政务外网网络、平台、应用系统的技术支撑，确保全区电子政务外网网络及应用的正常运行。贯彻执行重庆市电子政务外网管理办法。负责做好电子政务外网核心机房的日常管理维护、网络安全保障及管理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（3）内网建设科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承担区委办公室信息化系统及电子政务内网的建设、运行维护等工作。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（4）大数据发展科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全区政务大数据、云计算、应用开发、平台建设等技术服务工作。承接全区政务数据汇聚、整理、应用、开发、交易等相关工作。承担“智慧万州”城市综合运行管理指挥中心的日常运行管理、技术维护及综合服务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（5）应用开发科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协助做好智慧万州、智慧政务、数字政府等重要信息化项目的建设和推广应用，对相关智慧应用场景建设提供技术指导。指导全区政务应用系统建设工作。配合做好全区使用财政资金的非涉密信息化项目及与智慧万州高度关联的信息化项目的技术指导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（6）信息与网站科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承担万州区人民政府网站的建设和运行维护工作，协助区政府办公室做好网站政</w:t>
      </w:r>
      <w:r>
        <w:rPr>
          <w:rFonts w:hint="eastAsia" w:ascii="Times New Roman" w:hAnsi="Times New Roman" w:eastAsia="方正仿宋_GBK" w:cs="方正仿宋_GBK"/>
          <w:color w:val="auto"/>
          <w:sz w:val="32"/>
          <w:szCs w:val="32"/>
          <w:shd w:val="clear" w:color="auto" w:fill="FFFFFF"/>
          <w:lang w:eastAsia="zh-CN"/>
        </w:rPr>
        <w:t>府</w:t>
      </w:r>
      <w:r>
        <w:rPr>
          <w:rFonts w:hint="eastAsia" w:ascii="Times New Roman" w:hAnsi="Times New Roman" w:eastAsia="方正仿宋_GBK" w:cs="方正仿宋_GBK"/>
          <w:color w:val="auto"/>
          <w:sz w:val="32"/>
          <w:szCs w:val="32"/>
          <w:shd w:val="clear" w:color="auto" w:fill="FFFFFF"/>
        </w:rPr>
        <w:t>信息公开。负责万州区人民政府网站的技术支持，保障网站安全稳定运行。负</w:t>
      </w:r>
      <w:bookmarkStart w:id="0" w:name="_GoBack"/>
      <w:bookmarkEnd w:id="0"/>
      <w:r>
        <w:rPr>
          <w:rFonts w:hint="eastAsia" w:ascii="Times New Roman" w:hAnsi="Times New Roman" w:eastAsia="方正仿宋_GBK" w:cs="方正仿宋_GBK"/>
          <w:color w:val="auto"/>
          <w:sz w:val="32"/>
          <w:szCs w:val="32"/>
          <w:shd w:val="clear" w:color="auto" w:fill="FFFFFF"/>
        </w:rPr>
        <w:t>责单位内部刊物的编辑和印发工作，为领导决策提供参考。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3、重庆市万州区大数据发展服务中心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重庆市万州区大数据发展服务中心为2023年年中新增的全额拨款事业单位，无内设科室。</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黑体" w:cs="黑体"/>
          <w:b w:val="0"/>
          <w:bCs/>
          <w:sz w:val="32"/>
          <w:szCs w:val="32"/>
          <w:shd w:val="clear" w:color="auto" w:fill="FFFFFF"/>
        </w:rPr>
      </w:pPr>
      <w:r>
        <w:rPr>
          <w:rStyle w:val="10"/>
          <w:rFonts w:ascii="Times New Roman" w:hAnsi="Times New Roman" w:eastAsia="黑体" w:cs="黑体"/>
          <w:b w:val="0"/>
          <w:bCs/>
          <w:sz w:val="32"/>
          <w:szCs w:val="32"/>
          <w:shd w:val="clear" w:color="auto" w:fill="FFFFFF"/>
        </w:rPr>
        <w:t>二、部门决算情况说明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sz w:val="32"/>
          <w:szCs w:val="32"/>
          <w:shd w:val="clear" w:color="auto" w:fill="FFFFFF"/>
        </w:rPr>
      </w:pPr>
      <w:r>
        <w:rPr>
          <w:rFonts w:hint="eastAsia" w:ascii="Times New Roman" w:hAnsi="Times New Roman" w:eastAsia="楷体" w:cs="楷体"/>
          <w:b w:val="0"/>
          <w:bCs/>
          <w:sz w:val="32"/>
          <w:szCs w:val="32"/>
          <w:shd w:val="clear" w:color="auto" w:fill="FFFFFF"/>
        </w:rPr>
        <w:t>（一）收入支出决算总体情况说明。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b w:val="0"/>
          <w:bCs/>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2023年度收入总计1239.38万元，支出总计</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万元。收支较上年决算数增加44.28万元，增长3.7%，主要原因是</w:t>
      </w:r>
      <w:r>
        <w:rPr>
          <w:rFonts w:hint="eastAsia" w:ascii="Times New Roman" w:hAnsi="Times New Roman" w:eastAsia="方正仿宋_GBK" w:cs="方正仿宋_GBK"/>
          <w:sz w:val="32"/>
          <w:szCs w:val="32"/>
          <w:shd w:val="clear" w:color="auto" w:fill="FFFFFF"/>
          <w:lang w:val="en-US" w:eastAsia="zh-CN"/>
        </w:rPr>
        <w:t>年中新成立了1个下属事业单位。</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b w:val="0"/>
          <w:bCs/>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2023年度收入合计1239.38万元，较上年决算数增加44.28万元，增长3.7%，主要原因是</w:t>
      </w:r>
      <w:r>
        <w:rPr>
          <w:rFonts w:hint="eastAsia" w:ascii="Times New Roman" w:hAnsi="Times New Roman" w:eastAsia="方正仿宋_GBK" w:cs="方正仿宋_GBK"/>
          <w:sz w:val="32"/>
          <w:szCs w:val="32"/>
          <w:shd w:val="clear" w:color="auto" w:fill="FFFFFF"/>
        </w:rPr>
        <w:t>年中新成立了1个下属事业单位。</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万元，占0.0%；经营收入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万元，占0.0%；其他收入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万元，占0.0%。此外，使用非财政拨款结余和专用结余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b w:val="0"/>
          <w:bCs/>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万元，较上年决算数增加44.28万元，增长3.7%，主要原因是</w:t>
      </w:r>
      <w:r>
        <w:rPr>
          <w:rFonts w:hint="eastAsia" w:ascii="Times New Roman" w:hAnsi="Times New Roman" w:eastAsia="方正仿宋_GBK" w:cs="方正仿宋_GBK"/>
          <w:sz w:val="32"/>
          <w:szCs w:val="32"/>
          <w:shd w:val="clear" w:color="auto" w:fill="FFFFFF"/>
        </w:rPr>
        <w:t>年中新成立了1个下属事业单位。</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618.52</w:t>
      </w:r>
      <w:r>
        <w:rPr>
          <w:rFonts w:ascii="Times New Roman" w:hAnsi="Times New Roman" w:eastAsia="方正仿宋_GBK" w:cs="方正仿宋_GBK"/>
          <w:sz w:val="32"/>
          <w:szCs w:val="32"/>
          <w:shd w:val="clear" w:color="auto" w:fill="FFFFFF"/>
        </w:rPr>
        <w:t>万元，占49.9%；项目支出</w:t>
      </w:r>
      <w:r>
        <w:rPr>
          <w:rFonts w:ascii="Times New Roman" w:hAnsi="Times New Roman" w:eastAsia="方正仿宋_GBK" w:cs="方正仿宋_GBK"/>
          <w:sz w:val="32"/>
          <w:szCs w:val="32"/>
        </w:rPr>
        <w:t>620.86</w:t>
      </w:r>
      <w:r>
        <w:rPr>
          <w:rFonts w:ascii="Times New Roman" w:hAnsi="Times New Roman" w:eastAsia="方正仿宋_GBK" w:cs="方正仿宋_GBK"/>
          <w:sz w:val="32"/>
          <w:szCs w:val="32"/>
          <w:shd w:val="clear" w:color="auto" w:fill="FFFFFF"/>
        </w:rPr>
        <w:t>万元，占50.</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%；经营支出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万元，占0.0%。此外，结余分配</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b w:val="0"/>
          <w:bCs/>
          <w:sz w:val="32"/>
          <w:szCs w:val="32"/>
          <w:shd w:val="clear" w:color="auto" w:fill="FFFFFF"/>
        </w:rPr>
        <w:t>4.结转结余情况。</w:t>
      </w:r>
      <w:r>
        <w:rPr>
          <w:rFonts w:ascii="Times New Roman" w:hAnsi="Times New Roman" w:eastAsia="方正仿宋_GBK" w:cs="方正仿宋_GBK"/>
          <w:b w:val="0"/>
          <w:bCs/>
          <w:sz w:val="32"/>
          <w:szCs w:val="32"/>
          <w:shd w:val="clear" w:color="auto" w:fill="FFFFFF"/>
        </w:rPr>
        <w:t>2</w:t>
      </w:r>
      <w:r>
        <w:rPr>
          <w:rFonts w:ascii="Times New Roman" w:hAnsi="Times New Roman" w:eastAsia="方正仿宋_GBK" w:cs="方正仿宋_GBK"/>
          <w:sz w:val="32"/>
          <w:szCs w:val="32"/>
          <w:shd w:val="clear" w:color="auto" w:fill="FFFFFF"/>
        </w:rPr>
        <w:t>023年度年末结转和结余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rPr>
        <w:t>，较上年决算数无增减。</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（二）财政拨款收入支出决算总体情况说明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2023年度财政拨款收、支总计1239.38万元。与2022年相比，财政拨款收、支总计各增加44.28万元，增长3.7%。主要原因是</w:t>
      </w:r>
      <w:r>
        <w:rPr>
          <w:rFonts w:hint="eastAsia" w:ascii="Times New Roman" w:hAnsi="Times New Roman" w:eastAsia="方正仿宋_GBK" w:cs="方正仿宋_GBK"/>
          <w:sz w:val="32"/>
          <w:szCs w:val="32"/>
          <w:shd w:val="clear" w:color="auto" w:fill="FFFFFF"/>
        </w:rPr>
        <w:t>年中新成立了1个下属事业单位。</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（三）一般公共预算财政拨款收入支出决算情况说明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b w:val="0"/>
          <w:bCs w:val="0"/>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万元，较上年决算数增加85.3万元，增长7.</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及新增项目预算</w:t>
      </w:r>
      <w:r>
        <w:rPr>
          <w:rFonts w:hint="eastAsia"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较年初预算数增加252.73万元，增长25.6%。主要原因是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以及年中追加技术服务前期基础服务费、迁移上云信息系统回迁资金、区大数据发展局创文工作经费、政府信息平台运行经费、万州区人民政府网站改版经费等项目资金</w:t>
      </w:r>
      <w:r>
        <w:rPr>
          <w:rFonts w:hint="eastAsia"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b w:val="0"/>
          <w:bCs/>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万元，较上年决算数增加85.3万元，增长7.</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年中新成立了1个下属事业单位及新增项目预算。</w:t>
      </w:r>
      <w:r>
        <w:rPr>
          <w:rFonts w:ascii="Times New Roman" w:hAnsi="Times New Roman" w:eastAsia="方正仿宋_GBK" w:cs="方正仿宋_GBK"/>
          <w:sz w:val="32"/>
          <w:szCs w:val="32"/>
          <w:shd w:val="clear" w:color="auto" w:fill="FFFFFF"/>
        </w:rPr>
        <w:t>较年初预算数增加252.73万元，增长25.6%。主要原因是</w:t>
      </w:r>
      <w:r>
        <w:rPr>
          <w:rFonts w:hint="eastAsia" w:ascii="Times New Roman" w:hAnsi="Times New Roman" w:eastAsia="方正仿宋_GBK" w:cs="方正仿宋_GBK"/>
          <w:sz w:val="32"/>
          <w:szCs w:val="32"/>
          <w:shd w:val="clear" w:color="auto" w:fill="FFFFFF"/>
        </w:rPr>
        <w:t>年中新成立了1个下属事业单位以及年</w:t>
      </w:r>
      <w:r>
        <w:rPr>
          <w:rFonts w:hint="eastAsia" w:ascii="Times New Roman" w:hAnsi="Times New Roman" w:eastAsia="方正仿宋_GBK" w:cs="方正仿宋_GBK"/>
          <w:sz w:val="32"/>
          <w:szCs w:val="32"/>
          <w:shd w:val="clear" w:color="auto" w:fill="FFFFFF"/>
          <w:lang w:eastAsia="zh-CN"/>
        </w:rPr>
        <w:t>中</w:t>
      </w:r>
      <w:r>
        <w:rPr>
          <w:rFonts w:hint="eastAsia" w:ascii="Times New Roman" w:hAnsi="Times New Roman" w:eastAsia="方正仿宋_GBK" w:cs="方正仿宋_GBK"/>
          <w:sz w:val="32"/>
          <w:szCs w:val="32"/>
          <w:shd w:val="clear" w:color="auto" w:fill="FFFFFF"/>
        </w:rPr>
        <w:t>追加技术服务前期基础服务费、迁移上云信息系统回迁资金、区大数据发展局创文工作经费、政府信息平台运行经费、万州区人民政府网站改版经费等项目资金。</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Style w:val="10"/>
          <w:rFonts w:ascii="Times New Roman" w:hAnsi="Times New Roman" w:eastAsia="方正仿宋_GBK" w:cs="方正仿宋_GBK"/>
          <w:b w:val="0"/>
          <w:bCs/>
          <w:sz w:val="32"/>
          <w:szCs w:val="32"/>
          <w:shd w:val="clear" w:color="auto" w:fill="FFFFFF"/>
        </w:rPr>
        <w:t>3.结转结余情况。</w:t>
      </w:r>
      <w:r>
        <w:rPr>
          <w:rFonts w:ascii="Times New Roman" w:hAnsi="Times New Roman" w:eastAsia="方正仿宋_GBK" w:cs="方正仿宋_GBK"/>
          <w:b w:val="0"/>
          <w:bCs/>
          <w:sz w:val="32"/>
          <w:szCs w:val="32"/>
          <w:shd w:val="clear" w:color="auto" w:fill="FFFFFF"/>
        </w:rPr>
        <w:t>2023年度年末一般公共预算财政拨款结转和结余</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万元，较上年决算数无增减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b w:val="0"/>
          <w:bCs/>
          <w:sz w:val="32"/>
          <w:szCs w:val="32"/>
          <w:shd w:val="clear" w:color="auto" w:fill="FFFFFF"/>
        </w:rPr>
        <w:t>4.比较情况。</w:t>
      </w:r>
      <w:r>
        <w:rPr>
          <w:rFonts w:ascii="Times New Roman" w:hAnsi="Times New Roman" w:eastAsia="方正仿宋_GBK" w:cs="方正仿宋_GBK"/>
          <w:b w:val="0"/>
          <w:bCs/>
          <w:sz w:val="32"/>
          <w:szCs w:val="32"/>
          <w:shd w:val="clear" w:color="auto" w:fill="FFFFFF"/>
        </w:rPr>
        <w:t>本部</w:t>
      </w:r>
      <w:r>
        <w:rPr>
          <w:rFonts w:ascii="Times New Roman" w:hAnsi="Times New Roman" w:eastAsia="方正仿宋_GBK" w:cs="方正仿宋_GBK"/>
          <w:sz w:val="32"/>
          <w:szCs w:val="32"/>
          <w:shd w:val="clear" w:color="auto" w:fill="FFFFFF"/>
        </w:rPr>
        <w:t>门2023年度一般公共预算财政拨款支出主要用于以下几个方面：</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1036.74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83.</w:t>
      </w:r>
      <w:r>
        <w:rPr>
          <w:rFonts w:hint="eastAsia" w:ascii="Times New Roman" w:hAnsi="Times New Roman" w:eastAsia="方正仿宋_GBK" w:cs="方正仿宋_GBK"/>
          <w:sz w:val="32"/>
          <w:szCs w:val="32"/>
          <w:lang w:val="en-US" w:eastAsia="zh-CN"/>
        </w:rPr>
        <w:t>7</w:t>
      </w:r>
      <w:r>
        <w:rPr>
          <w:rFonts w:ascii="Times New Roman" w:hAnsi="Times New Roman" w:eastAsia="方正仿宋_GBK" w:cs="方正仿宋_GBK"/>
          <w:sz w:val="32"/>
          <w:szCs w:val="32"/>
          <w:shd w:val="clear" w:color="auto" w:fill="FFFFFF"/>
        </w:rPr>
        <w:t>%，较年初预算数增加195.49万元，增长23.2%，主要原因是</w:t>
      </w:r>
      <w:r>
        <w:rPr>
          <w:rFonts w:hint="eastAsia" w:ascii="Times New Roman" w:hAnsi="Times New Roman" w:eastAsia="方正仿宋_GBK" w:cs="方正仿宋_GBK"/>
          <w:sz w:val="32"/>
          <w:szCs w:val="32"/>
          <w:shd w:val="clear" w:color="auto" w:fill="FFFFFF"/>
        </w:rPr>
        <w:t>年中新成立了1个下属事业单位以及年</w:t>
      </w:r>
      <w:r>
        <w:rPr>
          <w:rFonts w:hint="eastAsia" w:ascii="Times New Roman" w:hAnsi="Times New Roman" w:eastAsia="方正仿宋_GBK" w:cs="方正仿宋_GBK"/>
          <w:sz w:val="32"/>
          <w:szCs w:val="32"/>
          <w:shd w:val="clear" w:color="auto" w:fill="FFFFFF"/>
          <w:lang w:eastAsia="zh-CN"/>
        </w:rPr>
        <w:t>中</w:t>
      </w:r>
      <w:r>
        <w:rPr>
          <w:rFonts w:hint="eastAsia" w:ascii="Times New Roman" w:hAnsi="Times New Roman" w:eastAsia="方正仿宋_GBK" w:cs="方正仿宋_GBK"/>
          <w:sz w:val="32"/>
          <w:szCs w:val="32"/>
          <w:shd w:val="clear" w:color="auto" w:fill="FFFFFF"/>
        </w:rPr>
        <w:t>追加迁移上云信息系统回迁资金、政府信息平台运行经费、万州区人民政府网站改版经费等项目资金。</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）文化旅游体育与传媒支出</w:t>
      </w:r>
      <w:r>
        <w:rPr>
          <w:rFonts w:ascii="Times New Roman" w:hAnsi="Times New Roman" w:eastAsia="方正仿宋_GBK" w:cs="方正仿宋_GBK"/>
          <w:sz w:val="32"/>
          <w:szCs w:val="32"/>
        </w:rPr>
        <w:t>7.95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0.6</w:t>
      </w:r>
      <w:r>
        <w:rPr>
          <w:rFonts w:ascii="Times New Roman" w:hAnsi="Times New Roman" w:eastAsia="方正仿宋_GBK" w:cs="方正仿宋_GBK"/>
          <w:sz w:val="32"/>
          <w:szCs w:val="32"/>
          <w:shd w:val="clear" w:color="auto" w:fill="FFFFFF"/>
        </w:rPr>
        <w:t>%，较年初预算数增加7.95万元，增长100.0%，主要原因是</w:t>
      </w:r>
      <w:r>
        <w:rPr>
          <w:rFonts w:hint="eastAsia" w:ascii="Times New Roman" w:hAnsi="Times New Roman" w:eastAsia="方正仿宋_GBK" w:cs="方正仿宋_GBK"/>
          <w:sz w:val="32"/>
          <w:szCs w:val="32"/>
          <w:shd w:val="clear" w:color="auto" w:fill="FFFFFF"/>
        </w:rPr>
        <w:t>追加区大数据发展局创文工作经费。</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86.74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7.0</w:t>
      </w:r>
      <w:r>
        <w:rPr>
          <w:rFonts w:ascii="Times New Roman" w:hAnsi="Times New Roman" w:eastAsia="方正仿宋_GBK" w:cs="方正仿宋_GBK"/>
          <w:sz w:val="32"/>
          <w:szCs w:val="32"/>
          <w:shd w:val="clear" w:color="auto" w:fill="FFFFFF"/>
        </w:rPr>
        <w:t>%，较年初预算数增加1.33万元，增长1.</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28.68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2.3</w:t>
      </w:r>
      <w:r>
        <w:rPr>
          <w:rFonts w:ascii="Times New Roman" w:hAnsi="Times New Roman" w:eastAsia="方正仿宋_GBK" w:cs="方正仿宋_GBK"/>
          <w:sz w:val="32"/>
          <w:szCs w:val="32"/>
          <w:shd w:val="clear" w:color="auto" w:fill="FFFFFF"/>
        </w:rPr>
        <w:t>%，较年初预算数增加0.35万元，增长1.2%，主要原因是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）资源勘探信息等支出</w:t>
      </w:r>
      <w:r>
        <w:rPr>
          <w:rFonts w:ascii="Times New Roman" w:hAnsi="Times New Roman" w:eastAsia="方正仿宋_GBK" w:cs="方正仿宋_GBK"/>
          <w:sz w:val="32"/>
          <w:szCs w:val="32"/>
        </w:rPr>
        <w:t>49.6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4.0</w:t>
      </w:r>
      <w:r>
        <w:rPr>
          <w:rFonts w:ascii="Times New Roman" w:hAnsi="Times New Roman" w:eastAsia="方正仿宋_GBK" w:cs="方正仿宋_GBK"/>
          <w:sz w:val="32"/>
          <w:szCs w:val="32"/>
          <w:shd w:val="clear" w:color="auto" w:fill="FFFFFF"/>
        </w:rPr>
        <w:t>%，较年初预算数增加49.6万元，增长100.0%，主要原因是</w:t>
      </w:r>
      <w:r>
        <w:rPr>
          <w:rFonts w:hint="eastAsia" w:ascii="Times New Roman" w:hAnsi="Times New Roman" w:eastAsia="方正仿宋_GBK" w:cs="方正仿宋_GBK"/>
          <w:sz w:val="32"/>
          <w:szCs w:val="32"/>
          <w:shd w:val="clear" w:color="auto" w:fill="FFFFFF"/>
        </w:rPr>
        <w:t>追加技术服务前期基础服务费</w:t>
      </w:r>
      <w:r>
        <w:rPr>
          <w:rFonts w:hint="eastAsia" w:ascii="Times New Roman" w:hAnsi="Times New Roman" w:eastAsia="方正仿宋_GBK" w:cs="方正仿宋_GBK"/>
          <w:sz w:val="32"/>
          <w:szCs w:val="32"/>
          <w:shd w:val="clear" w:color="auto" w:fill="FFFFFF"/>
          <w:lang w:eastAsia="zh-CN"/>
        </w:rPr>
        <w:t>、2022年市大数据应用发展专项资金（第一批）</w:t>
      </w:r>
      <w:r>
        <w:rPr>
          <w:rFonts w:hint="eastAsia" w:ascii="Times New Roman" w:hAnsi="Times New Roman" w:eastAsia="方正仿宋_GBK" w:cs="方正仿宋_GBK"/>
          <w:sz w:val="32"/>
          <w:szCs w:val="32"/>
          <w:shd w:val="clear" w:color="auto" w:fill="FFFFFF"/>
        </w:rPr>
        <w:t>。</w:t>
      </w:r>
    </w:p>
    <w:p>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住房保障支出29.66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4</w:t>
      </w:r>
      <w:r>
        <w:rPr>
          <w:rFonts w:ascii="Times New Roman" w:hAnsi="Times New Roman" w:eastAsia="方正仿宋_GBK" w:cs="方正仿宋_GBK"/>
          <w:sz w:val="32"/>
          <w:szCs w:val="32"/>
          <w:shd w:val="clear" w:color="auto" w:fill="FFFFFF"/>
        </w:rPr>
        <w:t>%，较年初预算数减少2万元，下降6.3%，主要原因是</w:t>
      </w:r>
      <w:r>
        <w:rPr>
          <w:rFonts w:hint="eastAsia" w:ascii="Times New Roman" w:hAnsi="Times New Roman" w:eastAsia="方正仿宋_GBK" w:cs="方正仿宋_GBK"/>
          <w:sz w:val="32"/>
          <w:szCs w:val="32"/>
          <w:shd w:val="clear" w:color="auto" w:fill="FFFFFF"/>
        </w:rPr>
        <w:t>2023年人员增减调动导致减少。</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（四）一般公共预算财政拨款基本支出决算情况说明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618.52</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563.4</w:t>
      </w:r>
      <w:r>
        <w:rPr>
          <w:rFonts w:ascii="Times New Roman" w:hAnsi="Times New Roman" w:eastAsia="方正仿宋_GBK" w:cs="方正仿宋_GBK"/>
          <w:sz w:val="32"/>
          <w:szCs w:val="32"/>
          <w:shd w:val="clear" w:color="auto" w:fill="FFFFFF"/>
        </w:rPr>
        <w:t>万元，较上年决算数增加21.95万元，增长4.</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，以及2023年新增了丧葬费和抚恤金支出且其他人员类支出均有所增加</w:t>
      </w:r>
      <w:r>
        <w:rPr>
          <w:rFonts w:hint="eastAsia"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方正仿宋_GBK"/>
          <w:sz w:val="32"/>
          <w:szCs w:val="32"/>
          <w:shd w:val="clear" w:color="auto" w:fill="FFFFFF"/>
        </w:rPr>
        <w:t>基本工资、津贴补贴、奖金、社会保障缴费、住房公积金、医疗费、其他工资福利支出及对个人和家庭的生活补助。</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55.12</w:t>
      </w:r>
      <w:r>
        <w:rPr>
          <w:rFonts w:ascii="Times New Roman" w:hAnsi="Times New Roman" w:eastAsia="方正仿宋_GBK" w:cs="方正仿宋_GBK"/>
          <w:sz w:val="32"/>
          <w:szCs w:val="32"/>
          <w:shd w:val="clear" w:color="auto" w:fill="FFFFFF"/>
        </w:rPr>
        <w:t>万元，较上年决算数减少14.03万元，下降20.</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2023年度公用经费减少。</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方正仿宋_GBK"/>
          <w:sz w:val="32"/>
          <w:szCs w:val="32"/>
          <w:shd w:val="clear" w:color="auto" w:fill="FFFFFF"/>
        </w:rPr>
        <w:t>办公费、邮电费、咨询费、差旅费等支出。</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（五）政府性基金预算收支决算情况说明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万元，较上年决算数减少41.02万元，下降100.0%，主要原因是</w:t>
      </w:r>
      <w:r>
        <w:rPr>
          <w:rFonts w:hint="eastAsia" w:ascii="Times New Roman" w:hAnsi="Times New Roman" w:eastAsia="方正仿宋_GBK" w:cs="方正仿宋_GBK"/>
          <w:sz w:val="32"/>
          <w:szCs w:val="32"/>
          <w:shd w:val="clear" w:color="auto" w:fill="FFFFFF"/>
          <w:lang w:eastAsia="zh-CN"/>
        </w:rPr>
        <w:t>本部门</w:t>
      </w:r>
      <w:r>
        <w:rPr>
          <w:rFonts w:hint="eastAsia" w:ascii="Times New Roman" w:hAnsi="Times New Roman" w:eastAsia="方正仿宋_GBK" w:cs="方正仿宋_GBK"/>
          <w:sz w:val="32"/>
          <w:szCs w:val="32"/>
          <w:shd w:val="clear" w:color="auto" w:fill="FFFFFF"/>
        </w:rPr>
        <w:t>2023年无政府性基金预算财政拨款收支。</w:t>
      </w:r>
      <w:r>
        <w:rPr>
          <w:rFonts w:ascii="Times New Roman" w:hAnsi="Times New Roman" w:eastAsia="方正仿宋_GBK" w:cs="方正仿宋_GBK"/>
          <w:sz w:val="32"/>
          <w:szCs w:val="32"/>
          <w:shd w:val="clear" w:color="auto" w:fill="FFFFFF"/>
        </w:rPr>
        <w:t>本年支出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万元，较上年决算数减少41.02万元，下降100.0%，主要原因是</w:t>
      </w:r>
      <w:r>
        <w:rPr>
          <w:rFonts w:hint="eastAsia" w:ascii="Times New Roman" w:hAnsi="Times New Roman" w:eastAsia="方正仿宋_GBK" w:cs="方正仿宋_GBK"/>
          <w:sz w:val="32"/>
          <w:szCs w:val="32"/>
          <w:shd w:val="clear" w:color="auto" w:fill="FFFFFF"/>
          <w:lang w:eastAsia="zh-CN"/>
        </w:rPr>
        <w:t>本部门</w:t>
      </w:r>
      <w:r>
        <w:rPr>
          <w:rFonts w:hint="eastAsia" w:ascii="Times New Roman" w:hAnsi="Times New Roman" w:eastAsia="方正仿宋_GBK" w:cs="方正仿宋_GBK"/>
          <w:sz w:val="32"/>
          <w:szCs w:val="32"/>
          <w:shd w:val="clear" w:color="auto" w:fill="FFFFFF"/>
        </w:rPr>
        <w:t>2023年无政府性基金预算财政拨款收支。</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（六）国有资本经营预算财政拨款支出决算情况说明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2023年度国有资本经营预算财政拨</w:t>
      </w:r>
      <w:r>
        <w:rPr>
          <w:rFonts w:hint="eastAsia" w:ascii="Times New Roman" w:hAnsi="Times New Roman" w:eastAsia="方正仿宋_GBK" w:cs="方正仿宋_GBK"/>
          <w:sz w:val="32"/>
          <w:szCs w:val="32"/>
          <w:shd w:val="clear" w:color="auto" w:fill="FFFFFF"/>
          <w:lang w:eastAsia="zh-CN"/>
        </w:rPr>
        <w:t>款</w:t>
      </w:r>
      <w:r>
        <w:rPr>
          <w:rFonts w:hint="eastAsia" w:ascii="Times New Roman" w:hAnsi="Times New Roman" w:eastAsia="方正仿宋_GBK" w:cs="方正仿宋_GBK"/>
          <w:sz w:val="32"/>
          <w:szCs w:val="32"/>
          <w:shd w:val="clear" w:color="auto" w:fill="FFFFFF"/>
        </w:rPr>
        <w:t>本年支出0万元，基本支出0万元，项目支出0万元，本部门2023年度无国有资本经营预算财政拨款支出。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黑体" w:cs="黑体"/>
          <w:b w:val="0"/>
          <w:bCs/>
          <w:sz w:val="32"/>
          <w:szCs w:val="32"/>
          <w:shd w:val="clear" w:color="auto" w:fill="FFFFFF"/>
        </w:rPr>
      </w:pPr>
      <w:r>
        <w:rPr>
          <w:rStyle w:val="10"/>
          <w:rFonts w:ascii="Times New Roman" w:hAnsi="Times New Roman" w:eastAsia="黑体" w:cs="黑体"/>
          <w:b w:val="0"/>
          <w:bCs/>
          <w:sz w:val="32"/>
          <w:szCs w:val="32"/>
          <w:shd w:val="clear" w:color="auto" w:fill="FFFFFF"/>
        </w:rPr>
        <w:t>三、“三公”经费情况说明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sz w:val="32"/>
          <w:szCs w:val="32"/>
          <w:shd w:val="clear" w:color="auto" w:fill="FFFFFF"/>
        </w:rPr>
      </w:pPr>
      <w:r>
        <w:rPr>
          <w:rFonts w:hint="eastAsia" w:ascii="Times New Roman" w:hAnsi="Times New Roman" w:eastAsia="楷体" w:cs="楷体"/>
          <w:b w:val="0"/>
          <w:bCs/>
          <w:sz w:val="32"/>
          <w:szCs w:val="32"/>
          <w:shd w:val="clear" w:color="auto" w:fill="FFFFFF"/>
        </w:rPr>
        <w:t>（一）“三公”经费支出总体情况说明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0.95</w:t>
      </w:r>
      <w:r>
        <w:rPr>
          <w:rFonts w:ascii="Times New Roman" w:hAnsi="Times New Roman" w:eastAsia="方正仿宋_GBK" w:cs="方正仿宋_GBK"/>
          <w:sz w:val="32"/>
          <w:szCs w:val="32"/>
          <w:shd w:val="clear" w:color="auto" w:fill="FFFFFF"/>
        </w:rPr>
        <w:t>万元，较年初预算数减少0.85万元，下降47.2%，主要原因是</w:t>
      </w:r>
      <w:r>
        <w:rPr>
          <w:rFonts w:hint="eastAsia" w:ascii="Times New Roman" w:hAnsi="Times New Roman" w:eastAsia="方正仿宋_GBK" w:cs="方正仿宋_GBK"/>
          <w:sz w:val="32"/>
          <w:szCs w:val="32"/>
          <w:shd w:val="clear" w:color="auto" w:fill="FFFFFF"/>
        </w:rPr>
        <w:t>认真贯彻落实中央八项规定精神，从严控制“三公”经费，严格落实公车使用规定，从严控制公车运行维护成本，强化公务接待支出管理，严格遵守公务接待开支范围和开支标准，规范因公出国（境）活动，全年未安排人员出国出访。</w:t>
      </w:r>
      <w:r>
        <w:rPr>
          <w:rFonts w:ascii="Times New Roman" w:hAnsi="Times New Roman" w:eastAsia="方正仿宋_GBK" w:cs="方正仿宋_GBK"/>
          <w:sz w:val="32"/>
          <w:szCs w:val="32"/>
          <w:shd w:val="clear" w:color="auto" w:fill="FFFFFF"/>
        </w:rPr>
        <w:t>较上年支出数减少0.79万元，下降45.4%，主要原因是</w:t>
      </w:r>
      <w:r>
        <w:rPr>
          <w:rFonts w:hint="eastAsia" w:ascii="Times New Roman" w:hAnsi="Times New Roman" w:eastAsia="方正仿宋_GBK" w:cs="方正仿宋_GBK"/>
          <w:sz w:val="32"/>
          <w:szCs w:val="32"/>
          <w:shd w:val="clear" w:color="auto" w:fill="FFFFFF"/>
        </w:rPr>
        <w:t>认真贯彻落实中央八项规定精神，从严控制“三公”经费，严格落实公车使用规定，从严控制公车运行维护成本，强化公务接待支出管理，严格遵守公务接待开支范围和开支标准，规范因公出国（境）活动，全年未安排人员出国出访。</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（二）“三公”经费分项支出情况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w:t>
      </w:r>
      <w:r>
        <w:rPr>
          <w:rFonts w:hint="eastAsia" w:ascii="Times New Roman" w:hAnsi="Times New Roman" w:eastAsia="方正仿宋_GBK" w:cs="方正仿宋_GBK"/>
          <w:sz w:val="32"/>
          <w:szCs w:val="32"/>
          <w:shd w:val="clear" w:color="auto" w:fill="FFFFFF"/>
          <w:lang w:eastAsia="zh-CN"/>
        </w:rPr>
        <w:t>部门</w:t>
      </w:r>
      <w:r>
        <w:rPr>
          <w:rFonts w:ascii="Times New Roman" w:hAnsi="Times New Roman" w:eastAsia="方正仿宋_GBK" w:cs="方正仿宋_GBK"/>
          <w:sz w:val="32"/>
          <w:szCs w:val="32"/>
          <w:shd w:val="clear" w:color="auto" w:fill="FFFFFF"/>
        </w:rPr>
        <w:t>因公出国（境）费用</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费用支出较年初预算数无增减，主要原因是</w:t>
      </w:r>
      <w:r>
        <w:rPr>
          <w:rFonts w:hint="eastAsia" w:ascii="Times New Roman" w:hAnsi="Times New Roman" w:eastAsia="方正仿宋_GBK" w:cs="方正仿宋_GBK"/>
          <w:sz w:val="32"/>
          <w:szCs w:val="32"/>
          <w:shd w:val="clear" w:color="auto" w:fill="FFFFFF"/>
        </w:rPr>
        <w:t>规范因公出国（境）活动，全年未安排人员出国出访。</w:t>
      </w:r>
      <w:r>
        <w:rPr>
          <w:rFonts w:ascii="Times New Roman" w:hAnsi="Times New Roman" w:eastAsia="方正仿宋_GBK" w:cs="方正仿宋_GBK"/>
          <w:sz w:val="32"/>
          <w:szCs w:val="32"/>
          <w:shd w:val="clear" w:color="auto" w:fill="FFFFFF"/>
        </w:rPr>
        <w:t>较上年支出数无增减，主要原因是</w:t>
      </w:r>
      <w:r>
        <w:rPr>
          <w:rFonts w:hint="eastAsia" w:ascii="Times New Roman" w:hAnsi="Times New Roman" w:eastAsia="方正仿宋_GBK" w:cs="方正仿宋_GBK"/>
          <w:sz w:val="32"/>
          <w:szCs w:val="32"/>
          <w:shd w:val="clear" w:color="auto" w:fill="FFFFFF"/>
        </w:rPr>
        <w:t>规范因公出国（境）活动，全年未安排人员出国出访。</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公务车购置费0万元。费用支出较年初预算数无增减，主要原因是本年无公务用车购置费预算。较上年支出数无增减，主要原因是本年无公务用车购置费预算。</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公务</w:t>
      </w:r>
      <w:r>
        <w:rPr>
          <w:rFonts w:hint="eastAsia" w:ascii="Times New Roman" w:hAnsi="Times New Roman" w:eastAsia="方正仿宋_GBK" w:cs="方正仿宋_GBK"/>
          <w:sz w:val="32"/>
          <w:szCs w:val="32"/>
          <w:shd w:val="clear" w:color="auto" w:fill="FFFFFF"/>
          <w:lang w:eastAsia="zh-CN"/>
        </w:rPr>
        <w:t>用</w:t>
      </w:r>
      <w:r>
        <w:rPr>
          <w:rFonts w:ascii="Times New Roman" w:hAnsi="Times New Roman" w:eastAsia="方正仿宋_GBK" w:cs="方正仿宋_GBK"/>
          <w:sz w:val="32"/>
          <w:szCs w:val="32"/>
          <w:shd w:val="clear" w:color="auto" w:fill="FFFFFF"/>
        </w:rPr>
        <w:t>车运行维护费</w:t>
      </w:r>
      <w:r>
        <w:rPr>
          <w:rFonts w:ascii="Times New Roman" w:hAnsi="Times New Roman" w:eastAsia="方正仿宋_GBK" w:cs="方正仿宋_GBK"/>
          <w:sz w:val="32"/>
          <w:szCs w:val="32"/>
        </w:rPr>
        <w:t>0.76</w:t>
      </w:r>
      <w:r>
        <w:rPr>
          <w:rFonts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cs="方正仿宋_GBK"/>
          <w:sz w:val="32"/>
          <w:szCs w:val="32"/>
          <w:shd w:val="clear" w:color="auto" w:fill="FFFFFF"/>
        </w:rPr>
        <w:t>机要文件交换、市内因公出行等工作所需车辆的燃料费、维修费、过桥过路费、保险费等。</w:t>
      </w:r>
      <w:r>
        <w:rPr>
          <w:rFonts w:ascii="Times New Roman" w:hAnsi="Times New Roman" w:eastAsia="方正仿宋_GBK" w:cs="方正仿宋_GBK"/>
          <w:sz w:val="32"/>
          <w:szCs w:val="32"/>
          <w:shd w:val="clear" w:color="auto" w:fill="FFFFFF"/>
        </w:rPr>
        <w:t>费用支出较年初预算数减少0.04万元，下降5.0%，主要原因是</w:t>
      </w:r>
      <w:r>
        <w:rPr>
          <w:rFonts w:hint="eastAsia" w:ascii="Times New Roman" w:hAnsi="Times New Roman" w:eastAsia="方正仿宋_GBK" w:cs="方正仿宋_GBK"/>
          <w:sz w:val="32"/>
          <w:szCs w:val="32"/>
          <w:shd w:val="clear" w:color="auto" w:fill="FFFFFF"/>
        </w:rPr>
        <w:t>严格落实公车使用规定，从严控制公车运行维护成本。</w:t>
      </w:r>
      <w:r>
        <w:rPr>
          <w:rFonts w:ascii="Times New Roman" w:hAnsi="Times New Roman" w:eastAsia="方正仿宋_GBK" w:cs="方正仿宋_GBK"/>
          <w:sz w:val="32"/>
          <w:szCs w:val="32"/>
          <w:shd w:val="clear" w:color="auto" w:fill="FFFFFF"/>
        </w:rPr>
        <w:t>较上年支出数减少0.04万元，下降5.0%，主要原因是</w:t>
      </w:r>
      <w:r>
        <w:rPr>
          <w:rFonts w:hint="eastAsia" w:ascii="Times New Roman" w:hAnsi="Times New Roman" w:eastAsia="方正仿宋_GBK" w:cs="方正仿宋_GBK"/>
          <w:sz w:val="32"/>
          <w:szCs w:val="32"/>
          <w:shd w:val="clear" w:color="auto" w:fill="FFFFFF"/>
        </w:rPr>
        <w:t>严格落实公车使用规定，从严控制公车运行维护成本。</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0.19</w:t>
      </w:r>
      <w:r>
        <w:rPr>
          <w:rFonts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cs="方正仿宋_GBK"/>
          <w:sz w:val="32"/>
          <w:szCs w:val="32"/>
          <w:shd w:val="clear" w:color="auto" w:fill="FFFFFF"/>
        </w:rPr>
        <w:t>接待上级部门检查指导工作，招商引资等接待支出。</w:t>
      </w:r>
      <w:r>
        <w:rPr>
          <w:rFonts w:ascii="Times New Roman" w:hAnsi="Times New Roman" w:eastAsia="方正仿宋_GBK" w:cs="方正仿宋_GBK"/>
          <w:sz w:val="32"/>
          <w:szCs w:val="32"/>
          <w:shd w:val="clear" w:color="auto" w:fill="FFFFFF"/>
        </w:rPr>
        <w:t>费用支出较年初预算数减少0.81万元，下降81.0%，主要原因是</w:t>
      </w:r>
      <w:r>
        <w:rPr>
          <w:rFonts w:hint="eastAsia" w:ascii="Times New Roman" w:hAnsi="Times New Roman" w:eastAsia="方正仿宋_GBK" w:cs="方正仿宋_GBK"/>
          <w:sz w:val="32"/>
          <w:szCs w:val="32"/>
          <w:shd w:val="clear" w:color="auto" w:fill="FFFFFF"/>
        </w:rPr>
        <w:t>强化公务接待支出管理，严格遵守公务接待开支范围和开支标准。</w:t>
      </w:r>
      <w:r>
        <w:rPr>
          <w:rFonts w:ascii="Times New Roman" w:hAnsi="Times New Roman" w:eastAsia="方正仿宋_GBK" w:cs="方正仿宋_GBK"/>
          <w:sz w:val="32"/>
          <w:szCs w:val="32"/>
          <w:shd w:val="clear" w:color="auto" w:fill="FFFFFF"/>
        </w:rPr>
        <w:t>较上年支出数减少0.75万元，下降79.</w:t>
      </w:r>
      <w:r>
        <w:rPr>
          <w:rFonts w:hint="eastAsia" w:ascii="Times New Roman" w:hAnsi="Times New Roman" w:eastAsia="方正仿宋_GBK" w:cs="方正仿宋_GBK"/>
          <w:sz w:val="32"/>
          <w:szCs w:val="32"/>
          <w:shd w:val="clear" w:color="auto" w:fill="FFFFFF"/>
          <w:lang w:val="en-US" w:eastAsia="zh-CN"/>
        </w:rPr>
        <w:t>8</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强化公务接待支出管理，严格遵守公务接待开支范围和开支标准。</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（三）“三公”经费实物量情况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27</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68.93</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0.76</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sz w:val="32"/>
          <w:szCs w:val="32"/>
          <w:shd w:val="clear" w:color="auto" w:fill="FFFFFF"/>
        </w:rPr>
      </w:pPr>
      <w:r>
        <w:rPr>
          <w:rStyle w:val="10"/>
          <w:rFonts w:ascii="Times New Roman" w:hAnsi="Times New Roman" w:eastAsia="黑体" w:cs="黑体"/>
          <w:b w:val="0"/>
          <w:bCs/>
          <w:sz w:val="32"/>
          <w:szCs w:val="32"/>
          <w:shd w:val="clear" w:color="auto" w:fill="FFFFFF"/>
        </w:rPr>
        <w:t>四、其他需要说明的事项</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sz w:val="32"/>
          <w:szCs w:val="32"/>
          <w:shd w:val="clear" w:color="auto" w:fill="FFFFFF"/>
        </w:rPr>
      </w:pPr>
      <w:r>
        <w:rPr>
          <w:rFonts w:hint="eastAsia" w:ascii="Times New Roman" w:hAnsi="Times New Roman" w:eastAsia="楷体" w:cs="楷体"/>
          <w:b w:val="0"/>
          <w:bCs/>
          <w:sz w:val="32"/>
          <w:szCs w:val="32"/>
          <w:shd w:val="clear" w:color="auto" w:fill="FFFFFF"/>
        </w:rPr>
        <w:t>（一）财政拨款会议费和培训费情况说明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color="auto" w:fill="FFFFFF"/>
        </w:rPr>
        <w:t>本年度会议费支出0万元，较上年决算数无增减。</w:t>
      </w:r>
      <w:r>
        <w:rPr>
          <w:rFonts w:ascii="Times New Roman" w:hAnsi="Times New Roman" w:eastAsia="方正仿宋_GBK" w:cs="方正仿宋_GBK"/>
          <w:b w:val="0"/>
          <w:bCs/>
          <w:sz w:val="32"/>
          <w:szCs w:val="32"/>
          <w:shd w:val="clear" w:color="auto" w:fill="FFFFFF"/>
        </w:rPr>
        <w:t>本年度培训费支出</w:t>
      </w:r>
      <w:r>
        <w:rPr>
          <w:rFonts w:ascii="Times New Roman" w:hAnsi="Times New Roman" w:eastAsia="方正仿宋_GBK" w:cs="方正仿宋_GBK"/>
          <w:b w:val="0"/>
          <w:bCs/>
          <w:sz w:val="32"/>
          <w:szCs w:val="32"/>
        </w:rPr>
        <w:t>5.98</w:t>
      </w:r>
      <w:r>
        <w:rPr>
          <w:rFonts w:ascii="Times New Roman" w:hAnsi="Times New Roman" w:eastAsia="方正仿宋_GBK" w:cs="方正仿宋_GBK"/>
          <w:b w:val="0"/>
          <w:bCs/>
          <w:sz w:val="32"/>
          <w:szCs w:val="32"/>
          <w:shd w:val="clear" w:color="auto" w:fill="FFFFFF"/>
        </w:rPr>
        <w:t>万元，较上年决算数增加4.39万元，增长276.1%，</w:t>
      </w:r>
      <w:r>
        <w:rPr>
          <w:rFonts w:hint="eastAsia" w:ascii="Times New Roman" w:hAnsi="Times New Roman" w:eastAsia="方正仿宋_GBK" w:cs="方正仿宋_GBK"/>
          <w:b w:val="0"/>
          <w:bCs/>
          <w:sz w:val="32"/>
          <w:szCs w:val="32"/>
          <w:shd w:val="clear" w:color="auto" w:fill="FFFFFF"/>
          <w:lang w:eastAsia="zh-CN"/>
        </w:rPr>
        <w:t>主要原因是</w:t>
      </w:r>
      <w:r>
        <w:rPr>
          <w:rFonts w:hint="eastAsia" w:ascii="Times New Roman" w:hAnsi="Times New Roman" w:eastAsia="方正仿宋_GBK" w:cs="方正仿宋_GBK"/>
          <w:b w:val="0"/>
          <w:bCs/>
          <w:sz w:val="32"/>
          <w:szCs w:val="32"/>
          <w:shd w:val="clear" w:color="auto" w:fill="FFFFFF"/>
        </w:rPr>
        <w:t>年中新成立了1个下属事业单位。</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sz w:val="32"/>
          <w:szCs w:val="32"/>
          <w:shd w:val="clear" w:color="auto" w:fill="FFFFFF"/>
        </w:rPr>
      </w:pPr>
      <w:r>
        <w:rPr>
          <w:rFonts w:hint="eastAsia" w:ascii="Times New Roman" w:hAnsi="Times New Roman" w:eastAsia="楷体" w:cs="楷体"/>
          <w:b w:val="0"/>
          <w:bCs/>
          <w:sz w:val="32"/>
          <w:szCs w:val="32"/>
          <w:shd w:val="clear" w:color="auto" w:fill="FFFFFF"/>
        </w:rPr>
        <w:t>（二）机关运行经费情况说明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b w:val="0"/>
          <w:bCs/>
          <w:sz w:val="32"/>
          <w:szCs w:val="32"/>
          <w:shd w:val="clear" w:color="auto" w:fill="FFFFFF"/>
        </w:rPr>
        <w:t>2023年度本部门机关运行经费支出</w:t>
      </w:r>
      <w:r>
        <w:rPr>
          <w:rFonts w:ascii="Times New Roman" w:hAnsi="Times New Roman" w:eastAsia="方正仿宋_GBK" w:cs="方正仿宋_GBK"/>
          <w:b w:val="0"/>
          <w:bCs/>
          <w:sz w:val="32"/>
          <w:szCs w:val="32"/>
        </w:rPr>
        <w:t>19.42</w:t>
      </w:r>
      <w:r>
        <w:rPr>
          <w:rFonts w:ascii="Times New Roman" w:hAnsi="Times New Roman" w:eastAsia="方正仿宋_GBK" w:cs="方正仿宋_GBK"/>
          <w:b w:val="0"/>
          <w:bCs/>
          <w:sz w:val="32"/>
          <w:szCs w:val="32"/>
          <w:shd w:val="clear" w:color="auto" w:fill="FFFFFF"/>
        </w:rPr>
        <w:t>万元，机关运行经</w:t>
      </w:r>
      <w:r>
        <w:rPr>
          <w:rFonts w:ascii="Times New Roman" w:hAnsi="Times New Roman" w:eastAsia="方正仿宋_GBK" w:cs="方正仿宋_GBK"/>
          <w:sz w:val="32"/>
          <w:szCs w:val="32"/>
          <w:shd w:val="clear" w:color="auto" w:fill="FFFFFF"/>
        </w:rPr>
        <w:t>费主要用于开支</w:t>
      </w:r>
      <w:r>
        <w:rPr>
          <w:rFonts w:hint="eastAsia" w:ascii="Times New Roman" w:hAnsi="Times New Roman" w:eastAsia="方正仿宋_GBK" w:cs="方正仿宋_GBK"/>
          <w:sz w:val="32"/>
          <w:szCs w:val="32"/>
          <w:shd w:val="clear" w:color="auto" w:fill="FFFFFF"/>
        </w:rPr>
        <w:t>办公费、差旅费、水电费、邮电费、劳务费、物业管理费、公务用车运行维护费、其他交通费等。</w:t>
      </w:r>
      <w:r>
        <w:rPr>
          <w:rFonts w:ascii="Times New Roman" w:hAnsi="Times New Roman" w:eastAsia="方正仿宋_GBK" w:cs="方正仿宋_GBK"/>
          <w:sz w:val="32"/>
          <w:szCs w:val="32"/>
          <w:shd w:val="clear" w:color="auto" w:fill="FFFFFF"/>
        </w:rPr>
        <w:t>机关运行经费较上年支出数减少12.72万元，下降39.</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办公经费减少。</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（三）国有资产占用情况说明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截至2023年12月31日，本部门共有车辆</w:t>
      </w:r>
      <w:r>
        <w:rPr>
          <w:rFonts w:ascii="Times New Roman" w:hAnsi="Times New Roman" w:eastAsia="方正仿宋_GBK" w:cs="方正仿宋_GBK"/>
          <w:b w:val="0"/>
          <w:bCs w:val="0"/>
          <w:sz w:val="32"/>
          <w:szCs w:val="32"/>
        </w:rPr>
        <w:t>1</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1</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（四）政府采购支出情况说明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黑体" w:cs="黑体"/>
          <w:b w:val="0"/>
          <w:bCs w:val="0"/>
          <w:sz w:val="32"/>
          <w:szCs w:val="32"/>
          <w:shd w:val="clear" w:color="auto" w:fill="FFFFFF"/>
        </w:rPr>
      </w:pPr>
      <w:r>
        <w:rPr>
          <w:rStyle w:val="10"/>
          <w:rFonts w:hint="eastAsia" w:ascii="Times New Roman" w:hAnsi="Times New Roman" w:eastAsia="黑体" w:cs="黑体"/>
          <w:b w:val="0"/>
          <w:bCs w:val="0"/>
          <w:sz w:val="32"/>
          <w:szCs w:val="32"/>
          <w:shd w:val="clear" w:color="auto" w:fill="FFFFFF"/>
          <w:lang w:eastAsia="zh-CN"/>
        </w:rPr>
        <w:t>五、</w:t>
      </w:r>
      <w:r>
        <w:rPr>
          <w:rStyle w:val="10"/>
          <w:rFonts w:ascii="Times New Roman" w:hAnsi="Times New Roman" w:eastAsia="黑体" w:cs="黑体"/>
          <w:b w:val="0"/>
          <w:bCs w:val="0"/>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b w:val="0"/>
          <w:bCs w:val="0"/>
          <w:sz w:val="32"/>
          <w:szCs w:val="32"/>
          <w:shd w:val="clear" w:color="auto" w:fill="FFFFFF"/>
        </w:rPr>
        <w:t>根据预算绩效管理要求，我部门对部门整体和</w:t>
      </w:r>
      <w:r>
        <w:rPr>
          <w:rFonts w:hint="eastAsia" w:ascii="Times New Roman" w:hAnsi="Times New Roman" w:eastAsia="方正仿宋_GBK" w:cs="方正仿宋_GBK"/>
          <w:b w:val="0"/>
          <w:bCs w:val="0"/>
          <w:sz w:val="32"/>
          <w:szCs w:val="32"/>
          <w:shd w:val="clear" w:color="auto" w:fill="FFFFFF"/>
          <w:lang w:val="en-US" w:eastAsia="zh-CN"/>
        </w:rPr>
        <w:t>2</w:t>
      </w:r>
      <w:r>
        <w:rPr>
          <w:rFonts w:hint="eastAsia" w:ascii="Times New Roman" w:hAnsi="Times New Roman" w:eastAsia="方正仿宋_GBK" w:cs="方正仿宋_GBK"/>
          <w:b w:val="0"/>
          <w:bCs w:val="0"/>
          <w:sz w:val="32"/>
          <w:szCs w:val="32"/>
          <w:shd w:val="clear" w:color="auto" w:fill="FFFFFF"/>
        </w:rPr>
        <w:t>个一级项</w:t>
      </w:r>
      <w:r>
        <w:rPr>
          <w:rFonts w:hint="eastAsia" w:ascii="Times New Roman" w:hAnsi="Times New Roman" w:eastAsia="方正仿宋_GBK" w:cs="方正仿宋_GBK"/>
          <w:sz w:val="32"/>
          <w:szCs w:val="32"/>
          <w:shd w:val="clear" w:color="auto" w:fill="FFFFFF"/>
        </w:rPr>
        <w:t>目、</w:t>
      </w:r>
      <w:r>
        <w:rPr>
          <w:rFonts w:hint="eastAsia" w:ascii="Times New Roman" w:hAnsi="Times New Roman" w:eastAsia="方正仿宋_GBK" w:cs="方正仿宋_GBK"/>
          <w:sz w:val="32"/>
          <w:szCs w:val="32"/>
          <w:shd w:val="clear" w:color="auto" w:fill="FFFFFF"/>
          <w:lang w:val="en-US" w:eastAsia="zh-CN"/>
        </w:rPr>
        <w:t>24</w:t>
      </w:r>
      <w:r>
        <w:rPr>
          <w:rFonts w:hint="eastAsia" w:ascii="Times New Roman" w:hAnsi="Times New Roman" w:eastAsia="方正仿宋_GBK" w:cs="方正仿宋_GBK"/>
          <w:sz w:val="32"/>
          <w:szCs w:val="32"/>
          <w:shd w:val="clear" w:color="auto" w:fill="FFFFFF"/>
        </w:rPr>
        <w:t>个二级项目开展了绩效自评，涉及财政拨款项目支出资金620.86万元</w:t>
      </w:r>
      <w:r>
        <w:rPr>
          <w:rFonts w:hint="eastAsia" w:ascii="Times New Roman" w:hAnsi="Times New Roman"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宋体"/>
          <w:b w:val="0"/>
          <w:bCs/>
          <w:kern w:val="0"/>
          <w:sz w:val="32"/>
          <w:szCs w:val="32"/>
        </w:rPr>
        <w:t>（</w:t>
      </w:r>
      <w:r>
        <w:rPr>
          <w:rFonts w:hint="eastAsia" w:ascii="Times New Roman" w:hAnsi="Times New Roman" w:eastAsia="方正仿宋_GBK" w:cs="宋体"/>
          <w:b w:val="0"/>
          <w:bCs/>
          <w:kern w:val="0"/>
          <w:sz w:val="32"/>
          <w:szCs w:val="32"/>
          <w:lang w:eastAsia="zh-CN"/>
        </w:rPr>
        <w:t>二</w:t>
      </w:r>
      <w:r>
        <w:rPr>
          <w:rFonts w:hint="eastAsia" w:ascii="Times New Roman" w:hAnsi="Times New Roman" w:eastAsia="方正仿宋_GBK" w:cs="宋体"/>
          <w:b w:val="0"/>
          <w:bCs/>
          <w:kern w:val="0"/>
          <w:sz w:val="32"/>
          <w:szCs w:val="32"/>
        </w:rPr>
        <w:t>）</w:t>
      </w:r>
      <w:r>
        <w:rPr>
          <w:rFonts w:hint="eastAsia" w:ascii="Times New Roman" w:hAnsi="Times New Roman" w:eastAsia="方正仿宋_GBK" w:cs="宋体"/>
          <w:b w:val="0"/>
          <w:bCs/>
          <w:kern w:val="0"/>
          <w:sz w:val="32"/>
          <w:szCs w:val="32"/>
          <w:lang w:eastAsia="zh-CN"/>
        </w:rPr>
        <w:t>绩效自评结果</w:t>
      </w:r>
    </w:p>
    <w:tbl>
      <w:tblPr>
        <w:tblStyle w:val="7"/>
        <w:tblW w:w="9540" w:type="dxa"/>
        <w:jc w:val="center"/>
        <w:tblLayout w:type="fixed"/>
        <w:tblCellMar>
          <w:top w:w="0" w:type="dxa"/>
          <w:left w:w="108" w:type="dxa"/>
          <w:bottom w:w="0" w:type="dxa"/>
          <w:right w:w="108" w:type="dxa"/>
        </w:tblCellMar>
      </w:tblPr>
      <w:tblGrid>
        <w:gridCol w:w="582"/>
        <w:gridCol w:w="372"/>
        <w:gridCol w:w="1068"/>
        <w:gridCol w:w="705"/>
        <w:gridCol w:w="45"/>
        <w:gridCol w:w="585"/>
        <w:gridCol w:w="195"/>
        <w:gridCol w:w="540"/>
        <w:gridCol w:w="165"/>
        <w:gridCol w:w="720"/>
        <w:gridCol w:w="120"/>
        <w:gridCol w:w="660"/>
        <w:gridCol w:w="735"/>
        <w:gridCol w:w="60"/>
        <w:gridCol w:w="330"/>
        <w:gridCol w:w="465"/>
        <w:gridCol w:w="421"/>
        <w:gridCol w:w="479"/>
        <w:gridCol w:w="330"/>
        <w:gridCol w:w="963"/>
      </w:tblGrid>
      <w:tr>
        <w:tblPrEx>
          <w:tblCellMar>
            <w:top w:w="0" w:type="dxa"/>
            <w:left w:w="108" w:type="dxa"/>
            <w:bottom w:w="0" w:type="dxa"/>
            <w:right w:w="108" w:type="dxa"/>
          </w:tblCellMar>
        </w:tblPrEx>
        <w:trPr>
          <w:trHeight w:val="552" w:hRule="atLeast"/>
          <w:jc w:val="center"/>
        </w:trPr>
        <w:tc>
          <w:tcPr>
            <w:tcW w:w="9540" w:type="dxa"/>
            <w:gridSpan w:val="20"/>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小标宋_GBK" w:cs="方正小标宋_GBK"/>
                <w:color w:val="000000"/>
                <w:kern w:val="0"/>
                <w:sz w:val="36"/>
                <w:szCs w:val="36"/>
                <w:lang w:eastAsia="zh-CN" w:bidi="ar"/>
              </w:rPr>
            </w:pPr>
            <w:r>
              <w:rPr>
                <w:rFonts w:hint="eastAsia" w:ascii="Times New Roman" w:hAnsi="Times New Roman" w:eastAsia="方正小标宋_GBK" w:cs="方正小标宋_GBK"/>
                <w:color w:val="000000"/>
                <w:kern w:val="0"/>
                <w:sz w:val="36"/>
                <w:szCs w:val="36"/>
                <w:lang w:eastAsia="zh-CN" w:bidi="ar"/>
              </w:rPr>
              <w:t>重庆市万州区大数据应用发展管理局</w:t>
            </w:r>
          </w:p>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202</w:t>
            </w:r>
            <w:r>
              <w:rPr>
                <w:rFonts w:hint="eastAsia" w:ascii="Times New Roman" w:hAnsi="Times New Roman" w:eastAsia="方正小标宋_GBK" w:cs="方正小标宋_GBK"/>
                <w:color w:val="000000"/>
                <w:kern w:val="0"/>
                <w:sz w:val="36"/>
                <w:szCs w:val="36"/>
                <w:lang w:val="en-US" w:eastAsia="zh-CN" w:bidi="ar"/>
              </w:rPr>
              <w:t>3</w:t>
            </w:r>
            <w:r>
              <w:rPr>
                <w:rFonts w:hint="eastAsia" w:ascii="Times New Roman" w:hAnsi="Times New Roman" w:eastAsia="方正小标宋_GBK" w:cs="方正小标宋_GBK"/>
                <w:color w:val="000000"/>
                <w:kern w:val="0"/>
                <w:sz w:val="36"/>
                <w:szCs w:val="36"/>
                <w:lang w:bidi="ar"/>
              </w:rPr>
              <w:t>年度部门整体绩效自评表</w:t>
            </w:r>
          </w:p>
        </w:tc>
      </w:tr>
      <w:tr>
        <w:tblPrEx>
          <w:tblCellMar>
            <w:top w:w="0" w:type="dxa"/>
            <w:left w:w="108" w:type="dxa"/>
            <w:bottom w:w="0" w:type="dxa"/>
            <w:right w:w="108" w:type="dxa"/>
          </w:tblCellMar>
        </w:tblPrEx>
        <w:trPr>
          <w:trHeight w:val="529"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主管部门</w:t>
            </w: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重庆市万州区大数据应用发展管理局</w:t>
            </w:r>
          </w:p>
        </w:tc>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部门编码</w:t>
            </w:r>
          </w:p>
        </w:tc>
        <w:tc>
          <w:tcPr>
            <w:tcW w:w="885"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501</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widowControl/>
              <w:jc w:val="both"/>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自评总分（分）</w:t>
            </w:r>
          </w:p>
        </w:tc>
        <w:tc>
          <w:tcPr>
            <w:tcW w:w="2658" w:type="dxa"/>
            <w:gridSpan w:val="5"/>
            <w:tcBorders>
              <w:top w:val="single" w:color="auto" w:sz="4" w:space="0"/>
              <w:left w:val="single" w:color="000000" w:sz="4" w:space="0"/>
              <w:bottom w:val="single" w:color="auto" w:sz="4" w:space="0"/>
              <w:right w:val="single" w:color="000000"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97.77</w:t>
            </w:r>
          </w:p>
        </w:tc>
      </w:tr>
      <w:tr>
        <w:tblPrEx>
          <w:tblCellMar>
            <w:top w:w="0" w:type="dxa"/>
            <w:left w:w="108" w:type="dxa"/>
            <w:bottom w:w="0" w:type="dxa"/>
            <w:right w:w="108" w:type="dxa"/>
          </w:tblCellMar>
        </w:tblPrEx>
        <w:trPr>
          <w:trHeight w:val="195"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部门</w:t>
            </w:r>
            <w:r>
              <w:rPr>
                <w:rFonts w:hint="eastAsia" w:ascii="Times New Roman" w:hAnsi="Times New Roman" w:eastAsia="方正仿宋_GBK" w:cs="方正仿宋_GBK"/>
                <w:color w:val="000000"/>
                <w:kern w:val="0"/>
                <w:sz w:val="18"/>
                <w:szCs w:val="18"/>
                <w:lang w:bidi="ar"/>
              </w:rPr>
              <w:br w:type="textWrapping"/>
            </w:r>
            <w:r>
              <w:rPr>
                <w:rFonts w:hint="eastAsia" w:ascii="Times New Roman" w:hAnsi="Times New Roman" w:eastAsia="方正仿宋_GBK" w:cs="方正仿宋_GBK"/>
                <w:color w:val="000000"/>
                <w:kern w:val="0"/>
                <w:sz w:val="18"/>
                <w:szCs w:val="18"/>
                <w:lang w:bidi="ar"/>
              </w:rPr>
              <w:t>联系人</w:t>
            </w:r>
          </w:p>
        </w:tc>
        <w:tc>
          <w:tcPr>
            <w:tcW w:w="4023" w:type="dxa"/>
            <w:gridSpan w:val="8"/>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李彦霖</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联系电话</w:t>
            </w:r>
          </w:p>
        </w:tc>
        <w:tc>
          <w:tcPr>
            <w:tcW w:w="2658" w:type="dxa"/>
            <w:gridSpan w:val="5"/>
            <w:tcBorders>
              <w:top w:val="single" w:color="auto" w:sz="4" w:space="0"/>
              <w:left w:val="single" w:color="000000" w:sz="4" w:space="0"/>
              <w:bottom w:val="single" w:color="auto" w:sz="4" w:space="0"/>
              <w:right w:val="single" w:color="000000"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58966399</w:t>
            </w:r>
          </w:p>
        </w:tc>
      </w:tr>
      <w:tr>
        <w:tblPrEx>
          <w:tblCellMar>
            <w:top w:w="0" w:type="dxa"/>
            <w:left w:w="108" w:type="dxa"/>
            <w:bottom w:w="0" w:type="dxa"/>
            <w:right w:w="108" w:type="dxa"/>
          </w:tblCellMar>
        </w:tblPrEx>
        <w:trPr>
          <w:trHeight w:val="186"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imes New Roman" w:hAnsi="Times New Roman" w:eastAsia="方正仿宋_GBK" w:cs="宋体"/>
                <w:color w:val="000000"/>
                <w:sz w:val="20"/>
                <w:szCs w:val="20"/>
                <w:lang w:eastAsia="zh-CN"/>
              </w:rPr>
            </w:pPr>
            <w:r>
              <w:rPr>
                <w:rFonts w:hint="eastAsia" w:ascii="Times New Roman" w:hAnsi="Times New Roman" w:cs="宋体"/>
                <w:color w:val="000000"/>
                <w:sz w:val="20"/>
                <w:szCs w:val="20"/>
                <w:lang w:eastAsia="zh-CN"/>
              </w:rPr>
              <w:t>年初预算数</w:t>
            </w:r>
          </w:p>
        </w:tc>
        <w:tc>
          <w:tcPr>
            <w:tcW w:w="2205" w:type="dxa"/>
            <w:gridSpan w:val="5"/>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全年（调整）</w:t>
            </w:r>
            <w:r>
              <w:rPr>
                <w:rFonts w:hint="eastAsia" w:ascii="Times New Roman" w:hAnsi="Times New Roman" w:eastAsia="方正仿宋_GBK" w:cs="方正仿宋_GBK"/>
                <w:color w:val="000000"/>
                <w:kern w:val="0"/>
                <w:sz w:val="18"/>
                <w:szCs w:val="18"/>
                <w:lang w:eastAsia="zh-CN" w:bidi="ar"/>
              </w:rPr>
              <w:t>预算数</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bidi="ar"/>
              </w:rPr>
              <w:t>全年</w:t>
            </w:r>
            <w:r>
              <w:rPr>
                <w:rFonts w:hint="eastAsia" w:ascii="Times New Roman" w:hAnsi="Times New Roman" w:eastAsia="方正仿宋_GBK" w:cs="方正仿宋_GBK"/>
                <w:color w:val="000000"/>
                <w:kern w:val="0"/>
                <w:sz w:val="18"/>
                <w:szCs w:val="18"/>
                <w:lang w:eastAsia="zh-CN" w:bidi="ar"/>
              </w:rPr>
              <w:t>执行数</w:t>
            </w:r>
          </w:p>
        </w:tc>
        <w:tc>
          <w:tcPr>
            <w:tcW w:w="886" w:type="dxa"/>
            <w:gridSpan w:val="2"/>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执行率（</w:t>
            </w:r>
            <w:r>
              <w:rPr>
                <w:rFonts w:hint="eastAsia" w:ascii="Times New Roman" w:hAnsi="Times New Roman" w:eastAsia="方正仿宋_GBK" w:cs="方正仿宋_GBK"/>
                <w:color w:val="000000"/>
                <w:kern w:val="0"/>
                <w:sz w:val="18"/>
                <w:szCs w:val="18"/>
                <w:lang w:val="en-US" w:eastAsia="zh-CN" w:bidi="ar"/>
              </w:rPr>
              <w:t>%</w:t>
            </w:r>
            <w:r>
              <w:rPr>
                <w:rFonts w:hint="eastAsia" w:ascii="Times New Roman" w:hAnsi="Times New Roman" w:eastAsia="方正仿宋_GBK" w:cs="方正仿宋_GBK"/>
                <w:color w:val="000000"/>
                <w:kern w:val="0"/>
                <w:sz w:val="18"/>
                <w:szCs w:val="18"/>
                <w:lang w:eastAsia="zh-CN" w:bidi="ar"/>
              </w:rPr>
              <w:t>）</w:t>
            </w:r>
          </w:p>
        </w:tc>
        <w:tc>
          <w:tcPr>
            <w:tcW w:w="80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执行率权重</w:t>
            </w:r>
          </w:p>
        </w:tc>
        <w:tc>
          <w:tcPr>
            <w:tcW w:w="963"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执行率得分（分）</w:t>
            </w:r>
          </w:p>
        </w:tc>
      </w:tr>
      <w:tr>
        <w:tblPrEx>
          <w:tblCellMar>
            <w:top w:w="0" w:type="dxa"/>
            <w:left w:w="108" w:type="dxa"/>
            <w:bottom w:w="0" w:type="dxa"/>
            <w:right w:w="108" w:type="dxa"/>
          </w:tblCellMar>
        </w:tblPrEx>
        <w:trPr>
          <w:trHeight w:val="164"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年度总金额</w:t>
            </w: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9,866,539.36 </w:t>
            </w:r>
          </w:p>
        </w:tc>
        <w:tc>
          <w:tcPr>
            <w:tcW w:w="220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16,774,648.34 </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13,152,816.95 </w:t>
            </w:r>
          </w:p>
        </w:tc>
        <w:tc>
          <w:tcPr>
            <w:tcW w:w="886" w:type="dxa"/>
            <w:gridSpan w:val="2"/>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w:t>
            </w:r>
          </w:p>
        </w:tc>
        <w:tc>
          <w:tcPr>
            <w:tcW w:w="8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宋体"/>
                <w:color w:val="000000"/>
                <w:sz w:val="20"/>
                <w:szCs w:val="20"/>
              </w:rPr>
            </w:pPr>
            <w:r>
              <w:rPr>
                <w:rFonts w:hint="eastAsia" w:ascii="Times New Roman" w:hAnsi="Times New Roman" w:cs="宋体"/>
                <w:color w:val="000000"/>
                <w:sz w:val="20"/>
                <w:szCs w:val="20"/>
                <w:lang w:eastAsia="zh-CN"/>
              </w:rPr>
              <w:t>—</w:t>
            </w:r>
          </w:p>
        </w:tc>
        <w:tc>
          <w:tcPr>
            <w:tcW w:w="963" w:type="dxa"/>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w:t>
            </w:r>
          </w:p>
        </w:tc>
      </w:tr>
      <w:tr>
        <w:tblPrEx>
          <w:tblCellMar>
            <w:top w:w="0" w:type="dxa"/>
            <w:left w:w="108" w:type="dxa"/>
            <w:bottom w:w="0" w:type="dxa"/>
            <w:right w:w="108" w:type="dxa"/>
          </w:tblCellMar>
        </w:tblPrEx>
        <w:trPr>
          <w:trHeight w:val="158"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其中：财政拨款</w:t>
            </w: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9,866,539.36 </w:t>
            </w:r>
          </w:p>
        </w:tc>
        <w:tc>
          <w:tcPr>
            <w:tcW w:w="220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15,938,131.73 </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12,393,783.71 </w:t>
            </w:r>
          </w:p>
        </w:tc>
        <w:tc>
          <w:tcPr>
            <w:tcW w:w="886" w:type="dxa"/>
            <w:gridSpan w:val="2"/>
            <w:tcBorders>
              <w:top w:val="single" w:color="auto" w:sz="4" w:space="0"/>
              <w:left w:val="single" w:color="000000" w:sz="4" w:space="0"/>
              <w:bottom w:val="single" w:color="auto" w:sz="4" w:space="0"/>
              <w:right w:val="single" w:color="auto"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77.76</w:t>
            </w:r>
          </w:p>
        </w:tc>
        <w:tc>
          <w:tcPr>
            <w:tcW w:w="809" w:type="dxa"/>
            <w:gridSpan w:val="2"/>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10</w:t>
            </w:r>
          </w:p>
        </w:tc>
        <w:tc>
          <w:tcPr>
            <w:tcW w:w="963" w:type="dxa"/>
            <w:tcBorders>
              <w:top w:val="single" w:color="auto" w:sz="4" w:space="0"/>
              <w:left w:val="single" w:color="auto" w:sz="4" w:space="0"/>
              <w:bottom w:val="single" w:color="auto" w:sz="4" w:space="0"/>
              <w:right w:val="single" w:color="000000"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7.77</w:t>
            </w:r>
          </w:p>
        </w:tc>
      </w:tr>
      <w:tr>
        <w:tblPrEx>
          <w:tblCellMar>
            <w:top w:w="0" w:type="dxa"/>
            <w:left w:w="108" w:type="dxa"/>
            <w:bottom w:w="0" w:type="dxa"/>
            <w:right w:w="108" w:type="dxa"/>
          </w:tblCellMar>
        </w:tblPrEx>
        <w:trPr>
          <w:trHeight w:val="171"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一般公共预算</w:t>
            </w: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9,866,539.36 </w:t>
            </w:r>
          </w:p>
        </w:tc>
        <w:tc>
          <w:tcPr>
            <w:tcW w:w="220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15,938,131.73 </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12,393,783.71 </w:t>
            </w:r>
          </w:p>
        </w:tc>
        <w:tc>
          <w:tcPr>
            <w:tcW w:w="886" w:type="dxa"/>
            <w:gridSpan w:val="2"/>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w:t>
            </w:r>
          </w:p>
        </w:tc>
        <w:tc>
          <w:tcPr>
            <w:tcW w:w="8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宋体"/>
                <w:color w:val="000000"/>
                <w:sz w:val="20"/>
                <w:szCs w:val="20"/>
              </w:rPr>
            </w:pPr>
            <w:r>
              <w:rPr>
                <w:rFonts w:hint="eastAsia" w:ascii="Times New Roman" w:hAnsi="Times New Roman" w:cs="宋体"/>
                <w:color w:val="000000"/>
                <w:sz w:val="20"/>
                <w:szCs w:val="20"/>
                <w:lang w:eastAsia="zh-CN"/>
              </w:rPr>
              <w:t>—</w:t>
            </w:r>
          </w:p>
        </w:tc>
        <w:tc>
          <w:tcPr>
            <w:tcW w:w="963" w:type="dxa"/>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w:t>
            </w:r>
          </w:p>
        </w:tc>
      </w:tr>
      <w:tr>
        <w:tblPrEx>
          <w:tblCellMar>
            <w:top w:w="0" w:type="dxa"/>
            <w:left w:w="108" w:type="dxa"/>
            <w:bottom w:w="0" w:type="dxa"/>
            <w:right w:w="108" w:type="dxa"/>
          </w:tblCellMar>
        </w:tblPrEx>
        <w:trPr>
          <w:trHeight w:val="450" w:hRule="atLeast"/>
          <w:jc w:val="center"/>
        </w:trPr>
        <w:tc>
          <w:tcPr>
            <w:tcW w:w="582"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当年绩效</w:t>
            </w:r>
            <w:r>
              <w:rPr>
                <w:rFonts w:hint="eastAsia" w:ascii="Times New Roman" w:hAnsi="Times New Roman" w:eastAsia="方正仿宋_GBK" w:cs="方正仿宋_GBK"/>
                <w:color w:val="000000"/>
                <w:kern w:val="0"/>
                <w:sz w:val="18"/>
                <w:szCs w:val="18"/>
                <w:lang w:bidi="ar"/>
              </w:rPr>
              <w:br w:type="textWrapping"/>
            </w:r>
            <w:r>
              <w:rPr>
                <w:rFonts w:hint="eastAsia" w:ascii="Times New Roman" w:hAnsi="Times New Roman" w:eastAsia="方正仿宋_GBK" w:cs="方正仿宋_GBK"/>
                <w:color w:val="000000"/>
                <w:kern w:val="0"/>
                <w:sz w:val="18"/>
                <w:szCs w:val="18"/>
                <w:lang w:bidi="ar"/>
              </w:rPr>
              <w:t>目标</w:t>
            </w:r>
          </w:p>
        </w:tc>
        <w:tc>
          <w:tcPr>
            <w:tcW w:w="2970" w:type="dxa"/>
            <w:gridSpan w:val="6"/>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年初绩效目标</w:t>
            </w:r>
          </w:p>
        </w:tc>
        <w:tc>
          <w:tcPr>
            <w:tcW w:w="3000" w:type="dxa"/>
            <w:gridSpan w:val="7"/>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全年（调整）绩效目标</w:t>
            </w:r>
          </w:p>
        </w:tc>
        <w:tc>
          <w:tcPr>
            <w:tcW w:w="2988" w:type="dxa"/>
            <w:gridSpan w:val="6"/>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全年目标实际完成情况</w:t>
            </w:r>
          </w:p>
        </w:tc>
      </w:tr>
      <w:tr>
        <w:tblPrEx>
          <w:tblCellMar>
            <w:top w:w="0" w:type="dxa"/>
            <w:left w:w="108" w:type="dxa"/>
            <w:bottom w:w="0" w:type="dxa"/>
            <w:right w:w="108" w:type="dxa"/>
          </w:tblCellMar>
        </w:tblPrEx>
        <w:trPr>
          <w:trHeight w:val="12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000000"/>
                <w:sz w:val="18"/>
                <w:szCs w:val="18"/>
              </w:rPr>
            </w:pPr>
          </w:p>
        </w:tc>
        <w:tc>
          <w:tcPr>
            <w:tcW w:w="2970" w:type="dxa"/>
            <w:gridSpan w:val="6"/>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全区大数据应用发展管理。;负责推进全区信息化应用工作。;负责协调全区信息基础设施建设。;负责推动大数据、人工智能、信息化领域对外交流合作。;负责全区数字经济发展统计;负责推动促进线上业态、线上服务、线上管理快速发展;负责推动平台经济发展;招商引资，数字经济市场主体培育。;完成区委和区政府交办的其他任务;</w:t>
            </w:r>
          </w:p>
        </w:tc>
        <w:tc>
          <w:tcPr>
            <w:tcW w:w="3000" w:type="dxa"/>
            <w:gridSpan w:val="7"/>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全区大数据应用发展管理。负责推进全区信息化应用工作。负责协调全区信息基础设施建设。负责推动大数据、人工智能、信息化领域对外交流合作。负责全区数字经济发展统计;负责推动促进线上业态、线上服务、线上管理快速发展;负责推动平台经济发展;招商引资，数字经济市场主体培育。完成区委和区政府交办的其他任务。</w:t>
            </w:r>
          </w:p>
        </w:tc>
        <w:tc>
          <w:tcPr>
            <w:tcW w:w="2988" w:type="dxa"/>
            <w:gridSpan w:val="6"/>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全区大数据应用发展管理。;负责推进全区信息化应用工作。负责协调全区信息基础设施建设。负责推动大数据、人工智能、信息化领域对外交流合作。负责全区数字经济发展统计;负责推动促进线上业态、线上服务、线上管理快速发展;负责推动平台经济发展;招商引资，数字经济市场主体培育。完成区委和区政府交办的其他任务。</w:t>
            </w:r>
          </w:p>
        </w:tc>
      </w:tr>
      <w:tr>
        <w:tblPrEx>
          <w:tblCellMar>
            <w:top w:w="0" w:type="dxa"/>
            <w:left w:w="108" w:type="dxa"/>
            <w:bottom w:w="0" w:type="dxa"/>
            <w:right w:w="108" w:type="dxa"/>
          </w:tblCellMar>
        </w:tblPrEx>
        <w:trPr>
          <w:trHeight w:val="879"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绩效指标</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指标名称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计量</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单位</w:t>
            </w:r>
          </w:p>
        </w:tc>
        <w:tc>
          <w:tcPr>
            <w:tcW w:w="63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指标</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性质</w:t>
            </w:r>
          </w:p>
        </w:tc>
        <w:tc>
          <w:tcPr>
            <w:tcW w:w="900"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指标值</w:t>
            </w:r>
          </w:p>
        </w:tc>
        <w:tc>
          <w:tcPr>
            <w:tcW w:w="840"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全年</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完成值</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5"/>
                <w:szCs w:val="15"/>
                <w:lang w:eastAsia="zh-CN" w:bidi="ar"/>
              </w:rPr>
            </w:pPr>
            <w:r>
              <w:rPr>
                <w:rFonts w:hint="eastAsia" w:ascii="Times New Roman" w:hAnsi="Times New Roman" w:eastAsia="方正仿宋_GBK" w:cs="方正仿宋_GBK"/>
                <w:color w:val="000000"/>
                <w:kern w:val="0"/>
                <w:sz w:val="15"/>
                <w:szCs w:val="15"/>
                <w:lang w:eastAsia="zh-CN" w:bidi="ar"/>
              </w:rPr>
              <w:t>偏离度（</w:t>
            </w:r>
            <w:r>
              <w:rPr>
                <w:rFonts w:hint="eastAsia" w:ascii="Times New Roman" w:hAnsi="Times New Roman" w:eastAsia="方正仿宋_GBK" w:cs="方正仿宋_GBK"/>
                <w:color w:val="000000"/>
                <w:kern w:val="0"/>
                <w:sz w:val="15"/>
                <w:szCs w:val="15"/>
                <w:lang w:val="en-US" w:eastAsia="zh-CN" w:bidi="ar"/>
              </w:rPr>
              <w:t>%</w:t>
            </w:r>
            <w:r>
              <w:rPr>
                <w:rFonts w:hint="eastAsia" w:ascii="Times New Roman" w:hAnsi="Times New Roman" w:eastAsia="方正仿宋_GBK" w:cs="方正仿宋_GBK"/>
                <w:color w:val="000000"/>
                <w:kern w:val="0"/>
                <w:sz w:val="15"/>
                <w:szCs w:val="15"/>
                <w:lang w:eastAsia="zh-CN" w:bidi="ar"/>
              </w:rPr>
              <w:t>）</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5"/>
                <w:szCs w:val="15"/>
                <w:lang w:eastAsia="zh-CN" w:bidi="ar"/>
              </w:rPr>
            </w:pPr>
            <w:r>
              <w:rPr>
                <w:rFonts w:hint="eastAsia" w:ascii="Times New Roman" w:hAnsi="Times New Roman" w:eastAsia="方正仿宋_GBK" w:cs="方正仿宋_GBK"/>
                <w:color w:val="000000"/>
                <w:kern w:val="0"/>
                <w:sz w:val="15"/>
                <w:szCs w:val="15"/>
                <w:lang w:eastAsia="zh-CN" w:bidi="ar"/>
              </w:rPr>
              <w:t>等分系数（</w:t>
            </w:r>
            <w:r>
              <w:rPr>
                <w:rFonts w:hint="eastAsia" w:ascii="Times New Roman" w:hAnsi="Times New Roman" w:eastAsia="方正仿宋_GBK" w:cs="方正仿宋_GBK"/>
                <w:color w:val="000000"/>
                <w:kern w:val="0"/>
                <w:sz w:val="15"/>
                <w:szCs w:val="15"/>
                <w:lang w:val="en-US" w:eastAsia="zh-CN" w:bidi="ar"/>
              </w:rPr>
              <w:t>%</w:t>
            </w:r>
            <w:r>
              <w:rPr>
                <w:rFonts w:hint="eastAsia" w:ascii="Times New Roman" w:hAnsi="Times New Roman" w:eastAsia="方正仿宋_GBK" w:cs="方正仿宋_GBK"/>
                <w:color w:val="000000"/>
                <w:kern w:val="0"/>
                <w:sz w:val="15"/>
                <w:szCs w:val="15"/>
                <w:lang w:eastAsia="zh-CN" w:bidi="ar"/>
              </w:rPr>
              <w:t>）</w:t>
            </w:r>
          </w:p>
        </w:tc>
        <w:tc>
          <w:tcPr>
            <w:tcW w:w="855"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5"/>
                <w:szCs w:val="15"/>
                <w:lang w:bidi="ar"/>
              </w:rPr>
            </w:pPr>
            <w:r>
              <w:rPr>
                <w:rFonts w:hint="eastAsia" w:ascii="Times New Roman" w:hAnsi="Times New Roman" w:eastAsia="方正仿宋_GBK" w:cs="方正仿宋_GBK"/>
                <w:color w:val="000000"/>
                <w:kern w:val="0"/>
                <w:sz w:val="15"/>
                <w:szCs w:val="15"/>
                <w:lang w:bidi="ar"/>
              </w:rPr>
              <w:t>指标权重</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（分）</w:t>
            </w:r>
          </w:p>
        </w:tc>
        <w:tc>
          <w:tcPr>
            <w:tcW w:w="900"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指标得分</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（分）</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说明</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开展数据治理</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条</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5000000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5000000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审核全区政务信息化项目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47</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135</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实际审核47件</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引入互联网平台企业</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有效运维信息化系统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4</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33.33</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实际运维4个</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部门预决算公开率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年度电信普遍服务完工率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5.26</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数字经济年度增速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22.9</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52.67</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实际增速22.9%</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限上市场主体培育</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实际培育5个</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机关政务协同办公使用率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11.11</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农村通信有效信号覆盖率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98</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98</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数据驱动智慧医疗服务提升满意度</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5.56</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信息化项目预算审减率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000000"/>
                <w:sz w:val="18"/>
                <w:szCs w:val="18"/>
                <w:lang w:eastAsia="zh-CN"/>
              </w:rPr>
            </w:pPr>
            <w:r>
              <w:rPr>
                <w:rFonts w:hint="eastAsia" w:ascii="Times New Roman" w:hAnsi="Times New Roman" w:eastAsia="方正仿宋_GBK" w:cs="方正仿宋_GBK"/>
                <w:color w:val="000000"/>
                <w:sz w:val="18"/>
                <w:szCs w:val="18"/>
                <w:lang w:eastAsia="zh-CN"/>
              </w:rPr>
              <w:t>总体说明</w:t>
            </w:r>
          </w:p>
        </w:tc>
        <w:tc>
          <w:tcPr>
            <w:tcW w:w="8958" w:type="dxa"/>
            <w:gridSpan w:val="19"/>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cs="宋体"/>
                <w:color w:val="000000"/>
                <w:sz w:val="20"/>
                <w:szCs w:val="20"/>
              </w:rPr>
            </w:pPr>
          </w:p>
        </w:tc>
      </w:tr>
    </w:tbl>
    <w:p>
      <w:pPr>
        <w:rPr>
          <w:rFonts w:ascii="Times New Roman" w:hAnsi="Times New Roman"/>
        </w:rPr>
      </w:pPr>
    </w:p>
    <w:tbl>
      <w:tblPr>
        <w:tblStyle w:val="7"/>
        <w:tblW w:w="8863" w:type="dxa"/>
        <w:tblInd w:w="93" w:type="dxa"/>
        <w:tblLayout w:type="fixed"/>
        <w:tblCellMar>
          <w:top w:w="0" w:type="dxa"/>
          <w:left w:w="108" w:type="dxa"/>
          <w:bottom w:w="0" w:type="dxa"/>
          <w:right w:w="108" w:type="dxa"/>
        </w:tblCellMar>
      </w:tblPr>
      <w:tblGrid>
        <w:gridCol w:w="600"/>
        <w:gridCol w:w="750"/>
        <w:gridCol w:w="838"/>
        <w:gridCol w:w="780"/>
        <w:gridCol w:w="692"/>
        <w:gridCol w:w="690"/>
        <w:gridCol w:w="705"/>
        <w:gridCol w:w="945"/>
        <w:gridCol w:w="780"/>
        <w:gridCol w:w="1393"/>
        <w:gridCol w:w="690"/>
      </w:tblGrid>
      <w:tr>
        <w:tblPrEx>
          <w:tblCellMar>
            <w:top w:w="0" w:type="dxa"/>
            <w:left w:w="108" w:type="dxa"/>
            <w:bottom w:w="0" w:type="dxa"/>
            <w:right w:w="108" w:type="dxa"/>
          </w:tblCellMar>
        </w:tblPrEx>
        <w:trPr>
          <w:trHeight w:val="780" w:hRule="atLeast"/>
        </w:trPr>
        <w:tc>
          <w:tcPr>
            <w:tcW w:w="8863"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小标宋_GBK" w:cs="方正小标宋_GBK"/>
                <w:color w:val="000000"/>
                <w:kern w:val="0"/>
                <w:sz w:val="36"/>
                <w:szCs w:val="36"/>
                <w:lang w:eastAsia="zh-CN" w:bidi="ar"/>
              </w:rPr>
            </w:pPr>
            <w:r>
              <w:rPr>
                <w:rFonts w:hint="eastAsia" w:ascii="Times New Roman" w:hAnsi="Times New Roman" w:eastAsia="方正小标宋_GBK" w:cs="方正小标宋_GBK"/>
                <w:color w:val="000000"/>
                <w:kern w:val="0"/>
                <w:sz w:val="36"/>
                <w:szCs w:val="36"/>
                <w:lang w:eastAsia="zh-CN" w:bidi="ar"/>
              </w:rPr>
              <w:t>重庆市万州区大数据应用发展管理局</w:t>
            </w:r>
          </w:p>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202</w:t>
            </w:r>
            <w:r>
              <w:rPr>
                <w:rFonts w:hint="eastAsia" w:ascii="Times New Roman" w:hAnsi="Times New Roman" w:eastAsia="方正小标宋_GBK" w:cs="方正小标宋_GBK"/>
                <w:color w:val="000000"/>
                <w:kern w:val="0"/>
                <w:sz w:val="36"/>
                <w:szCs w:val="36"/>
                <w:lang w:val="en-US" w:eastAsia="zh-CN" w:bidi="ar"/>
              </w:rPr>
              <w:t>3</w:t>
            </w:r>
            <w:r>
              <w:rPr>
                <w:rFonts w:hint="eastAsia" w:ascii="Times New Roman" w:hAnsi="Times New Roman" w:eastAsia="方正小标宋_GBK" w:cs="方正小标宋_GBK"/>
                <w:color w:val="000000"/>
                <w:kern w:val="0"/>
                <w:sz w:val="36"/>
                <w:szCs w:val="36"/>
                <w:lang w:bidi="ar"/>
              </w:rPr>
              <w:t>年度</w:t>
            </w:r>
            <w:r>
              <w:rPr>
                <w:rFonts w:hint="eastAsia" w:ascii="Times New Roman" w:hAnsi="Times New Roman" w:eastAsia="方正小标宋_GBK" w:cs="方正小标宋_GBK"/>
                <w:color w:val="000000"/>
                <w:kern w:val="0"/>
                <w:sz w:val="36"/>
                <w:szCs w:val="36"/>
                <w:lang w:eastAsia="zh-CN" w:bidi="ar"/>
              </w:rPr>
              <w:t>一般性</w:t>
            </w:r>
            <w:r>
              <w:rPr>
                <w:rFonts w:hint="eastAsia" w:ascii="Times New Roman" w:hAnsi="Times New Roman" w:eastAsia="方正小标宋_GBK" w:cs="方正小标宋_GBK"/>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60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序号</w:t>
            </w: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项目名称</w:t>
            </w:r>
          </w:p>
        </w:tc>
        <w:tc>
          <w:tcPr>
            <w:tcW w:w="83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指标名称</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w:t>
            </w:r>
            <w:r>
              <w:rPr>
                <w:rFonts w:hint="eastAsia" w:ascii="Times New Roman" w:hAnsi="Times New Roman" w:eastAsia="方正黑体_GBK" w:cs="方正黑体_GBK"/>
                <w:b w:val="0"/>
                <w:bCs w:val="0"/>
                <w:color w:val="000000"/>
                <w:kern w:val="0"/>
                <w:sz w:val="22"/>
                <w:lang w:bidi="ar"/>
              </w:rPr>
              <w:t>性质</w:t>
            </w:r>
          </w:p>
        </w:tc>
        <w:tc>
          <w:tcPr>
            <w:tcW w:w="69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指标值</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计量单位</w:t>
            </w:r>
          </w:p>
        </w:tc>
        <w:tc>
          <w:tcPr>
            <w:tcW w:w="70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指标权重</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全年完成值</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指标得分</w:t>
            </w:r>
          </w:p>
        </w:tc>
        <w:tc>
          <w:tcPr>
            <w:tcW w:w="139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说明</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color w:val="000000"/>
                <w:sz w:val="22"/>
              </w:rPr>
            </w:pPr>
            <w:r>
              <w:rPr>
                <w:rFonts w:hint="eastAsia" w:ascii="Times New Roman" w:hAnsi="Times New Roman" w:eastAsia="方正仿宋_GBK" w:cs="方正仿宋_GBK"/>
                <w:color w:val="000000"/>
                <w:kern w:val="0"/>
                <w:sz w:val="18"/>
                <w:szCs w:val="18"/>
                <w:lang w:val="en-US" w:eastAsia="zh-CN" w:bidi="ar"/>
              </w:rPr>
              <w:t>1</w:t>
            </w:r>
          </w:p>
        </w:tc>
        <w:tc>
          <w:tcPr>
            <w:tcW w:w="750" w:type="dxa"/>
            <w:vMerge w:val="restar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迁移上云信息系统回迁资金</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年度预算执行率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r>
      <w:tr>
        <w:trPr>
          <w:trHeight w:val="432"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信息系统回迁数量</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系统平稳运行</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360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365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用户满意度</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全区政务信息化项目管理专项工作经费</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年度预算执行率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r>
      <w:tr>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审批件数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2023年实际审批47件</w:t>
            </w: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审批周期</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14</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及时办结率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财政资金节约率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投诉率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2023年未收到投诉</w:t>
            </w: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bl>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三</w:t>
      </w:r>
      <w:r>
        <w:rPr>
          <w:rFonts w:hint="eastAsia" w:ascii="Times New Roman" w:hAnsi="Times New Roman" w:eastAsia="楷体" w:cs="楷体"/>
          <w:b w:val="0"/>
          <w:bCs w:val="0"/>
          <w:sz w:val="32"/>
          <w:szCs w:val="32"/>
          <w:shd w:val="clear" w:color="auto" w:fill="FFFFFF"/>
        </w:rPr>
        <w:t>）部门绩效评价情况</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我部门未组织开展绩效评价。</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四</w:t>
      </w:r>
      <w:r>
        <w:rPr>
          <w:rFonts w:hint="eastAsia" w:ascii="Times New Roman" w:hAnsi="Times New Roman" w:eastAsia="楷体" w:cs="楷体"/>
          <w:b w:val="0"/>
          <w:bCs w:val="0"/>
          <w:sz w:val="32"/>
          <w:szCs w:val="32"/>
          <w:shd w:val="clear" w:color="auto" w:fill="FFFFFF"/>
        </w:rPr>
        <w:t>）财政绩效评价情况</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lang w:eastAsia="zh-CN"/>
        </w:rPr>
        <w:t>区财政局未委托第三方对我部门开展绩效评价。</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黑体" w:cs="黑体"/>
          <w:b w:val="0"/>
          <w:bCs w:val="0"/>
          <w:sz w:val="32"/>
          <w:szCs w:val="32"/>
          <w:shd w:val="clear" w:color="auto" w:fill="FFFFFF"/>
        </w:rPr>
        <w:t>六、专业名词解释</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楷体" w:cs="楷体"/>
          <w:b w:val="0"/>
          <w:bCs w:val="0"/>
          <w:sz w:val="32"/>
          <w:szCs w:val="32"/>
          <w:shd w:val="clear" w:color="auto" w:fill="FFFFFF"/>
        </w:rPr>
        <w:t>（一）财政拨款收入：</w:t>
      </w:r>
      <w:r>
        <w:rPr>
          <w:rFonts w:ascii="Times New Roman" w:hAnsi="Times New Roman"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（二）事业收入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（三）经营收入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（四）其他收入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指单位取得的除“财政拨款收入”、“事</w:t>
      </w:r>
      <w:r>
        <w:rPr>
          <w:rFonts w:ascii="Times New Roman" w:hAnsi="Times New Roman" w:eastAsia="方正仿宋_GBK" w:cs="方正仿宋_GBK"/>
          <w:sz w:val="32"/>
          <w:szCs w:val="32"/>
          <w:shd w:val="clear" w:color="auto" w:fill="FFFFFF"/>
        </w:rPr>
        <w:t>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w:t>
      </w:r>
      <w:r>
        <w:rPr>
          <w:rFonts w:ascii="Times New Roman" w:hAnsi="Times New Roman" w:eastAsia="方正仿宋_GBK" w:cs="方正仿宋_GBK"/>
          <w:b w:val="0"/>
          <w:bCs w:val="0"/>
          <w:sz w:val="32"/>
          <w:szCs w:val="32"/>
          <w:shd w:val="clear" w:color="auto" w:fill="FFFFFF"/>
        </w:rPr>
        <w:t>行政单位收到的财政专户管理资金反映在本项内。</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（五）使用非财政拨款结余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（六）年初结转和结余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（七）结余分配</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（八）年末结转和结余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（九）基本支出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楷体" w:cs="楷体"/>
          <w:b w:val="0"/>
          <w:bCs w:val="0"/>
          <w:sz w:val="32"/>
          <w:szCs w:val="32"/>
          <w:shd w:val="clear" w:color="auto" w:fill="FFFFFF"/>
        </w:rPr>
        <w:t>（十）项目支出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指在基本支出之外为完成特定行政任务和</w:t>
      </w:r>
      <w:r>
        <w:rPr>
          <w:rFonts w:ascii="Times New Roman" w:hAnsi="Times New Roman" w:eastAsia="方正仿宋_GBK" w:cs="方正仿宋_GBK"/>
          <w:sz w:val="32"/>
          <w:szCs w:val="32"/>
          <w:shd w:val="clear" w:color="auto" w:fill="FFFFFF"/>
        </w:rPr>
        <w:t>事业发展目标所发生的支出。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（十一）经营支出</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（十二）“三公”经费</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楷体" w:cs="楷体"/>
          <w:b w:val="0"/>
          <w:bCs/>
          <w:sz w:val="32"/>
          <w:szCs w:val="32"/>
          <w:shd w:val="clear" w:color="auto" w:fill="FFFFFF"/>
        </w:rPr>
        <w:t>（十三）机关运行经费</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为保障行政单位（含参照公务员法</w:t>
      </w:r>
      <w:r>
        <w:rPr>
          <w:rFonts w:ascii="Times New Roman" w:hAnsi="Times New Roman" w:eastAsia="方正仿宋_GBK" w:cs="方正仿宋_GBK"/>
          <w:sz w:val="32"/>
          <w:szCs w:val="32"/>
          <w:shd w:val="clear" w:color="auto" w:fill="FFFFFF"/>
        </w:rPr>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（十四）工资福利支出（支出经济分类科目类级）</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楷体" w:cs="楷体"/>
          <w:b w:val="0"/>
          <w:bCs/>
          <w:sz w:val="32"/>
          <w:szCs w:val="32"/>
          <w:shd w:val="clear" w:color="auto" w:fill="FFFFFF"/>
        </w:rPr>
        <w:t>（十五）商品和服务支出（支出经济分类科目类级）</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反映单位购买商品和服务的支出（不包括用于购置固定资产的支出、</w:t>
      </w:r>
      <w:r>
        <w:rPr>
          <w:rFonts w:ascii="Times New Roman" w:hAnsi="Times New Roman" w:eastAsia="方正仿宋_GBK" w:cs="方正仿宋_GBK"/>
          <w:sz w:val="32"/>
          <w:szCs w:val="32"/>
          <w:shd w:val="clear" w:color="auto" w:fill="FFFFFF"/>
        </w:rPr>
        <w:t>战略性和应急储备支出）。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（十六）对个人和家庭的补助（支出经济分类科目类级）</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（十七）其他资本性支出（支出经济分类科目类级）</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sz w:val="32"/>
          <w:szCs w:val="32"/>
          <w:shd w:val="clear" w:color="auto" w:fill="FFFFFF"/>
        </w:rPr>
      </w:pPr>
      <w:r>
        <w:rPr>
          <w:rStyle w:val="10"/>
          <w:rFonts w:ascii="Times New Roman" w:hAnsi="Times New Roman" w:eastAsia="黑体" w:cs="黑体"/>
          <w:b w:val="0"/>
          <w:bCs/>
          <w:sz w:val="32"/>
          <w:szCs w:val="32"/>
          <w:shd w:val="clear" w:color="auto" w:fill="FFFFFF"/>
        </w:rPr>
        <w:t>七、决算公开联系方式及信息反馈渠道</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方正仿宋_GBK"/>
          <w:sz w:val="32"/>
          <w:szCs w:val="32"/>
          <w:shd w:val="clear" w:color="auto" w:fill="FFFF00"/>
          <w:lang w:val="en-US" w:eastAsia="zh-CN"/>
        </w:rPr>
      </w:pPr>
      <w:r>
        <w:rPr>
          <w:rFonts w:ascii="Times New Roman" w:hAnsi="Times New Roman" w:eastAsia="方正仿宋_GBK" w:cs="方正仿宋_GBK"/>
          <w:b w:val="0"/>
          <w:bCs/>
          <w:sz w:val="32"/>
          <w:szCs w:val="32"/>
          <w:shd w:val="clear" w:color="auto" w:fill="FFFFFF"/>
        </w:rPr>
        <w:t>本单位决算公开信息反馈和联系方式：</w:t>
      </w:r>
      <w:r>
        <w:rPr>
          <w:rFonts w:hint="eastAsia" w:ascii="Times New Roman" w:hAnsi="Times New Roman" w:eastAsia="方正仿宋_GBK" w:cs="方正仿宋_GBK"/>
          <w:b w:val="0"/>
          <w:bCs/>
          <w:sz w:val="32"/>
          <w:szCs w:val="32"/>
          <w:shd w:val="clear" w:color="auto" w:fill="FFFFFF"/>
          <w:lang w:eastAsia="zh-CN"/>
        </w:rPr>
        <w:t>涂人文，</w:t>
      </w:r>
      <w:r>
        <w:rPr>
          <w:rFonts w:hint="eastAsia" w:ascii="Times New Roman" w:hAnsi="Times New Roman" w:eastAsia="方正仿宋_GBK" w:cs="方正仿宋_GBK"/>
          <w:sz w:val="32"/>
          <w:szCs w:val="32"/>
          <w:shd w:val="clear" w:color="auto" w:fill="FFFFFF"/>
          <w:lang w:val="en-US" w:eastAsia="zh-CN"/>
        </w:rPr>
        <w:t>023-58966399。</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2"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重庆市万州区大数据应用发展管理局</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重庆市万州区大数据应用发展管理局</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1,239.38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1,239.38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563.31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563.31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重庆市万州区大数据应用发展管理局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1,239.38</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618.52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620.86</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563.31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563.31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563.31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563.31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1,239.38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618.52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620.86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1,036.74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563.31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136.70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131.41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131.41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900.05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336.74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563.31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563.31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563.31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336.74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336.74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533.48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204.58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563.40</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重庆市万州区大数据应用发展管理局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19.42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0.95</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19.42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7F3FC2E"/>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5FFE7E2"/>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2B1863"/>
    <w:rsid w:val="3337290D"/>
    <w:rsid w:val="33E31118"/>
    <w:rsid w:val="33EF7674"/>
    <w:rsid w:val="342D7BC6"/>
    <w:rsid w:val="352930DB"/>
    <w:rsid w:val="35573069"/>
    <w:rsid w:val="355F6038"/>
    <w:rsid w:val="358C217E"/>
    <w:rsid w:val="35937598"/>
    <w:rsid w:val="36C9128A"/>
    <w:rsid w:val="372E3953"/>
    <w:rsid w:val="37841E99"/>
    <w:rsid w:val="378EE103"/>
    <w:rsid w:val="37BF1123"/>
    <w:rsid w:val="383C3F15"/>
    <w:rsid w:val="38BE4696"/>
    <w:rsid w:val="3939115E"/>
    <w:rsid w:val="39B82A39"/>
    <w:rsid w:val="39C42CA8"/>
    <w:rsid w:val="39DC4FD6"/>
    <w:rsid w:val="39F03D7A"/>
    <w:rsid w:val="39F33306"/>
    <w:rsid w:val="3A2C1C67"/>
    <w:rsid w:val="3B1705E5"/>
    <w:rsid w:val="3B18334B"/>
    <w:rsid w:val="3B36794F"/>
    <w:rsid w:val="3BB79E71"/>
    <w:rsid w:val="3BDF6D04"/>
    <w:rsid w:val="3C566AD6"/>
    <w:rsid w:val="3C6A5B02"/>
    <w:rsid w:val="3D2757A1"/>
    <w:rsid w:val="3D3D4FC4"/>
    <w:rsid w:val="3DDF3AB1"/>
    <w:rsid w:val="3E1D0952"/>
    <w:rsid w:val="3E42660A"/>
    <w:rsid w:val="3E7555B1"/>
    <w:rsid w:val="3E787ED9"/>
    <w:rsid w:val="3EEC37F3"/>
    <w:rsid w:val="3F032E93"/>
    <w:rsid w:val="3F0527E5"/>
    <w:rsid w:val="3F694D83"/>
    <w:rsid w:val="3F885DCC"/>
    <w:rsid w:val="3FBF4414"/>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F5E56B"/>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79B769"/>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EB766B9"/>
    <w:rsid w:val="5F2D4A41"/>
    <w:rsid w:val="5F592941"/>
    <w:rsid w:val="5FB76EE4"/>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A7AECC"/>
    <w:rsid w:val="72DB435C"/>
    <w:rsid w:val="72E2613A"/>
    <w:rsid w:val="72F771F4"/>
    <w:rsid w:val="736650B0"/>
    <w:rsid w:val="73934AD2"/>
    <w:rsid w:val="750837F0"/>
    <w:rsid w:val="754758CF"/>
    <w:rsid w:val="764F62AB"/>
    <w:rsid w:val="765C45EC"/>
    <w:rsid w:val="768A7619"/>
    <w:rsid w:val="772E1EBA"/>
    <w:rsid w:val="777786B3"/>
    <w:rsid w:val="77EB79F7"/>
    <w:rsid w:val="796D60A4"/>
    <w:rsid w:val="79A031D5"/>
    <w:rsid w:val="79AE130C"/>
    <w:rsid w:val="7A1525F7"/>
    <w:rsid w:val="7B420052"/>
    <w:rsid w:val="7B861484"/>
    <w:rsid w:val="7BD06A28"/>
    <w:rsid w:val="7C3A7C0B"/>
    <w:rsid w:val="7C5248E4"/>
    <w:rsid w:val="7C566698"/>
    <w:rsid w:val="7C5866A3"/>
    <w:rsid w:val="7C8EB1FC"/>
    <w:rsid w:val="7D7406BB"/>
    <w:rsid w:val="7DE94331"/>
    <w:rsid w:val="7DFD1241"/>
    <w:rsid w:val="7DFDF5DA"/>
    <w:rsid w:val="7F446A19"/>
    <w:rsid w:val="7F6F5CDC"/>
    <w:rsid w:val="7F7452B9"/>
    <w:rsid w:val="7FBC0F14"/>
    <w:rsid w:val="7FFFD560"/>
    <w:rsid w:val="9FBFD2B8"/>
    <w:rsid w:val="A6CBABF1"/>
    <w:rsid w:val="AEAD40A0"/>
    <w:rsid w:val="B7FEF26D"/>
    <w:rsid w:val="BFDF6756"/>
    <w:rsid w:val="BFFFC317"/>
    <w:rsid w:val="C64C228F"/>
    <w:rsid w:val="D5F7D877"/>
    <w:rsid w:val="D6BD973E"/>
    <w:rsid w:val="DB0F156A"/>
    <w:rsid w:val="DEBDC47F"/>
    <w:rsid w:val="DEF5FC9A"/>
    <w:rsid w:val="DEF758A5"/>
    <w:rsid w:val="DEFF2B46"/>
    <w:rsid w:val="DFF3B0AF"/>
    <w:rsid w:val="E2B78330"/>
    <w:rsid w:val="EFEF635D"/>
    <w:rsid w:val="EFF9F316"/>
    <w:rsid w:val="EFFE8355"/>
    <w:rsid w:val="FAE93AF0"/>
    <w:rsid w:val="FDFFB7FA"/>
    <w:rsid w:val="FEE91B98"/>
    <w:rsid w:val="FFAF35CA"/>
    <w:rsid w:val="FFBD842A"/>
    <w:rsid w:val="FFDB37E1"/>
    <w:rsid w:val="FFFA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53</TotalTime>
  <ScaleCrop>false</ScaleCrop>
  <LinksUpToDate>false</LinksUpToDate>
  <CharactersWithSpaces>27389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2024-07-14T10:00:00Z</dcterms:created>
  <dc:creator>Administrator</dc:creator>
  <cp:lastModifiedBy>huaweri</cp:lastModifiedBy>
  <dcterms:modified xsi:type="dcterms:W3CDTF">2025-09-08T17:55:51Z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