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ascii="Times New Roman" w:hAnsi="Times New Roman" w:eastAsia="方正小标宋_GBK" w:cs="方正小标宋_GBK"/>
          <w:b w:val="0"/>
          <w:bCs w:val="0"/>
          <w:sz w:val="44"/>
          <w:szCs w:val="44"/>
        </w:rPr>
      </w:pPr>
      <w:r>
        <w:rPr>
          <w:rFonts w:ascii="Times New Roman" w:hAnsi="Times New Roman" w:eastAsia="方正小标宋_GBK" w:cs="方正小标宋_GBK"/>
          <w:b w:val="0"/>
          <w:bCs w:val="0"/>
          <w:sz w:val="44"/>
          <w:szCs w:val="44"/>
        </w:rPr>
        <w:t>重庆市万州区大数据应用发展管理局（本级）</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小标宋_GBK" w:cs="方正小标宋_GBK"/>
          <w:b w:val="0"/>
          <w:bCs w:val="0"/>
          <w:sz w:val="44"/>
          <w:szCs w:val="44"/>
          <w:shd w:val="clear" w:color="auto" w:fill="FFFFFF"/>
        </w:rPr>
      </w:pPr>
      <w:r>
        <w:rPr>
          <w:rFonts w:ascii="Times New Roman" w:hAnsi="Times New Roman" w:eastAsia="方正小标宋_GBK" w:cs="方正小标宋_GBK"/>
          <w:b w:val="0"/>
          <w:bCs w:val="0"/>
          <w:sz w:val="44"/>
          <w:szCs w:val="44"/>
          <w:shd w:val="clear" w:color="auto" w:fill="FFFFFF"/>
        </w:rPr>
        <w:t>2023年度决算公开说明</w:t>
      </w:r>
    </w:p>
    <w:p>
      <w:pPr>
        <w:pStyle w:val="6"/>
        <w:keepNext w:val="0"/>
        <w:keepLines w:val="0"/>
        <w:pageBreakBefore w:val="0"/>
        <w:widowControl/>
        <w:shd w:val="clear" w:color="auto" w:fill="FFFFFF"/>
        <w:kinsoku/>
        <w:wordWrap/>
        <w:overflowPunct/>
        <w:topLinePunct w:val="0"/>
        <w:autoSpaceDE/>
        <w:autoSpaceDN/>
        <w:bidi w:val="0"/>
        <w:adjustRightInd/>
        <w:spacing w:beforeAutospacing="0" w:after="0" w:afterAutospacing="0" w:line="600" w:lineRule="exact"/>
        <w:ind w:firstLine="640" w:firstLineChars="200"/>
        <w:textAlignment w:val="auto"/>
        <w:rPr>
          <w:rStyle w:val="10"/>
          <w:rFonts w:ascii="Times New Roman" w:hAnsi="Times New Roman" w:eastAsia="黑体" w:cs="黑体"/>
          <w:b w:val="0"/>
          <w:bCs w:val="0"/>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黑体" w:cs="黑体"/>
          <w:b w:val="0"/>
          <w:bCs w:val="0"/>
          <w:sz w:val="32"/>
          <w:szCs w:val="32"/>
        </w:rPr>
      </w:pPr>
      <w:r>
        <w:rPr>
          <w:rStyle w:val="10"/>
          <w:rFonts w:ascii="Times New Roman" w:hAnsi="Times New Roman" w:eastAsia="黑体" w:cs="黑体"/>
          <w:b w:val="0"/>
          <w:bCs w:val="0"/>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（一）职能职责</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shd w:val="clear" w:color="auto" w:fill="FFFFFF"/>
        </w:rPr>
        <w:t>贯彻落实全市大数据、人工智能、信息化相关政策法规和相关地方行业技术规范和标准。负责研究拟订全区大数据、人工智能、信息化发展战略，编制全区大数据、人工智能、信息化发展规划和年度计划，拟定相关政策措施和评价考核体系并组织实施。负责数据资源建设、管理，促进大数据政用、民用、商用。负责推进全区政府数据采集汇聚、登记管理、共享开放。负责推动社会数据汇聚融合、互联互通、资源共享。负责研究推进数据资源的流通交易。负责推进社会公共信息资源整合和应用。负责全区大数据应用发展管理。统筹推进大数据、人工智能等新一代信息技术和国民经济各领域融合应用。推动大数据、人工智能等产学研用结合，推动大数据、人工智能等新兴领域发展。负责推进全区信息化应用工作。负责组织编制全区信息化发展规划并组织实施。统筹推进全区智慧城市和智慧政务建设。负责组织协调跨部门、跨行业、跨领域的信息化应用，协调解决信息化建设中的重大问题。统筹协调全区信息化项目建设。负责协调全区信息基础设施建设。组织编制全区数据中心规划并组织实施。协调推动下一代网络部署和规模化商用。负责推动大数据、人工智能、信息化领域对外交流合作。组织参与各类重大交流合作活动，指导开展区域化合作、国际化经营，承办相关活动。指导大数据、人工智能、信息化人才队伍建设工作。指导相关行业协会、学会、联盟机构工作。</w:t>
      </w:r>
      <w:r>
        <w:rPr>
          <w:rFonts w:hint="eastAsia" w:ascii="Times New Roman" w:hAnsi="Times New Roman" w:eastAsia="方正仿宋_GBK" w:cs="方正仿宋_GBK"/>
          <w:b w:val="0"/>
          <w:bCs w:val="0"/>
          <w:color w:val="auto"/>
          <w:sz w:val="32"/>
          <w:szCs w:val="32"/>
          <w:shd w:val="clear" w:color="auto" w:fill="FFFFFF"/>
          <w:lang w:eastAsia="zh-CN"/>
        </w:rPr>
        <w:t>负责协调推进数据基础制度建设，统筹数据资源整合共享和开发利用，统筹数字重庆、数字社会规划和建设。负责协调推动公共服务和社会治理信息化，协调全区重要信息资源开发利用和共享。</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楷体" w:cs="楷体"/>
          <w:b w:val="0"/>
          <w:bCs w:val="0"/>
          <w:sz w:val="32"/>
          <w:szCs w:val="32"/>
        </w:rPr>
      </w:pPr>
      <w:r>
        <w:rPr>
          <w:rStyle w:val="10"/>
          <w:rFonts w:ascii="Times New Roman" w:hAnsi="Times New Roman" w:eastAsia="楷体" w:cs="楷体"/>
          <w:b w:val="0"/>
          <w:bCs w:val="0"/>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b w:val="0"/>
          <w:bCs w:val="0"/>
          <w:color w:val="auto"/>
          <w:sz w:val="32"/>
          <w:szCs w:val="32"/>
          <w:shd w:val="clear" w:color="auto" w:fill="FFFFFF"/>
        </w:rPr>
      </w:pPr>
      <w:r>
        <w:rPr>
          <w:rFonts w:hint="eastAsia" w:ascii="Times New Roman" w:hAnsi="Times New Roman" w:eastAsia="方正仿宋_GBK" w:cs="方正仿宋_GBK"/>
          <w:b w:val="0"/>
          <w:bCs w:val="0"/>
          <w:color w:val="auto"/>
          <w:sz w:val="32"/>
          <w:szCs w:val="32"/>
          <w:shd w:val="clear" w:color="auto" w:fill="FFFFFF"/>
        </w:rPr>
        <w:t>重庆市万州区大数据应用发展管理局是区政府工作部门，为正处级。内设机构：综合科、应用发展科、规划建设管理科。</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b w:val="0"/>
          <w:bCs w:val="0"/>
          <w:color w:val="auto"/>
          <w:sz w:val="32"/>
          <w:szCs w:val="32"/>
          <w:shd w:val="clear" w:color="auto" w:fill="FFFFFF"/>
        </w:rPr>
      </w:pPr>
      <w:r>
        <w:rPr>
          <w:rFonts w:hint="eastAsia" w:ascii="Times New Roman" w:hAnsi="Times New Roman" w:eastAsia="方正仿宋_GBK" w:cs="方正仿宋_GBK"/>
          <w:b w:val="0"/>
          <w:bCs w:val="0"/>
          <w:color w:val="auto"/>
          <w:sz w:val="32"/>
          <w:szCs w:val="32"/>
          <w:shd w:val="clear" w:color="auto" w:fill="FFFFFF"/>
        </w:rPr>
        <w:t>（1）综合科</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b w:val="0"/>
          <w:bCs w:val="0"/>
          <w:color w:val="auto"/>
          <w:sz w:val="32"/>
          <w:szCs w:val="32"/>
          <w:shd w:val="clear" w:color="auto" w:fill="FFFFFF"/>
        </w:rPr>
      </w:pPr>
      <w:r>
        <w:rPr>
          <w:rFonts w:hint="eastAsia" w:ascii="Times New Roman" w:hAnsi="Times New Roman" w:eastAsia="方正仿宋_GBK" w:cs="方正仿宋_GBK"/>
          <w:b w:val="0"/>
          <w:bCs w:val="0"/>
          <w:color w:val="auto"/>
          <w:sz w:val="32"/>
          <w:szCs w:val="32"/>
          <w:shd w:val="clear" w:color="auto" w:fill="FFFFFF"/>
        </w:rPr>
        <w:t>负责机关文电、机要、保密、档案、信息、信访、应急、安全、会务、外事等工作。承担综合性材料等重要文稿起草工作。负责机关日常工作协调和重大事项督办督查、目标管理工作。负责机关财务管理等相关工作。负责机关及所属单位机构编制、组织人事、社会保障、退休干部服务等工作。负责有关培训工作，指导大数据、人工智能、信息化人才队伍建设。负责组织开展大数据、人工智能、信息化领域新闻宣传。负责机关和所属单位的党群工作。负责本局乡村振兴工作。负责监督实施相关政策法律法规、政府规章和相关地方标准规范。负责重大项目谈判和合同审签，依法处理涉法事务。承担有关规范性文件的合法性审查工作。承担行政执法监督、行政复议、行政应诉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b w:val="0"/>
          <w:bCs w:val="0"/>
          <w:color w:val="auto"/>
          <w:sz w:val="32"/>
          <w:szCs w:val="32"/>
          <w:shd w:val="clear" w:color="auto" w:fill="FFFFFF"/>
        </w:rPr>
      </w:pPr>
      <w:r>
        <w:rPr>
          <w:rFonts w:hint="eastAsia" w:ascii="Times New Roman" w:hAnsi="Times New Roman" w:eastAsia="方正仿宋_GBK" w:cs="方正仿宋_GBK"/>
          <w:b w:val="0"/>
          <w:bCs w:val="0"/>
          <w:color w:val="auto"/>
          <w:sz w:val="32"/>
          <w:szCs w:val="32"/>
          <w:shd w:val="clear" w:color="auto" w:fill="FFFFFF"/>
        </w:rPr>
        <w:t>（2）应用发展科</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b w:val="0"/>
          <w:bCs w:val="0"/>
          <w:color w:val="auto"/>
          <w:sz w:val="32"/>
          <w:szCs w:val="32"/>
          <w:shd w:val="clear" w:color="auto" w:fill="FFFFFF"/>
        </w:rPr>
      </w:pPr>
      <w:r>
        <w:rPr>
          <w:rFonts w:hint="eastAsia" w:ascii="Times New Roman" w:hAnsi="Times New Roman" w:eastAsia="方正仿宋_GBK" w:cs="方正仿宋_GBK"/>
          <w:b w:val="0"/>
          <w:bCs w:val="0"/>
          <w:color w:val="auto"/>
          <w:sz w:val="32"/>
          <w:szCs w:val="32"/>
          <w:shd w:val="clear" w:color="auto" w:fill="FFFFFF"/>
        </w:rPr>
        <w:t>承担组织协调跨部门、跨行业、跨领域大数据应用工作。推动全区智能机关建设，推进各级机关办公、服务智能化。承担统筹推动渝快政、渝快办等数字重庆一体化智能化公共数据平台建设。负责协调推动重点行业、领域大数据应用工作。负责推动大数据、人工智能等新一代信息技术在国民经济各领域融合应用，促进大数据商用，推动大数据、人工智能等新兴领域的新产品、新服务、新模式、新业态的建设。推动大数据、人工智能等产学研用结合。推动数据资源分级分类管理和商用。协调推动下一代网络部署和规模化商用。负责协调推动全区信息网络行业发展工作。协调推动全区公共服务和社会治理信息化。推动相关领域对外交流合作，组织参与各类重大交流合作活动。指导相关行业协会、学会、联盟机构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b w:val="0"/>
          <w:bCs w:val="0"/>
          <w:color w:val="auto"/>
          <w:sz w:val="32"/>
          <w:szCs w:val="32"/>
          <w:shd w:val="clear" w:color="auto" w:fill="FFFFFF"/>
        </w:rPr>
      </w:pPr>
      <w:r>
        <w:rPr>
          <w:rFonts w:hint="eastAsia" w:ascii="Times New Roman" w:hAnsi="Times New Roman" w:eastAsia="方正仿宋_GBK" w:cs="方正仿宋_GBK"/>
          <w:b w:val="0"/>
          <w:bCs w:val="0"/>
          <w:color w:val="auto"/>
          <w:sz w:val="32"/>
          <w:szCs w:val="32"/>
          <w:shd w:val="clear" w:color="auto" w:fill="FFFFFF"/>
        </w:rPr>
        <w:t>（3）规划建设管理科</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b w:val="0"/>
          <w:bCs w:val="0"/>
          <w:color w:val="auto"/>
          <w:sz w:val="32"/>
          <w:szCs w:val="32"/>
          <w:shd w:val="clear" w:color="auto" w:fill="FFFFFF"/>
        </w:rPr>
      </w:pPr>
      <w:r>
        <w:rPr>
          <w:rFonts w:hint="eastAsia" w:ascii="Times New Roman" w:hAnsi="Times New Roman" w:eastAsia="方正仿宋_GBK" w:cs="方正仿宋_GBK"/>
          <w:b w:val="0"/>
          <w:bCs w:val="0"/>
          <w:color w:val="auto"/>
          <w:sz w:val="32"/>
          <w:szCs w:val="32"/>
          <w:shd w:val="clear" w:color="auto" w:fill="FFFFFF"/>
        </w:rPr>
        <w:t>承担统筹数据要素工作，统筹数据要素产权、流通、分配、治理等基础制度建设并实施。探索推进数据资源的流通交易，研究提出培育数据要素市场的政策建议，引导数据交易向数据交易场所汇聚。协调推进公共数据确权授权。贯彻执行数据基础设施制度建设、数据要素市场建设、数据标准规范、数据基础设施建设中的相关数据安全政策，建立数据安全管理制度。承担协同开展网络数据跨境流动安全评估和监管工作。负责全区数据资源体系的建设和管理工作。承担全区政务数据的统筹管理，推进政务数据的采集、存储、登记、共享等工作，推动数据资源整合共享和开发利用，协调全区重要信息资源开发利用与共享、推动信息资源跨行业跨部门互联互通。负责协调全区数字基础设施布局建设工作，组织编制有关数字基础设施布局规划并组织实施，承担全区电子政务外网、视联网、电子政务云平台、区块链、物联感知网络等布局规划，指导相关建设。协调数字重庆云平台建设使用。负责统筹推进数字重庆、数字社会规划和建设。承担协调促进全区智慧城市建设。</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黑体" w:cs="黑体"/>
          <w:b w:val="0"/>
          <w:bCs w:val="0"/>
          <w:sz w:val="32"/>
          <w:szCs w:val="32"/>
          <w:shd w:val="clear" w:color="auto" w:fill="FFFFFF"/>
        </w:rPr>
      </w:pPr>
      <w:r>
        <w:rPr>
          <w:rStyle w:val="10"/>
          <w:rFonts w:ascii="Times New Roman" w:hAnsi="Times New Roman" w:eastAsia="黑体" w:cs="黑体"/>
          <w:b w:val="0"/>
          <w:bCs w:val="0"/>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方正仿宋_GBK" w:cs="方正仿宋_GBK"/>
          <w:b w:val="0"/>
          <w:bCs w:val="0"/>
          <w:sz w:val="32"/>
          <w:szCs w:val="32"/>
          <w:shd w:val="clear" w:color="auto" w:fill="FFFFFF"/>
        </w:rPr>
        <w:t>1.总体情况。</w:t>
      </w:r>
      <w:r>
        <w:rPr>
          <w:rFonts w:ascii="Times New Roman" w:hAnsi="Times New Roman" w:eastAsia="方正仿宋_GBK" w:cs="方正仿宋_GBK"/>
          <w:b w:val="0"/>
          <w:bCs w:val="0"/>
          <w:sz w:val="32"/>
          <w:szCs w:val="32"/>
          <w:shd w:val="clear" w:color="auto" w:fill="FFFFFF"/>
        </w:rPr>
        <w:t>2023年度收入总计242.39万元，支出总计</w:t>
      </w:r>
      <w:r>
        <w:rPr>
          <w:rFonts w:ascii="Times New Roman" w:hAnsi="Times New Roman" w:eastAsia="方正仿宋_GBK" w:cs="方正仿宋_GBK"/>
          <w:b w:val="0"/>
          <w:bCs w:val="0"/>
          <w:sz w:val="32"/>
          <w:szCs w:val="32"/>
        </w:rPr>
        <w:t>242.39</w:t>
      </w:r>
      <w:r>
        <w:rPr>
          <w:rFonts w:ascii="Times New Roman" w:hAnsi="Times New Roman" w:eastAsia="方正仿宋_GBK" w:cs="方正仿宋_GBK"/>
          <w:b w:val="0"/>
          <w:bCs w:val="0"/>
          <w:sz w:val="32"/>
          <w:szCs w:val="32"/>
          <w:shd w:val="clear" w:color="auto" w:fill="FFFFFF"/>
        </w:rPr>
        <w:t>万元。收支较上年决算数减少92.73万元，下降27.</w:t>
      </w:r>
      <w:r>
        <w:rPr>
          <w:rFonts w:hint="eastAsia" w:ascii="Times New Roman" w:hAnsi="Times New Roman" w:eastAsia="方正仿宋_GBK" w:cs="方正仿宋_GBK"/>
          <w:b w:val="0"/>
          <w:bCs w:val="0"/>
          <w:sz w:val="32"/>
          <w:szCs w:val="32"/>
          <w:shd w:val="clear" w:color="auto" w:fill="FFFFFF"/>
          <w:lang w:val="en-US" w:eastAsia="zh-CN"/>
        </w:rPr>
        <w:t>7</w:t>
      </w:r>
      <w:r>
        <w:rPr>
          <w:rFonts w:ascii="Times New Roman" w:hAnsi="Times New Roman" w:eastAsia="方正仿宋_GBK" w:cs="方正仿宋_GBK"/>
          <w:b w:val="0"/>
          <w:bCs w:val="0"/>
          <w:sz w:val="32"/>
          <w:szCs w:val="32"/>
          <w:shd w:val="clear" w:color="auto" w:fill="FFFFFF"/>
        </w:rPr>
        <w:t>%，主要原因是</w:t>
      </w:r>
      <w:r>
        <w:rPr>
          <w:rFonts w:hint="eastAsia" w:ascii="Times New Roman" w:hAnsi="Times New Roman" w:eastAsia="方正仿宋_GBK" w:cs="方正仿宋_GBK"/>
          <w:b w:val="0"/>
          <w:bCs w:val="0"/>
          <w:sz w:val="32"/>
          <w:szCs w:val="32"/>
          <w:shd w:val="clear" w:color="auto" w:fill="FFFFFF"/>
        </w:rPr>
        <w:t>2023年项目资金减少，减少2021年“小切口、大民生”创新应用专项资金60万元、万州区政府政务通信电话会议系统服务费38.6万元。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shd w:val="clear" w:color="auto" w:fill="FFFFFF"/>
        </w:rPr>
      </w:pPr>
      <w:r>
        <w:rPr>
          <w:rStyle w:val="10"/>
          <w:rFonts w:ascii="Times New Roman" w:hAnsi="Times New Roman" w:eastAsia="方正仿宋_GBK" w:cs="方正仿宋_GBK"/>
          <w:b w:val="0"/>
          <w:bCs w:val="0"/>
          <w:sz w:val="32"/>
          <w:szCs w:val="32"/>
          <w:shd w:val="clear" w:color="auto" w:fill="FFFFFF"/>
        </w:rPr>
        <w:t>2.收入情况。</w:t>
      </w:r>
      <w:r>
        <w:rPr>
          <w:rFonts w:ascii="Times New Roman" w:hAnsi="Times New Roman" w:eastAsia="方正仿宋_GBK" w:cs="方正仿宋_GBK"/>
          <w:b w:val="0"/>
          <w:bCs w:val="0"/>
          <w:sz w:val="32"/>
          <w:szCs w:val="32"/>
          <w:shd w:val="clear" w:color="auto" w:fill="FFFFFF"/>
        </w:rPr>
        <w:t>2023年度收入合计242.39万元，较上年决算数减少92.73万元，下降27.</w:t>
      </w:r>
      <w:r>
        <w:rPr>
          <w:rFonts w:hint="eastAsia" w:ascii="Times New Roman" w:hAnsi="Times New Roman" w:eastAsia="方正仿宋_GBK" w:cs="方正仿宋_GBK"/>
          <w:b w:val="0"/>
          <w:bCs w:val="0"/>
          <w:sz w:val="32"/>
          <w:szCs w:val="32"/>
          <w:shd w:val="clear" w:color="auto" w:fill="FFFFFF"/>
          <w:lang w:val="en-US" w:eastAsia="zh-CN"/>
        </w:rPr>
        <w:t>7</w:t>
      </w:r>
      <w:r>
        <w:rPr>
          <w:rFonts w:ascii="Times New Roman" w:hAnsi="Times New Roman" w:eastAsia="方正仿宋_GBK" w:cs="方正仿宋_GBK"/>
          <w:b w:val="0"/>
          <w:bCs w:val="0"/>
          <w:sz w:val="32"/>
          <w:szCs w:val="32"/>
          <w:shd w:val="clear" w:color="auto" w:fill="FFFFFF"/>
        </w:rPr>
        <w:t>%，主要原因是</w:t>
      </w:r>
      <w:r>
        <w:rPr>
          <w:rFonts w:hint="eastAsia" w:ascii="Times New Roman" w:hAnsi="Times New Roman" w:eastAsia="方正仿宋_GBK" w:cs="方正仿宋_GBK"/>
          <w:b w:val="0"/>
          <w:bCs w:val="0"/>
          <w:sz w:val="32"/>
          <w:szCs w:val="32"/>
          <w:shd w:val="clear" w:color="auto" w:fill="FFFFFF"/>
        </w:rPr>
        <w:t>2023年项目资金减少，减少2021年“小切口、大民生”创新应用专项资金60万元、万州区政府政务通信电话会议系统服务费38.6万元。</w:t>
      </w:r>
      <w:r>
        <w:rPr>
          <w:rFonts w:ascii="Times New Roman" w:hAnsi="Times New Roman" w:eastAsia="方正仿宋_GBK" w:cs="方正仿宋_GBK"/>
          <w:b w:val="0"/>
          <w:bCs w:val="0"/>
          <w:sz w:val="32"/>
          <w:szCs w:val="32"/>
          <w:shd w:val="clear" w:color="auto" w:fill="FFFFFF"/>
        </w:rPr>
        <w:t>其中：财政拨款收入</w:t>
      </w:r>
      <w:r>
        <w:rPr>
          <w:rFonts w:ascii="Times New Roman" w:hAnsi="Times New Roman" w:eastAsia="方正仿宋_GBK" w:cs="方正仿宋_GBK"/>
          <w:b w:val="0"/>
          <w:bCs w:val="0"/>
          <w:sz w:val="32"/>
          <w:szCs w:val="32"/>
        </w:rPr>
        <w:t>242.39</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100.0</w:t>
      </w:r>
      <w:r>
        <w:rPr>
          <w:rFonts w:ascii="Times New Roman" w:hAnsi="Times New Roman" w:eastAsia="方正仿宋_GBK" w:cs="方正仿宋_GBK"/>
          <w:b w:val="0"/>
          <w:bCs w:val="0"/>
          <w:sz w:val="32"/>
          <w:szCs w:val="32"/>
          <w:shd w:val="clear" w:color="auto" w:fill="FFFFFF"/>
        </w:rPr>
        <w:t>%；事业收入</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万元，占0.0%；经营收入</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万元，占0.0%；其他收入</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万元，占0.0%。此外，使用非财政拨款结余和专用结余</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万元，年初结转和结余</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shd w:val="clear" w:color="auto" w:fill="FFFFFF"/>
        </w:rPr>
      </w:pPr>
      <w:r>
        <w:rPr>
          <w:rStyle w:val="10"/>
          <w:rFonts w:ascii="Times New Roman" w:hAnsi="Times New Roman" w:eastAsia="方正仿宋_GBK" w:cs="方正仿宋_GBK"/>
          <w:b w:val="0"/>
          <w:bCs w:val="0"/>
          <w:sz w:val="32"/>
          <w:szCs w:val="32"/>
          <w:shd w:val="clear" w:color="auto" w:fill="FFFFFF"/>
        </w:rPr>
        <w:t>3.支出情况。</w:t>
      </w:r>
      <w:r>
        <w:rPr>
          <w:rFonts w:ascii="Times New Roman" w:hAnsi="Times New Roman" w:eastAsia="方正仿宋_GBK" w:cs="方正仿宋_GBK"/>
          <w:b w:val="0"/>
          <w:bCs w:val="0"/>
          <w:sz w:val="32"/>
          <w:szCs w:val="32"/>
          <w:shd w:val="clear" w:color="auto" w:fill="FFFFFF"/>
        </w:rPr>
        <w:t>2023年度支出合计</w:t>
      </w:r>
      <w:r>
        <w:rPr>
          <w:rFonts w:ascii="Times New Roman" w:hAnsi="Times New Roman" w:eastAsia="方正仿宋_GBK" w:cs="方正仿宋_GBK"/>
          <w:b w:val="0"/>
          <w:bCs w:val="0"/>
          <w:sz w:val="32"/>
          <w:szCs w:val="32"/>
        </w:rPr>
        <w:t>242.39</w:t>
      </w:r>
      <w:r>
        <w:rPr>
          <w:rFonts w:ascii="Times New Roman" w:hAnsi="Times New Roman" w:eastAsia="方正仿宋_GBK" w:cs="方正仿宋_GBK"/>
          <w:b w:val="0"/>
          <w:bCs w:val="0"/>
          <w:sz w:val="32"/>
          <w:szCs w:val="32"/>
          <w:shd w:val="clear" w:color="auto" w:fill="FFFFFF"/>
        </w:rPr>
        <w:t>万元，较上年决算数减少92.73万元，下降27.</w:t>
      </w:r>
      <w:r>
        <w:rPr>
          <w:rFonts w:hint="eastAsia" w:ascii="Times New Roman" w:hAnsi="Times New Roman" w:eastAsia="方正仿宋_GBK" w:cs="方正仿宋_GBK"/>
          <w:b w:val="0"/>
          <w:bCs w:val="0"/>
          <w:sz w:val="32"/>
          <w:szCs w:val="32"/>
          <w:shd w:val="clear" w:color="auto" w:fill="FFFFFF"/>
          <w:lang w:val="en-US" w:eastAsia="zh-CN"/>
        </w:rPr>
        <w:t>7</w:t>
      </w:r>
      <w:r>
        <w:rPr>
          <w:rFonts w:ascii="Times New Roman" w:hAnsi="Times New Roman" w:eastAsia="方正仿宋_GBK" w:cs="方正仿宋_GBK"/>
          <w:b w:val="0"/>
          <w:bCs w:val="0"/>
          <w:sz w:val="32"/>
          <w:szCs w:val="32"/>
          <w:shd w:val="clear" w:color="auto" w:fill="FFFFFF"/>
        </w:rPr>
        <w:t>%，主要原因是</w:t>
      </w:r>
      <w:r>
        <w:rPr>
          <w:rFonts w:hint="eastAsia" w:ascii="Times New Roman" w:hAnsi="Times New Roman" w:eastAsia="方正仿宋_GBK" w:cs="方正仿宋_GBK"/>
          <w:b w:val="0"/>
          <w:bCs w:val="0"/>
          <w:sz w:val="32"/>
          <w:szCs w:val="32"/>
          <w:shd w:val="clear" w:color="auto" w:fill="FFFFFF"/>
        </w:rPr>
        <w:t>2023年项目资金减少，减少2021年“小切口、大民生”创新应用专项资金60万元、万州区政府政务通信电话会议系统服务费38.6万元。</w:t>
      </w:r>
      <w:r>
        <w:rPr>
          <w:rFonts w:ascii="Times New Roman" w:hAnsi="Times New Roman" w:eastAsia="方正仿宋_GBK" w:cs="方正仿宋_GBK"/>
          <w:b w:val="0"/>
          <w:bCs w:val="0"/>
          <w:sz w:val="32"/>
          <w:szCs w:val="32"/>
          <w:shd w:val="clear" w:color="auto" w:fill="FFFFFF"/>
        </w:rPr>
        <w:t>其中：基本支出</w:t>
      </w:r>
      <w:r>
        <w:rPr>
          <w:rFonts w:ascii="Times New Roman" w:hAnsi="Times New Roman" w:eastAsia="方正仿宋_GBK" w:cs="方正仿宋_GBK"/>
          <w:b w:val="0"/>
          <w:bCs w:val="0"/>
          <w:sz w:val="32"/>
          <w:szCs w:val="32"/>
        </w:rPr>
        <w:t>170.41</w:t>
      </w:r>
      <w:r>
        <w:rPr>
          <w:rFonts w:ascii="Times New Roman" w:hAnsi="Times New Roman" w:eastAsia="方正仿宋_GBK" w:cs="方正仿宋_GBK"/>
          <w:b w:val="0"/>
          <w:bCs w:val="0"/>
          <w:sz w:val="32"/>
          <w:szCs w:val="32"/>
          <w:shd w:val="clear" w:color="auto" w:fill="FFFFFF"/>
        </w:rPr>
        <w:t>万元，占70.3%；项目支出</w:t>
      </w:r>
      <w:r>
        <w:rPr>
          <w:rFonts w:ascii="Times New Roman" w:hAnsi="Times New Roman" w:eastAsia="方正仿宋_GBK" w:cs="方正仿宋_GBK"/>
          <w:b w:val="0"/>
          <w:bCs w:val="0"/>
          <w:sz w:val="32"/>
          <w:szCs w:val="32"/>
        </w:rPr>
        <w:t>71.97</w:t>
      </w:r>
      <w:r>
        <w:rPr>
          <w:rFonts w:ascii="Times New Roman" w:hAnsi="Times New Roman" w:eastAsia="方正仿宋_GBK" w:cs="方正仿宋_GBK"/>
          <w:b w:val="0"/>
          <w:bCs w:val="0"/>
          <w:sz w:val="32"/>
          <w:szCs w:val="32"/>
          <w:shd w:val="clear" w:color="auto" w:fill="FFFFFF"/>
        </w:rPr>
        <w:t>万元，占29.</w:t>
      </w:r>
      <w:r>
        <w:rPr>
          <w:rFonts w:hint="eastAsia" w:ascii="Times New Roman" w:hAnsi="Times New Roman" w:eastAsia="方正仿宋_GBK" w:cs="方正仿宋_GBK"/>
          <w:b w:val="0"/>
          <w:bCs w:val="0"/>
          <w:sz w:val="32"/>
          <w:szCs w:val="32"/>
          <w:shd w:val="clear" w:color="auto" w:fill="FFFFFF"/>
          <w:lang w:val="en-US" w:eastAsia="zh-CN"/>
        </w:rPr>
        <w:t>7</w:t>
      </w:r>
      <w:r>
        <w:rPr>
          <w:rFonts w:ascii="Times New Roman" w:hAnsi="Times New Roman" w:eastAsia="方正仿宋_GBK" w:cs="方正仿宋_GBK"/>
          <w:b w:val="0"/>
          <w:bCs w:val="0"/>
          <w:sz w:val="32"/>
          <w:szCs w:val="32"/>
          <w:shd w:val="clear" w:color="auto" w:fill="FFFFFF"/>
        </w:rPr>
        <w:t>%；经营支出</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万元，占0.0%。此外，结余分配</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lang w:eastAsia="zh-CN"/>
        </w:rPr>
      </w:pPr>
      <w:r>
        <w:rPr>
          <w:rStyle w:val="10"/>
          <w:rFonts w:ascii="Times New Roman" w:hAnsi="Times New Roman" w:eastAsia="方正仿宋_GBK" w:cs="方正仿宋_GBK"/>
          <w:b w:val="0"/>
          <w:bCs w:val="0"/>
          <w:sz w:val="32"/>
          <w:szCs w:val="32"/>
          <w:shd w:val="clear" w:color="auto" w:fill="FFFFFF"/>
        </w:rPr>
        <w:t>4.结转结余情况。</w:t>
      </w:r>
      <w:r>
        <w:rPr>
          <w:rFonts w:ascii="Times New Roman" w:hAnsi="Times New Roman" w:eastAsia="方正仿宋_GBK" w:cs="方正仿宋_GBK"/>
          <w:b w:val="0"/>
          <w:bCs w:val="0"/>
          <w:sz w:val="32"/>
          <w:szCs w:val="32"/>
          <w:shd w:val="clear" w:color="auto" w:fill="FFFFFF"/>
        </w:rPr>
        <w:t>2023年度年末结转和结余</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万元，较上年决算数无增减</w:t>
      </w:r>
      <w:r>
        <w:rPr>
          <w:rFonts w:hint="eastAsia" w:ascii="Times New Roman" w:hAnsi="Times New Roman" w:eastAsia="方正仿宋_GBK" w:cs="方正仿宋_GBK"/>
          <w:b w:val="0"/>
          <w:bCs w:val="0"/>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2023年度财政拨款收、支总计242.39万元。与2022年相比，财政拨款收、支总计各减少92.73万元，下降27.</w:t>
      </w:r>
      <w:r>
        <w:rPr>
          <w:rFonts w:hint="eastAsia" w:ascii="Times New Roman" w:hAnsi="Times New Roman" w:eastAsia="方正仿宋_GBK" w:cs="方正仿宋_GBK"/>
          <w:b w:val="0"/>
          <w:bCs w:val="0"/>
          <w:sz w:val="32"/>
          <w:szCs w:val="32"/>
          <w:shd w:val="clear" w:color="auto" w:fill="FFFFFF"/>
          <w:lang w:val="en-US" w:eastAsia="zh-CN"/>
        </w:rPr>
        <w:t>7</w:t>
      </w:r>
      <w:r>
        <w:rPr>
          <w:rFonts w:ascii="Times New Roman" w:hAnsi="Times New Roman" w:eastAsia="方正仿宋_GBK" w:cs="方正仿宋_GBK"/>
          <w:b w:val="0"/>
          <w:bCs w:val="0"/>
          <w:sz w:val="32"/>
          <w:szCs w:val="32"/>
          <w:shd w:val="clear" w:color="auto" w:fill="FFFFFF"/>
        </w:rPr>
        <w:t>%。主要原因是</w:t>
      </w:r>
      <w:r>
        <w:rPr>
          <w:rFonts w:hint="eastAsia" w:ascii="Times New Roman" w:hAnsi="Times New Roman" w:eastAsia="方正仿宋_GBK" w:cs="方正仿宋_GBK"/>
          <w:b w:val="0"/>
          <w:bCs w:val="0"/>
          <w:sz w:val="32"/>
          <w:szCs w:val="32"/>
          <w:shd w:val="clear" w:color="auto" w:fill="FFFFFF"/>
        </w:rPr>
        <w:t>2023年项目资金减少，减少2021年“小切口、大民生”创新应用专项资金60万元、万州区政府政务通信电话会议系统服务费38.6万元。</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（三）一般公共预算财政拨款收入支出决算情况说明</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方正仿宋_GBK" w:cs="方正仿宋_GBK"/>
          <w:b w:val="0"/>
          <w:bCs w:val="0"/>
          <w:sz w:val="32"/>
          <w:szCs w:val="32"/>
          <w:shd w:val="clear" w:color="auto" w:fill="FFFFFF"/>
        </w:rPr>
        <w:t>1.收入情况。</w:t>
      </w:r>
      <w:r>
        <w:rPr>
          <w:rFonts w:ascii="Times New Roman" w:hAnsi="Times New Roman" w:eastAsia="方正仿宋_GBK" w:cs="方正仿宋_GBK"/>
          <w:b w:val="0"/>
          <w:bCs w:val="0"/>
          <w:sz w:val="32"/>
          <w:szCs w:val="32"/>
          <w:shd w:val="clear" w:color="auto" w:fill="FFFFFF"/>
        </w:rPr>
        <w:t>2023年度一般公共预算财政拨款收入</w:t>
      </w:r>
      <w:r>
        <w:rPr>
          <w:rFonts w:ascii="Times New Roman" w:hAnsi="Times New Roman" w:eastAsia="方正仿宋_GBK" w:cs="方正仿宋_GBK"/>
          <w:b w:val="0"/>
          <w:bCs w:val="0"/>
          <w:sz w:val="32"/>
          <w:szCs w:val="32"/>
        </w:rPr>
        <w:t>242.39</w:t>
      </w:r>
      <w:r>
        <w:rPr>
          <w:rFonts w:ascii="Times New Roman" w:hAnsi="Times New Roman" w:eastAsia="方正仿宋_GBK" w:cs="方正仿宋_GBK"/>
          <w:b w:val="0"/>
          <w:bCs w:val="0"/>
          <w:sz w:val="32"/>
          <w:szCs w:val="32"/>
          <w:shd w:val="clear" w:color="auto" w:fill="FFFFFF"/>
        </w:rPr>
        <w:t>万元，较上年决算数减少92.73万元，下降27.</w:t>
      </w:r>
      <w:r>
        <w:rPr>
          <w:rFonts w:hint="eastAsia" w:ascii="Times New Roman" w:hAnsi="Times New Roman" w:eastAsia="方正仿宋_GBK" w:cs="方正仿宋_GBK"/>
          <w:b w:val="0"/>
          <w:bCs w:val="0"/>
          <w:sz w:val="32"/>
          <w:szCs w:val="32"/>
          <w:shd w:val="clear" w:color="auto" w:fill="FFFFFF"/>
          <w:lang w:val="en-US" w:eastAsia="zh-CN"/>
        </w:rPr>
        <w:t>7</w:t>
      </w:r>
      <w:r>
        <w:rPr>
          <w:rFonts w:ascii="Times New Roman" w:hAnsi="Times New Roman" w:eastAsia="方正仿宋_GBK" w:cs="方正仿宋_GBK"/>
          <w:b w:val="0"/>
          <w:bCs w:val="0"/>
          <w:sz w:val="32"/>
          <w:szCs w:val="32"/>
          <w:shd w:val="clear" w:color="auto" w:fill="FFFFFF"/>
        </w:rPr>
        <w:t>%。主要原因是</w:t>
      </w:r>
      <w:r>
        <w:rPr>
          <w:rFonts w:hint="eastAsia" w:ascii="Times New Roman" w:hAnsi="Times New Roman" w:eastAsia="方正仿宋_GBK" w:cs="方正仿宋_GBK"/>
          <w:b w:val="0"/>
          <w:bCs w:val="0"/>
          <w:sz w:val="32"/>
          <w:szCs w:val="32"/>
          <w:shd w:val="clear" w:color="auto" w:fill="FFFFFF"/>
        </w:rPr>
        <w:t>2023年项目资金减少，减少2021年“小切口、大民生”创新应用专项资金60万元、万州区政府政务通信电话会议系统服务费38.6万元。</w:t>
      </w:r>
      <w:r>
        <w:rPr>
          <w:rFonts w:ascii="Times New Roman" w:hAnsi="Times New Roman" w:eastAsia="方正仿宋_GBK" w:cs="方正仿宋_GBK"/>
          <w:b w:val="0"/>
          <w:bCs w:val="0"/>
          <w:sz w:val="32"/>
          <w:szCs w:val="32"/>
          <w:shd w:val="clear" w:color="auto" w:fill="FFFFFF"/>
        </w:rPr>
        <w:t>较年初预算数增加47.56万元，增长24.4%。主要原因是</w:t>
      </w:r>
      <w:r>
        <w:rPr>
          <w:rFonts w:hint="eastAsia" w:ascii="Times New Roman" w:hAnsi="Times New Roman" w:eastAsia="方正仿宋_GBK" w:cs="方正仿宋_GBK"/>
          <w:b w:val="0"/>
          <w:bCs w:val="0"/>
          <w:sz w:val="32"/>
          <w:szCs w:val="32"/>
          <w:shd w:val="clear" w:color="auto" w:fill="FFFFFF"/>
          <w:lang w:eastAsia="zh-CN"/>
        </w:rPr>
        <w:t>年中</w:t>
      </w:r>
      <w:r>
        <w:rPr>
          <w:rFonts w:hint="eastAsia" w:ascii="Times New Roman" w:hAnsi="Times New Roman" w:eastAsia="方正仿宋_GBK" w:cs="方正仿宋_GBK"/>
          <w:b w:val="0"/>
          <w:bCs w:val="0"/>
          <w:sz w:val="32"/>
          <w:szCs w:val="32"/>
          <w:shd w:val="clear" w:color="auto" w:fill="FFFFFF"/>
        </w:rPr>
        <w:t>追加</w:t>
      </w:r>
      <w:r>
        <w:rPr>
          <w:rFonts w:hint="eastAsia" w:ascii="Times New Roman" w:hAnsi="Times New Roman" w:eastAsia="方正仿宋_GBK" w:cs="方正仿宋_GBK"/>
          <w:b w:val="0"/>
          <w:bCs w:val="0"/>
          <w:sz w:val="32"/>
          <w:szCs w:val="32"/>
          <w:shd w:val="clear" w:color="auto" w:fill="FFFFFF"/>
          <w:lang w:eastAsia="zh-CN"/>
        </w:rPr>
        <w:t>项目资金，追加</w:t>
      </w:r>
      <w:r>
        <w:rPr>
          <w:rFonts w:hint="eastAsia" w:ascii="Times New Roman" w:hAnsi="Times New Roman" w:eastAsia="方正仿宋_GBK" w:cs="方正仿宋_GBK"/>
          <w:b w:val="0"/>
          <w:bCs w:val="0"/>
          <w:sz w:val="32"/>
          <w:szCs w:val="32"/>
          <w:shd w:val="clear" w:color="auto" w:fill="FFFFFF"/>
        </w:rPr>
        <w:t>技术服务前期基础服务费20万元、迁移上云信息系统回迁资金15.02万元、区大数据发展局创文工作经费</w:t>
      </w:r>
      <w:r>
        <w:rPr>
          <w:rFonts w:hint="eastAsia" w:ascii="Times New Roman" w:hAnsi="Times New Roman" w:eastAsia="方正仿宋_GBK" w:cs="方正仿宋_GBK"/>
          <w:b w:val="0"/>
          <w:bCs w:val="0"/>
          <w:sz w:val="32"/>
          <w:szCs w:val="32"/>
          <w:shd w:val="clear" w:color="auto" w:fill="FFFFFF"/>
          <w:lang w:val="en-US" w:eastAsia="zh-CN"/>
        </w:rPr>
        <w:t>7.95</w:t>
      </w:r>
      <w:r>
        <w:rPr>
          <w:rFonts w:hint="eastAsia" w:ascii="Times New Roman" w:hAnsi="Times New Roman" w:eastAsia="方正仿宋_GBK" w:cs="方正仿宋_GBK"/>
          <w:b w:val="0"/>
          <w:bCs w:val="0"/>
          <w:sz w:val="32"/>
          <w:szCs w:val="32"/>
          <w:shd w:val="clear" w:color="auto" w:fill="FFFFFF"/>
        </w:rPr>
        <w:t>万元。</w:t>
      </w:r>
      <w:r>
        <w:rPr>
          <w:rFonts w:ascii="Times New Roman" w:hAnsi="Times New Roman" w:eastAsia="方正仿宋_GBK" w:cs="方正仿宋_GBK"/>
          <w:b w:val="0"/>
          <w:bCs w:val="0"/>
          <w:sz w:val="32"/>
          <w:szCs w:val="32"/>
          <w:shd w:val="clear" w:color="auto" w:fill="FFFFFF"/>
        </w:rPr>
        <w:t>此外，年初财政拨款结转和结余</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方正仿宋_GBK" w:cs="方正仿宋_GBK"/>
          <w:b w:val="0"/>
          <w:bCs w:val="0"/>
          <w:sz w:val="32"/>
          <w:szCs w:val="32"/>
          <w:shd w:val="clear" w:color="auto" w:fill="FFFFFF"/>
        </w:rPr>
        <w:t>2.支出情况。</w:t>
      </w:r>
      <w:r>
        <w:rPr>
          <w:rFonts w:ascii="Times New Roman" w:hAnsi="Times New Roman" w:eastAsia="方正仿宋_GBK" w:cs="方正仿宋_GBK"/>
          <w:b w:val="0"/>
          <w:bCs w:val="0"/>
          <w:sz w:val="32"/>
          <w:szCs w:val="32"/>
          <w:shd w:val="clear" w:color="auto" w:fill="FFFFFF"/>
        </w:rPr>
        <w:t>2023年度一般公共预算财政拨款支出</w:t>
      </w:r>
      <w:r>
        <w:rPr>
          <w:rFonts w:ascii="Times New Roman" w:hAnsi="Times New Roman" w:eastAsia="方正仿宋_GBK" w:cs="方正仿宋_GBK"/>
          <w:b w:val="0"/>
          <w:bCs w:val="0"/>
          <w:sz w:val="32"/>
          <w:szCs w:val="32"/>
        </w:rPr>
        <w:t>242.39</w:t>
      </w:r>
      <w:r>
        <w:rPr>
          <w:rFonts w:ascii="Times New Roman" w:hAnsi="Times New Roman" w:eastAsia="方正仿宋_GBK" w:cs="方正仿宋_GBK"/>
          <w:b w:val="0"/>
          <w:bCs w:val="0"/>
          <w:sz w:val="32"/>
          <w:szCs w:val="32"/>
          <w:shd w:val="clear" w:color="auto" w:fill="FFFFFF"/>
        </w:rPr>
        <w:t>万元，较上年决算数减少92.73万元，下降27.</w:t>
      </w:r>
      <w:r>
        <w:rPr>
          <w:rFonts w:hint="eastAsia" w:ascii="Times New Roman" w:hAnsi="Times New Roman" w:eastAsia="方正仿宋_GBK" w:cs="方正仿宋_GBK"/>
          <w:b w:val="0"/>
          <w:bCs w:val="0"/>
          <w:sz w:val="32"/>
          <w:szCs w:val="32"/>
          <w:shd w:val="clear" w:color="auto" w:fill="FFFFFF"/>
          <w:lang w:val="en-US" w:eastAsia="zh-CN"/>
        </w:rPr>
        <w:t>7</w:t>
      </w:r>
      <w:r>
        <w:rPr>
          <w:rFonts w:ascii="Times New Roman" w:hAnsi="Times New Roman" w:eastAsia="方正仿宋_GBK" w:cs="方正仿宋_GBK"/>
          <w:b w:val="0"/>
          <w:bCs w:val="0"/>
          <w:sz w:val="32"/>
          <w:szCs w:val="32"/>
          <w:shd w:val="clear" w:color="auto" w:fill="FFFFFF"/>
        </w:rPr>
        <w:t>%。主要原因是</w:t>
      </w:r>
      <w:r>
        <w:rPr>
          <w:rFonts w:hint="eastAsia" w:ascii="Times New Roman" w:hAnsi="Times New Roman" w:eastAsia="方正仿宋_GBK" w:cs="方正仿宋_GBK"/>
          <w:b w:val="0"/>
          <w:bCs w:val="0"/>
          <w:sz w:val="32"/>
          <w:szCs w:val="32"/>
          <w:shd w:val="clear" w:color="auto" w:fill="FFFFFF"/>
        </w:rPr>
        <w:t>2023年项目资金减少，减少2021年“小切口、大民生”创新应用专项资金60万元、万州区政府政务通信电话会议系统服务费38.6万元。</w:t>
      </w:r>
      <w:r>
        <w:rPr>
          <w:rFonts w:ascii="Times New Roman" w:hAnsi="Times New Roman" w:eastAsia="方正仿宋_GBK" w:cs="方正仿宋_GBK"/>
          <w:b w:val="0"/>
          <w:bCs w:val="0"/>
          <w:sz w:val="32"/>
          <w:szCs w:val="32"/>
          <w:shd w:val="clear" w:color="auto" w:fill="FFFFFF"/>
        </w:rPr>
        <w:t>较年初预算数增加47.56万元，增长24.4%。主要原因是</w:t>
      </w:r>
      <w:r>
        <w:rPr>
          <w:rFonts w:hint="eastAsia" w:ascii="Times New Roman" w:hAnsi="Times New Roman" w:eastAsia="方正仿宋_GBK" w:cs="方正仿宋_GBK"/>
          <w:b w:val="0"/>
          <w:bCs w:val="0"/>
          <w:sz w:val="32"/>
          <w:szCs w:val="32"/>
          <w:shd w:val="clear" w:color="auto" w:fill="FFFFFF"/>
          <w:lang w:eastAsia="zh-CN"/>
        </w:rPr>
        <w:t>年中</w:t>
      </w:r>
      <w:r>
        <w:rPr>
          <w:rFonts w:hint="eastAsia" w:ascii="Times New Roman" w:hAnsi="Times New Roman" w:eastAsia="方正仿宋_GBK" w:cs="方正仿宋_GBK"/>
          <w:b w:val="0"/>
          <w:bCs w:val="0"/>
          <w:sz w:val="32"/>
          <w:szCs w:val="32"/>
          <w:shd w:val="clear" w:color="auto" w:fill="FFFFFF"/>
        </w:rPr>
        <w:t>追加</w:t>
      </w:r>
      <w:r>
        <w:rPr>
          <w:rFonts w:hint="eastAsia" w:ascii="Times New Roman" w:hAnsi="Times New Roman" w:eastAsia="方正仿宋_GBK" w:cs="方正仿宋_GBK"/>
          <w:b w:val="0"/>
          <w:bCs w:val="0"/>
          <w:sz w:val="32"/>
          <w:szCs w:val="32"/>
          <w:shd w:val="clear" w:color="auto" w:fill="FFFFFF"/>
          <w:lang w:eastAsia="zh-CN"/>
        </w:rPr>
        <w:t>项目资金，追加</w:t>
      </w:r>
      <w:r>
        <w:rPr>
          <w:rFonts w:hint="eastAsia" w:ascii="Times New Roman" w:hAnsi="Times New Roman" w:eastAsia="方正仿宋_GBK" w:cs="方正仿宋_GBK"/>
          <w:b w:val="0"/>
          <w:bCs w:val="0"/>
          <w:sz w:val="32"/>
          <w:szCs w:val="32"/>
          <w:shd w:val="clear" w:color="auto" w:fill="FFFFFF"/>
        </w:rPr>
        <w:t>技术服务前期基础服务费20万元、迁移上云信息系统回迁资金15.02万元、区大数据发展局创文工作经费</w:t>
      </w:r>
      <w:r>
        <w:rPr>
          <w:rFonts w:hint="eastAsia" w:ascii="Times New Roman" w:hAnsi="Times New Roman" w:eastAsia="方正仿宋_GBK" w:cs="方正仿宋_GBK"/>
          <w:b w:val="0"/>
          <w:bCs w:val="0"/>
          <w:sz w:val="32"/>
          <w:szCs w:val="32"/>
          <w:shd w:val="clear" w:color="auto" w:fill="FFFFFF"/>
          <w:lang w:val="en-US" w:eastAsia="zh-CN"/>
        </w:rPr>
        <w:t>7.95</w:t>
      </w:r>
      <w:r>
        <w:rPr>
          <w:rFonts w:hint="eastAsia" w:ascii="Times New Roman" w:hAnsi="Times New Roman" w:eastAsia="方正仿宋_GBK" w:cs="方正仿宋_GBK"/>
          <w:b w:val="0"/>
          <w:bCs w:val="0"/>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lang w:eastAsia="zh-CN"/>
        </w:rPr>
      </w:pPr>
      <w:r>
        <w:rPr>
          <w:rStyle w:val="10"/>
          <w:rFonts w:ascii="Times New Roman" w:hAnsi="Times New Roman" w:eastAsia="方正仿宋_GBK" w:cs="方正仿宋_GBK"/>
          <w:b w:val="0"/>
          <w:bCs w:val="0"/>
          <w:sz w:val="32"/>
          <w:szCs w:val="32"/>
          <w:shd w:val="clear" w:color="auto" w:fill="FFFFFF"/>
        </w:rPr>
        <w:t>3.结转结余情况。</w:t>
      </w:r>
      <w:r>
        <w:rPr>
          <w:rFonts w:ascii="Times New Roman" w:hAnsi="Times New Roman" w:eastAsia="方正仿宋_GBK" w:cs="方正仿宋_GBK"/>
          <w:b w:val="0"/>
          <w:bCs w:val="0"/>
          <w:sz w:val="32"/>
          <w:szCs w:val="32"/>
          <w:shd w:val="clear" w:color="auto" w:fill="FFFFFF"/>
        </w:rPr>
        <w:t>2023年度年末一般公共预算财政拨款结转和结余</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万元，较上年决算数无增减</w:t>
      </w:r>
      <w:r>
        <w:rPr>
          <w:rFonts w:hint="eastAsia" w:ascii="Times New Roman" w:hAnsi="Times New Roman" w:eastAsia="方正仿宋_GBK" w:cs="方正仿宋_GBK"/>
          <w:b w:val="0"/>
          <w:bCs w:val="0"/>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color w:val="FF0000"/>
          <w:sz w:val="32"/>
          <w:szCs w:val="32"/>
          <w:highlight w:val="cyan"/>
          <w:shd w:val="clear" w:color="auto" w:fill="FFFFFF"/>
        </w:rPr>
      </w:pPr>
      <w:r>
        <w:rPr>
          <w:rStyle w:val="10"/>
          <w:rFonts w:ascii="Times New Roman" w:hAnsi="Times New Roman" w:eastAsia="方正仿宋_GBK" w:cs="方正仿宋_GBK"/>
          <w:b w:val="0"/>
          <w:bCs w:val="0"/>
          <w:sz w:val="32"/>
          <w:szCs w:val="32"/>
          <w:shd w:val="clear" w:color="auto" w:fill="FFFFFF"/>
        </w:rPr>
        <w:t>4.比较情况。</w:t>
      </w:r>
      <w:r>
        <w:rPr>
          <w:rFonts w:ascii="Times New Roman" w:hAnsi="Times New Roman" w:eastAsia="方正仿宋_GBK" w:cs="方正仿宋_GBK"/>
          <w:b w:val="0"/>
          <w:bCs w:val="0"/>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（1）一般公共服务支出</w:t>
      </w:r>
      <w:r>
        <w:rPr>
          <w:rFonts w:ascii="Times New Roman" w:hAnsi="Times New Roman" w:eastAsia="方正仿宋_GBK" w:cs="方正仿宋_GBK"/>
          <w:b w:val="0"/>
          <w:bCs w:val="0"/>
          <w:sz w:val="32"/>
          <w:szCs w:val="32"/>
        </w:rPr>
        <w:t>175.44</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72.</w:t>
      </w:r>
      <w:r>
        <w:rPr>
          <w:rFonts w:hint="eastAsia" w:ascii="Times New Roman" w:hAnsi="Times New Roman" w:eastAsia="方正仿宋_GBK" w:cs="方正仿宋_GBK"/>
          <w:b w:val="0"/>
          <w:bCs w:val="0"/>
          <w:sz w:val="32"/>
          <w:szCs w:val="32"/>
          <w:lang w:val="en-US" w:eastAsia="zh-CN"/>
        </w:rPr>
        <w:t>4</w:t>
      </w:r>
      <w:r>
        <w:rPr>
          <w:rFonts w:ascii="Times New Roman" w:hAnsi="Times New Roman" w:eastAsia="方正仿宋_GBK" w:cs="方正仿宋_GBK"/>
          <w:b w:val="0"/>
          <w:bCs w:val="0"/>
          <w:sz w:val="32"/>
          <w:szCs w:val="32"/>
          <w:shd w:val="clear" w:color="auto" w:fill="FFFFFF"/>
        </w:rPr>
        <w:t>%，较年初预算数增加22.25万元，增长14.5%，主要原因是</w:t>
      </w:r>
      <w:r>
        <w:rPr>
          <w:rFonts w:hint="eastAsia" w:ascii="Times New Roman" w:hAnsi="Times New Roman" w:eastAsia="方正仿宋_GBK" w:cs="方正仿宋_GBK"/>
          <w:b w:val="0"/>
          <w:bCs w:val="0"/>
          <w:sz w:val="32"/>
          <w:szCs w:val="32"/>
          <w:shd w:val="clear" w:color="auto" w:fill="FFFFFF"/>
        </w:rPr>
        <w:t>2023年区内调动新增人员1名，主要用于保障在职人员工资福利支出以及追加迁移上云信息系统回迁资金。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2</w:t>
      </w:r>
      <w:r>
        <w:rPr>
          <w:rFonts w:ascii="Times New Roman" w:hAnsi="Times New Roman" w:eastAsia="方正仿宋_GBK" w:cs="方正仿宋_GBK"/>
          <w:b w:val="0"/>
          <w:bCs w:val="0"/>
          <w:sz w:val="32"/>
          <w:szCs w:val="32"/>
          <w:shd w:val="clear" w:color="auto" w:fill="FFFFFF"/>
        </w:rPr>
        <w:t>）文化旅游体育与传媒支出</w:t>
      </w:r>
      <w:r>
        <w:rPr>
          <w:rFonts w:ascii="Times New Roman" w:hAnsi="Times New Roman" w:eastAsia="方正仿宋_GBK" w:cs="方正仿宋_GBK"/>
          <w:b w:val="0"/>
          <w:bCs w:val="0"/>
          <w:sz w:val="32"/>
          <w:szCs w:val="32"/>
        </w:rPr>
        <w:t>7.95</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3.</w:t>
      </w:r>
      <w:r>
        <w:rPr>
          <w:rFonts w:hint="eastAsia" w:ascii="Times New Roman" w:hAnsi="Times New Roman" w:eastAsia="方正仿宋_GBK" w:cs="方正仿宋_GBK"/>
          <w:b w:val="0"/>
          <w:bCs w:val="0"/>
          <w:sz w:val="32"/>
          <w:szCs w:val="32"/>
          <w:lang w:val="en-US" w:eastAsia="zh-CN"/>
        </w:rPr>
        <w:t>3</w:t>
      </w:r>
      <w:r>
        <w:rPr>
          <w:rFonts w:ascii="Times New Roman" w:hAnsi="Times New Roman" w:eastAsia="方正仿宋_GBK" w:cs="方正仿宋_GBK"/>
          <w:b w:val="0"/>
          <w:bCs w:val="0"/>
          <w:sz w:val="32"/>
          <w:szCs w:val="32"/>
          <w:shd w:val="clear" w:color="auto" w:fill="FFFFFF"/>
        </w:rPr>
        <w:t>%，较年初预算数增加7.95万元，增长100.0%，主要原因是</w:t>
      </w:r>
      <w:r>
        <w:rPr>
          <w:rFonts w:hint="eastAsia" w:ascii="Times New Roman" w:hAnsi="Times New Roman" w:eastAsia="方正仿宋_GBK" w:cs="方正仿宋_GBK"/>
          <w:b w:val="0"/>
          <w:bCs w:val="0"/>
          <w:sz w:val="32"/>
          <w:szCs w:val="32"/>
          <w:shd w:val="clear" w:color="auto" w:fill="FFFFFF"/>
        </w:rPr>
        <w:t>追加区大数据发展局创文工作经费。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3</w:t>
      </w:r>
      <w:r>
        <w:rPr>
          <w:rFonts w:ascii="Times New Roman" w:hAnsi="Times New Roman" w:eastAsia="方正仿宋_GBK" w:cs="方正仿宋_GBK"/>
          <w:b w:val="0"/>
          <w:bCs w:val="0"/>
          <w:sz w:val="32"/>
          <w:szCs w:val="32"/>
          <w:shd w:val="clear" w:color="auto" w:fill="FFFFFF"/>
        </w:rPr>
        <w:t>）社会保障与就业支出</w:t>
      </w:r>
      <w:r>
        <w:rPr>
          <w:rFonts w:ascii="Times New Roman" w:hAnsi="Times New Roman" w:eastAsia="方正仿宋_GBK" w:cs="方正仿宋_GBK"/>
          <w:b w:val="0"/>
          <w:bCs w:val="0"/>
          <w:sz w:val="32"/>
          <w:szCs w:val="32"/>
        </w:rPr>
        <w:t>22.26</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9.</w:t>
      </w:r>
      <w:r>
        <w:rPr>
          <w:rFonts w:hint="eastAsia" w:ascii="Times New Roman" w:hAnsi="Times New Roman" w:eastAsia="方正仿宋_GBK" w:cs="方正仿宋_GBK"/>
          <w:b w:val="0"/>
          <w:bCs w:val="0"/>
          <w:sz w:val="32"/>
          <w:szCs w:val="32"/>
          <w:lang w:val="en-US" w:eastAsia="zh-CN"/>
        </w:rPr>
        <w:t>2</w:t>
      </w:r>
      <w:r>
        <w:rPr>
          <w:rFonts w:ascii="Times New Roman" w:hAnsi="Times New Roman" w:eastAsia="方正仿宋_GBK" w:cs="方正仿宋_GBK"/>
          <w:b w:val="0"/>
          <w:bCs w:val="0"/>
          <w:sz w:val="32"/>
          <w:szCs w:val="32"/>
          <w:shd w:val="clear" w:color="auto" w:fill="FFFFFF"/>
        </w:rPr>
        <w:t>%，较年初预算数增加0.06万元，增长0.</w:t>
      </w:r>
      <w:r>
        <w:rPr>
          <w:rFonts w:hint="eastAsia" w:ascii="Times New Roman" w:hAnsi="Times New Roman" w:eastAsia="方正仿宋_GBK" w:cs="方正仿宋_GBK"/>
          <w:b w:val="0"/>
          <w:bCs w:val="0"/>
          <w:sz w:val="32"/>
          <w:szCs w:val="32"/>
          <w:shd w:val="clear" w:color="auto" w:fill="FFFFFF"/>
          <w:lang w:val="en-US" w:eastAsia="zh-CN"/>
        </w:rPr>
        <w:t>3</w:t>
      </w:r>
      <w:r>
        <w:rPr>
          <w:rFonts w:ascii="Times New Roman" w:hAnsi="Times New Roman" w:eastAsia="方正仿宋_GBK" w:cs="方正仿宋_GBK"/>
          <w:b w:val="0"/>
          <w:bCs w:val="0"/>
          <w:sz w:val="32"/>
          <w:szCs w:val="32"/>
          <w:shd w:val="clear" w:color="auto" w:fill="FFFFFF"/>
        </w:rPr>
        <w:t>%，主要原因是</w:t>
      </w:r>
      <w:r>
        <w:rPr>
          <w:rFonts w:hint="eastAsia" w:ascii="Times New Roman" w:hAnsi="Times New Roman" w:eastAsia="方正仿宋_GBK" w:cs="方正仿宋_GBK"/>
          <w:b w:val="0"/>
          <w:bCs w:val="0"/>
          <w:sz w:val="32"/>
          <w:szCs w:val="32"/>
          <w:shd w:val="clear" w:color="auto" w:fill="FFFFFF"/>
        </w:rPr>
        <w:t>2023年区内调动新增人员1名，主要用于保障社会保险缴费。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lang w:eastAsia="zh-CN"/>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4</w:t>
      </w:r>
      <w:r>
        <w:rPr>
          <w:rFonts w:ascii="Times New Roman" w:hAnsi="Times New Roman" w:eastAsia="方正仿宋_GBK" w:cs="方正仿宋_GBK"/>
          <w:b w:val="0"/>
          <w:bCs w:val="0"/>
          <w:sz w:val="32"/>
          <w:szCs w:val="32"/>
          <w:shd w:val="clear" w:color="auto" w:fill="FFFFFF"/>
        </w:rPr>
        <w:t>）卫生健康支出</w:t>
      </w:r>
      <w:r>
        <w:rPr>
          <w:rFonts w:ascii="Times New Roman" w:hAnsi="Times New Roman" w:eastAsia="方正仿宋_GBK" w:cs="方正仿宋_GBK"/>
          <w:b w:val="0"/>
          <w:bCs w:val="0"/>
          <w:sz w:val="32"/>
          <w:szCs w:val="32"/>
        </w:rPr>
        <w:t>7.17</w:t>
      </w:r>
      <w:r>
        <w:rPr>
          <w:rFonts w:ascii="Times New Roman" w:hAnsi="Times New Roman" w:eastAsia="方正仿宋_GBK" w:cs="方正仿宋_GBK"/>
          <w:b w:val="0"/>
          <w:bCs w:val="0"/>
          <w:sz w:val="32"/>
          <w:szCs w:val="32"/>
          <w:shd w:val="clear" w:color="auto" w:fill="FFFFFF"/>
        </w:rPr>
        <w:t>万元，占</w:t>
      </w:r>
      <w:r>
        <w:rPr>
          <w:rFonts w:hint="eastAsia" w:ascii="Times New Roman" w:hAnsi="Times New Roman" w:eastAsia="方正仿宋_GBK" w:cs="方正仿宋_GBK"/>
          <w:b w:val="0"/>
          <w:bCs w:val="0"/>
          <w:sz w:val="32"/>
          <w:szCs w:val="32"/>
          <w:lang w:val="en-US" w:eastAsia="zh-CN"/>
        </w:rPr>
        <w:t>3.0</w:t>
      </w:r>
      <w:r>
        <w:rPr>
          <w:rFonts w:ascii="Times New Roman" w:hAnsi="Times New Roman" w:eastAsia="方正仿宋_GBK" w:cs="方正仿宋_GBK"/>
          <w:b w:val="0"/>
          <w:bCs w:val="0"/>
          <w:sz w:val="32"/>
          <w:szCs w:val="32"/>
          <w:shd w:val="clear" w:color="auto" w:fill="FFFFFF"/>
        </w:rPr>
        <w:t>%，较年初预算数无增减</w:t>
      </w:r>
      <w:r>
        <w:rPr>
          <w:rFonts w:hint="eastAsia" w:ascii="Times New Roman" w:hAnsi="Times New Roman" w:eastAsia="方正仿宋_GBK" w:cs="方正仿宋_GBK"/>
          <w:b w:val="0"/>
          <w:bCs w:val="0"/>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5</w:t>
      </w:r>
      <w:r>
        <w:rPr>
          <w:rFonts w:ascii="Times New Roman" w:hAnsi="Times New Roman" w:eastAsia="方正仿宋_GBK" w:cs="方正仿宋_GBK"/>
          <w:b w:val="0"/>
          <w:bCs w:val="0"/>
          <w:sz w:val="32"/>
          <w:szCs w:val="32"/>
          <w:shd w:val="clear" w:color="auto" w:fill="FFFFFF"/>
        </w:rPr>
        <w:t>）资源勘探信息等支出</w:t>
      </w:r>
      <w:r>
        <w:rPr>
          <w:rFonts w:ascii="Times New Roman" w:hAnsi="Times New Roman" w:eastAsia="方正仿宋_GBK" w:cs="方正仿宋_GBK"/>
          <w:b w:val="0"/>
          <w:bCs w:val="0"/>
          <w:sz w:val="32"/>
          <w:szCs w:val="32"/>
        </w:rPr>
        <w:t>20</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8.2</w:t>
      </w:r>
      <w:r>
        <w:rPr>
          <w:rFonts w:ascii="Times New Roman" w:hAnsi="Times New Roman" w:eastAsia="方正仿宋_GBK" w:cs="方正仿宋_GBK"/>
          <w:b w:val="0"/>
          <w:bCs w:val="0"/>
          <w:sz w:val="32"/>
          <w:szCs w:val="32"/>
          <w:shd w:val="clear" w:color="auto" w:fill="FFFFFF"/>
        </w:rPr>
        <w:t>%，较年初预算数增加20万元，增长100.0%，主要原因是</w:t>
      </w:r>
      <w:r>
        <w:rPr>
          <w:rFonts w:hint="eastAsia" w:ascii="Times New Roman" w:hAnsi="Times New Roman" w:eastAsia="方正仿宋_GBK" w:cs="方正仿宋_GBK"/>
          <w:b w:val="0"/>
          <w:bCs w:val="0"/>
          <w:sz w:val="32"/>
          <w:szCs w:val="32"/>
          <w:shd w:val="clear" w:color="auto" w:fill="FFFFFF"/>
        </w:rPr>
        <w:t>追加技术服务前期基础服务费。</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bCs w:val="0"/>
          <w:color w:val="FF0000"/>
          <w:sz w:val="32"/>
          <w:szCs w:val="32"/>
          <w:shd w:val="clear" w:color="auto" w:fill="FFFFFF"/>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6</w:t>
      </w:r>
      <w:r>
        <w:rPr>
          <w:rFonts w:ascii="Times New Roman" w:hAnsi="Times New Roman" w:eastAsia="方正仿宋_GBK" w:cs="方正仿宋_GBK"/>
          <w:b w:val="0"/>
          <w:bCs w:val="0"/>
          <w:sz w:val="32"/>
          <w:szCs w:val="32"/>
          <w:shd w:val="clear" w:color="auto" w:fill="FFFFFF"/>
        </w:rPr>
        <w:t>）</w:t>
      </w:r>
      <w:r>
        <w:rPr>
          <w:rFonts w:ascii="Times New Roman" w:hAnsi="Times New Roman" w:eastAsia="方正仿宋_GBK" w:cs="方正仿宋_GBK"/>
          <w:b w:val="0"/>
          <w:bCs w:val="0"/>
          <w:sz w:val="32"/>
          <w:szCs w:val="32"/>
        </w:rPr>
        <w:t>住房保障支出9.56</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3.9</w:t>
      </w:r>
      <w:r>
        <w:rPr>
          <w:rFonts w:ascii="Times New Roman" w:hAnsi="Times New Roman" w:eastAsia="方正仿宋_GBK" w:cs="方正仿宋_GBK"/>
          <w:b w:val="0"/>
          <w:bCs w:val="0"/>
          <w:sz w:val="32"/>
          <w:szCs w:val="32"/>
          <w:shd w:val="clear" w:color="auto" w:fill="FFFFFF"/>
        </w:rPr>
        <w:t>%，较年初预算数减少2.71万元，下降22.</w:t>
      </w:r>
      <w:r>
        <w:rPr>
          <w:rFonts w:hint="eastAsia" w:ascii="Times New Roman" w:hAnsi="Times New Roman" w:eastAsia="方正仿宋_GBK" w:cs="方正仿宋_GBK"/>
          <w:b w:val="0"/>
          <w:bCs w:val="0"/>
          <w:sz w:val="32"/>
          <w:szCs w:val="32"/>
          <w:shd w:val="clear" w:color="auto" w:fill="FFFFFF"/>
          <w:lang w:val="en-US" w:eastAsia="zh-CN"/>
        </w:rPr>
        <w:t>1</w:t>
      </w:r>
      <w:r>
        <w:rPr>
          <w:rFonts w:ascii="Times New Roman" w:hAnsi="Times New Roman" w:eastAsia="方正仿宋_GBK" w:cs="方正仿宋_GBK"/>
          <w:b w:val="0"/>
          <w:bCs w:val="0"/>
          <w:sz w:val="32"/>
          <w:szCs w:val="32"/>
          <w:shd w:val="clear" w:color="auto" w:fill="FFFFFF"/>
        </w:rPr>
        <w:t>%，主要原因是</w:t>
      </w:r>
      <w:r>
        <w:rPr>
          <w:rFonts w:hint="eastAsia" w:ascii="Times New Roman" w:hAnsi="Times New Roman" w:eastAsia="方正仿宋_GBK" w:cs="方正仿宋_GBK"/>
          <w:b w:val="0"/>
          <w:bCs w:val="0"/>
          <w:sz w:val="32"/>
          <w:szCs w:val="32"/>
          <w:shd w:val="clear" w:color="auto" w:fill="FFFFFF"/>
        </w:rPr>
        <w:t>2023年人员增减调动导致减少。</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2023年度一般公共财政拨款基本支出</w:t>
      </w:r>
      <w:r>
        <w:rPr>
          <w:rFonts w:ascii="Times New Roman" w:hAnsi="Times New Roman" w:eastAsia="方正仿宋_GBK" w:cs="方正仿宋_GBK"/>
          <w:b w:val="0"/>
          <w:bCs w:val="0"/>
          <w:sz w:val="32"/>
          <w:szCs w:val="32"/>
        </w:rPr>
        <w:t>170.41</w:t>
      </w:r>
      <w:r>
        <w:rPr>
          <w:rFonts w:ascii="Times New Roman" w:hAnsi="Times New Roman" w:eastAsia="方正仿宋_GBK" w:cs="方正仿宋_GBK"/>
          <w:b w:val="0"/>
          <w:bCs w:val="0"/>
          <w:sz w:val="32"/>
          <w:szCs w:val="32"/>
          <w:shd w:val="clear" w:color="auto" w:fill="FFFFFF"/>
        </w:rPr>
        <w:t>万元。其中：人员经费</w:t>
      </w:r>
      <w:r>
        <w:rPr>
          <w:rFonts w:ascii="Times New Roman" w:hAnsi="Times New Roman" w:eastAsia="方正仿宋_GBK" w:cs="方正仿宋_GBK"/>
          <w:b w:val="0"/>
          <w:bCs w:val="0"/>
          <w:sz w:val="32"/>
          <w:szCs w:val="32"/>
        </w:rPr>
        <w:t>150.99</w:t>
      </w:r>
      <w:r>
        <w:rPr>
          <w:rFonts w:ascii="Times New Roman" w:hAnsi="Times New Roman" w:eastAsia="方正仿宋_GBK" w:cs="方正仿宋_GBK"/>
          <w:b w:val="0"/>
          <w:bCs w:val="0"/>
          <w:sz w:val="32"/>
          <w:szCs w:val="32"/>
          <w:shd w:val="clear" w:color="auto" w:fill="FFFFFF"/>
        </w:rPr>
        <w:t>万元，较上年决算数减少6.81万元，下降4.3%，主要原因是</w:t>
      </w:r>
      <w:r>
        <w:rPr>
          <w:rFonts w:hint="eastAsia" w:ascii="Times New Roman" w:hAnsi="Times New Roman" w:eastAsia="方正仿宋_GBK" w:cs="方正仿宋_GBK"/>
          <w:b w:val="0"/>
          <w:bCs w:val="0"/>
          <w:sz w:val="32"/>
          <w:szCs w:val="32"/>
          <w:shd w:val="clear" w:color="auto" w:fill="FFFFFF"/>
        </w:rPr>
        <w:t>2023年度人员增减变动导致经费减少。</w:t>
      </w:r>
      <w:r>
        <w:rPr>
          <w:rFonts w:ascii="Times New Roman" w:hAnsi="Times New Roman" w:eastAsia="方正仿宋_GBK" w:cs="方正仿宋_GBK"/>
          <w:b w:val="0"/>
          <w:bCs w:val="0"/>
          <w:sz w:val="32"/>
          <w:szCs w:val="32"/>
          <w:shd w:val="clear" w:color="auto" w:fill="FFFFFF"/>
        </w:rPr>
        <w:t>人员经费用途主要包括</w:t>
      </w:r>
      <w:r>
        <w:rPr>
          <w:rFonts w:hint="eastAsia" w:ascii="Times New Roman" w:hAnsi="Times New Roman" w:eastAsia="方正仿宋_GBK" w:cs="方正仿宋_GBK"/>
          <w:b w:val="0"/>
          <w:bCs w:val="0"/>
          <w:sz w:val="32"/>
          <w:szCs w:val="32"/>
          <w:shd w:val="clear" w:color="auto" w:fill="FFFFFF"/>
        </w:rPr>
        <w:t>基本工资、津贴补贴、奖金、社会保障缴费、住房公积金、医疗费、其他工资福利支出及对个人和家庭的生活补助。</w:t>
      </w:r>
      <w:r>
        <w:rPr>
          <w:rFonts w:ascii="Times New Roman" w:hAnsi="Times New Roman" w:eastAsia="方正仿宋_GBK" w:cs="方正仿宋_GBK"/>
          <w:b w:val="0"/>
          <w:bCs w:val="0"/>
          <w:sz w:val="32"/>
          <w:szCs w:val="32"/>
          <w:shd w:val="clear" w:color="auto" w:fill="FFFFFF"/>
        </w:rPr>
        <w:t>公用经费</w:t>
      </w:r>
      <w:r>
        <w:rPr>
          <w:rFonts w:ascii="Times New Roman" w:hAnsi="Times New Roman" w:eastAsia="方正仿宋_GBK" w:cs="方正仿宋_GBK"/>
          <w:b w:val="0"/>
          <w:bCs w:val="0"/>
          <w:sz w:val="32"/>
          <w:szCs w:val="32"/>
        </w:rPr>
        <w:t>19.42</w:t>
      </w:r>
      <w:r>
        <w:rPr>
          <w:rFonts w:ascii="Times New Roman" w:hAnsi="Times New Roman" w:eastAsia="方正仿宋_GBK" w:cs="方正仿宋_GBK"/>
          <w:b w:val="0"/>
          <w:bCs w:val="0"/>
          <w:sz w:val="32"/>
          <w:szCs w:val="32"/>
          <w:shd w:val="clear" w:color="auto" w:fill="FFFFFF"/>
        </w:rPr>
        <w:t>万元，较上年决算数减少12.72万元，下降39.</w:t>
      </w:r>
      <w:r>
        <w:rPr>
          <w:rFonts w:hint="eastAsia" w:ascii="Times New Roman" w:hAnsi="Times New Roman" w:eastAsia="方正仿宋_GBK" w:cs="方正仿宋_GBK"/>
          <w:b w:val="0"/>
          <w:bCs w:val="0"/>
          <w:sz w:val="32"/>
          <w:szCs w:val="32"/>
          <w:shd w:val="clear" w:color="auto" w:fill="FFFFFF"/>
          <w:lang w:val="en-US" w:eastAsia="zh-CN"/>
        </w:rPr>
        <w:t>6</w:t>
      </w:r>
      <w:r>
        <w:rPr>
          <w:rFonts w:ascii="Times New Roman" w:hAnsi="Times New Roman" w:eastAsia="方正仿宋_GBK" w:cs="方正仿宋_GBK"/>
          <w:b w:val="0"/>
          <w:bCs w:val="0"/>
          <w:sz w:val="32"/>
          <w:szCs w:val="32"/>
          <w:shd w:val="clear" w:color="auto" w:fill="FFFFFF"/>
        </w:rPr>
        <w:t>%，主要原因是</w:t>
      </w:r>
      <w:r>
        <w:rPr>
          <w:rFonts w:hint="eastAsia" w:ascii="Times New Roman" w:hAnsi="Times New Roman" w:eastAsia="方正仿宋_GBK" w:cs="方正仿宋_GBK"/>
          <w:b w:val="0"/>
          <w:bCs w:val="0"/>
          <w:sz w:val="32"/>
          <w:szCs w:val="32"/>
          <w:shd w:val="clear" w:color="auto" w:fill="FFFFFF"/>
        </w:rPr>
        <w:t>本单位2023年度公用经费减少。</w:t>
      </w:r>
      <w:r>
        <w:rPr>
          <w:rFonts w:ascii="Times New Roman" w:hAnsi="Times New Roman" w:eastAsia="方正仿宋_GBK" w:cs="方正仿宋_GBK"/>
          <w:b w:val="0"/>
          <w:bCs w:val="0"/>
          <w:sz w:val="32"/>
          <w:szCs w:val="32"/>
          <w:shd w:val="clear" w:color="auto" w:fill="FFFFFF"/>
        </w:rPr>
        <w:t>公用经费用途主要包括</w:t>
      </w:r>
      <w:r>
        <w:rPr>
          <w:rFonts w:hint="eastAsia" w:ascii="Times New Roman" w:hAnsi="Times New Roman" w:eastAsia="方正仿宋_GBK" w:cs="方正仿宋_GBK"/>
          <w:b w:val="0"/>
          <w:bCs w:val="0"/>
          <w:sz w:val="32"/>
          <w:szCs w:val="32"/>
          <w:shd w:val="clear" w:color="auto" w:fill="FFFFFF"/>
        </w:rPr>
        <w:t>办公费、邮电费、咨询费、差旅费等支出。</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shd w:val="clear" w:color="auto" w:fill="FFFFFF"/>
        </w:rPr>
        <w:t>2023年度政府性基金预算财政拨款年初结转结余0万元，年末结转结余0万元。本年收入0万元，较上年决算数无增减，本年支出0万元，较上年决算数无增减，主要原因是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shd w:val="clear" w:color="auto" w:fill="FFFFFF"/>
        </w:rPr>
        <w:t>2023年度国有资本经营预算财政拨</w:t>
      </w:r>
      <w:r>
        <w:rPr>
          <w:rFonts w:hint="eastAsia" w:ascii="Times New Roman" w:hAnsi="Times New Roman" w:eastAsia="方正仿宋_GBK" w:cs="方正仿宋_GBK"/>
          <w:b w:val="0"/>
          <w:bCs w:val="0"/>
          <w:sz w:val="32"/>
          <w:szCs w:val="32"/>
          <w:shd w:val="clear" w:color="auto" w:fill="FFFFFF"/>
          <w:lang w:eastAsia="zh-CN"/>
        </w:rPr>
        <w:t>款</w:t>
      </w:r>
      <w:r>
        <w:rPr>
          <w:rFonts w:hint="eastAsia" w:ascii="Times New Roman" w:hAnsi="Times New Roman" w:eastAsia="方正仿宋_GBK" w:cs="方正仿宋_GBK"/>
          <w:b w:val="0"/>
          <w:bCs w:val="0"/>
          <w:sz w:val="32"/>
          <w:szCs w:val="32"/>
          <w:shd w:val="clear" w:color="auto" w:fill="FFFFFF"/>
        </w:rPr>
        <w:t>本年支出0万元，基本支出0万元，项目支出0万元，本单位2023年度无国有资本经营预算财政拨款支出。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黑体" w:cs="黑体"/>
          <w:b w:val="0"/>
          <w:bCs w:val="0"/>
          <w:sz w:val="32"/>
          <w:szCs w:val="32"/>
          <w:shd w:val="clear" w:color="auto" w:fill="FFFFFF"/>
        </w:rPr>
      </w:pPr>
      <w:r>
        <w:rPr>
          <w:rStyle w:val="10"/>
          <w:rFonts w:ascii="Times New Roman" w:hAnsi="Times New Roman" w:eastAsia="黑体" w:cs="黑体"/>
          <w:b w:val="0"/>
          <w:bCs w:val="0"/>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2023年度“三公”经费支出共计</w:t>
      </w:r>
      <w:r>
        <w:rPr>
          <w:rFonts w:ascii="Times New Roman" w:hAnsi="Times New Roman" w:eastAsia="方正仿宋_GBK" w:cs="方正仿宋_GBK"/>
          <w:b w:val="0"/>
          <w:bCs w:val="0"/>
          <w:sz w:val="32"/>
          <w:szCs w:val="32"/>
        </w:rPr>
        <w:t>0.95</w:t>
      </w:r>
      <w:r>
        <w:rPr>
          <w:rFonts w:ascii="Times New Roman" w:hAnsi="Times New Roman" w:eastAsia="方正仿宋_GBK" w:cs="方正仿宋_GBK"/>
          <w:b w:val="0"/>
          <w:bCs w:val="0"/>
          <w:sz w:val="32"/>
          <w:szCs w:val="32"/>
          <w:shd w:val="clear" w:color="auto" w:fill="FFFFFF"/>
        </w:rPr>
        <w:t>万元，较年初预算数减少0.85万元，下降47.2%，主要原因是</w:t>
      </w:r>
      <w:r>
        <w:rPr>
          <w:rFonts w:hint="eastAsia" w:ascii="Times New Roman" w:hAnsi="Times New Roman" w:eastAsia="方正仿宋_GBK" w:cs="方正仿宋_GBK"/>
          <w:b w:val="0"/>
          <w:bCs w:val="0"/>
          <w:sz w:val="32"/>
          <w:szCs w:val="32"/>
          <w:shd w:val="clear" w:color="auto" w:fill="FFFFFF"/>
        </w:rPr>
        <w:t>认真贯彻落实中央八项规定精神，从严控制“三公”经费，严格落实公车使用规定，从严控制公车运行维护成本，强化公务接待支出管理，严格遵守公务接待开支范围和开支标准，规范因公出国（境）活动，全年未安排人员出国出访。</w:t>
      </w:r>
      <w:r>
        <w:rPr>
          <w:rFonts w:ascii="Times New Roman" w:hAnsi="Times New Roman" w:eastAsia="方正仿宋_GBK" w:cs="方正仿宋_GBK"/>
          <w:b w:val="0"/>
          <w:bCs w:val="0"/>
          <w:sz w:val="32"/>
          <w:szCs w:val="32"/>
          <w:shd w:val="clear" w:color="auto" w:fill="FFFFFF"/>
        </w:rPr>
        <w:t>较上年支出数减少0.79万元，下降45.4%，主要原因是</w:t>
      </w:r>
      <w:r>
        <w:rPr>
          <w:rFonts w:hint="eastAsia" w:ascii="Times New Roman" w:hAnsi="Times New Roman" w:eastAsia="方正仿宋_GBK" w:cs="方正仿宋_GBK"/>
          <w:b w:val="0"/>
          <w:bCs w:val="0"/>
          <w:sz w:val="32"/>
          <w:szCs w:val="32"/>
          <w:shd w:val="clear" w:color="auto" w:fill="FFFFFF"/>
        </w:rPr>
        <w:t>认真贯彻落实中央八项规定精神，从严控制“三公”经费，严格落实公车使用规定，从严控制公车运行维护成本，强化公务接待支出管理，严格遵守公务接待开支范围和开支标准，规范因公出国（境）活动，全年未安排人员出国出访。</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shd w:val="clear" w:color="auto" w:fill="FFFFFF"/>
        </w:rPr>
      </w:pPr>
      <w:r>
        <w:rPr>
          <w:rFonts w:ascii="Times New Roman" w:hAnsi="Times New Roman" w:eastAsia="方正仿宋_GBK" w:cs="方正仿宋_GBK"/>
          <w:b w:val="0"/>
          <w:bCs w:val="0"/>
          <w:sz w:val="32"/>
          <w:szCs w:val="32"/>
          <w:shd w:val="clear" w:color="auto" w:fill="FFFFFF"/>
        </w:rPr>
        <w:t>2023年度本单位因公出国（境）费用</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w:t>
      </w:r>
      <w:r>
        <w:rPr>
          <w:rFonts w:hint="eastAsia" w:ascii="Times New Roman" w:hAnsi="Times New Roman" w:eastAsia="方正仿宋_GBK" w:cs="方正仿宋_GBK"/>
          <w:b w:val="0"/>
          <w:bCs w:val="0"/>
          <w:sz w:val="32"/>
          <w:szCs w:val="32"/>
          <w:shd w:val="clear" w:color="auto" w:fill="FFFFFF"/>
          <w:lang w:eastAsia="zh-CN"/>
        </w:rPr>
        <w:t>。</w:t>
      </w:r>
      <w:r>
        <w:rPr>
          <w:rFonts w:ascii="Times New Roman" w:hAnsi="Times New Roman" w:eastAsia="方正仿宋_GBK" w:cs="方正仿宋_GBK"/>
          <w:b w:val="0"/>
          <w:bCs w:val="0"/>
          <w:sz w:val="32"/>
          <w:szCs w:val="32"/>
          <w:shd w:val="clear" w:color="auto" w:fill="FFFFFF"/>
        </w:rPr>
        <w:t>费用支出较年初预算数无增减，主要原因是</w:t>
      </w:r>
      <w:r>
        <w:rPr>
          <w:rFonts w:hint="eastAsia" w:ascii="Times New Roman" w:hAnsi="Times New Roman" w:eastAsia="方正仿宋_GBK" w:cs="方正仿宋_GBK"/>
          <w:b w:val="0"/>
          <w:bCs w:val="0"/>
          <w:sz w:val="32"/>
          <w:szCs w:val="32"/>
          <w:shd w:val="clear" w:color="auto" w:fill="FFFFFF"/>
        </w:rPr>
        <w:t>规范因公出国（境）活动，全年未安排人员出国出访。</w:t>
      </w:r>
      <w:r>
        <w:rPr>
          <w:rFonts w:ascii="Times New Roman" w:hAnsi="Times New Roman" w:eastAsia="方正仿宋_GBK" w:cs="方正仿宋_GBK"/>
          <w:b w:val="0"/>
          <w:bCs w:val="0"/>
          <w:sz w:val="32"/>
          <w:szCs w:val="32"/>
          <w:shd w:val="clear" w:color="auto" w:fill="FFFFFF"/>
        </w:rPr>
        <w:t>较上年支出数无增减，主要原因是</w:t>
      </w:r>
      <w:r>
        <w:rPr>
          <w:rFonts w:hint="eastAsia" w:ascii="Times New Roman" w:hAnsi="Times New Roman" w:eastAsia="方正仿宋_GBK" w:cs="方正仿宋_GBK"/>
          <w:b w:val="0"/>
          <w:bCs w:val="0"/>
          <w:sz w:val="32"/>
          <w:szCs w:val="32"/>
          <w:shd w:val="clear" w:color="auto" w:fill="FFFFFF"/>
        </w:rPr>
        <w:t>规范因公出国（境）活动，全年未安排人员出国出访。</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公务车购置费</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万元。费用支出较年初预算数无增减，主要原因是</w:t>
      </w:r>
      <w:r>
        <w:rPr>
          <w:rFonts w:hint="eastAsia" w:ascii="Times New Roman" w:hAnsi="Times New Roman" w:eastAsia="方正仿宋_GBK" w:cs="方正仿宋_GBK"/>
          <w:b w:val="0"/>
          <w:bCs w:val="0"/>
          <w:sz w:val="32"/>
          <w:szCs w:val="32"/>
          <w:shd w:val="clear" w:color="auto" w:fill="FFFFFF"/>
          <w:lang w:eastAsia="zh-CN"/>
        </w:rPr>
        <w:t>本年无公务用车购置费预算。</w:t>
      </w:r>
      <w:r>
        <w:rPr>
          <w:rFonts w:ascii="Times New Roman" w:hAnsi="Times New Roman" w:eastAsia="方正仿宋_GBK" w:cs="方正仿宋_GBK"/>
          <w:b w:val="0"/>
          <w:bCs w:val="0"/>
          <w:sz w:val="32"/>
          <w:szCs w:val="32"/>
          <w:shd w:val="clear" w:color="auto" w:fill="FFFFFF"/>
        </w:rPr>
        <w:t>较上年支出数无增减，主要原因是</w:t>
      </w:r>
      <w:r>
        <w:rPr>
          <w:rFonts w:hint="eastAsia" w:ascii="Times New Roman" w:hAnsi="Times New Roman" w:eastAsia="方正仿宋_GBK" w:cs="方正仿宋_GBK"/>
          <w:b w:val="0"/>
          <w:bCs w:val="0"/>
          <w:sz w:val="32"/>
          <w:szCs w:val="32"/>
          <w:shd w:val="clear" w:color="auto" w:fill="FFFFFF"/>
          <w:lang w:eastAsia="zh-CN"/>
        </w:rPr>
        <w:t>本年无公务用车购置费预算。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shd w:val="clear" w:color="auto" w:fill="FFFFFF"/>
        </w:rPr>
      </w:pPr>
      <w:r>
        <w:rPr>
          <w:rFonts w:ascii="Times New Roman" w:hAnsi="Times New Roman" w:eastAsia="方正仿宋_GBK" w:cs="方正仿宋_GBK"/>
          <w:b w:val="0"/>
          <w:bCs w:val="0"/>
          <w:sz w:val="32"/>
          <w:szCs w:val="32"/>
          <w:shd w:val="clear" w:color="auto" w:fill="FFFFFF"/>
        </w:rPr>
        <w:t>公务</w:t>
      </w:r>
      <w:r>
        <w:rPr>
          <w:rFonts w:hint="eastAsia" w:ascii="Times New Roman" w:hAnsi="Times New Roman" w:eastAsia="方正仿宋_GBK" w:cs="方正仿宋_GBK"/>
          <w:b w:val="0"/>
          <w:bCs w:val="0"/>
          <w:sz w:val="32"/>
          <w:szCs w:val="32"/>
          <w:shd w:val="clear" w:color="auto" w:fill="FFFFFF"/>
          <w:lang w:eastAsia="zh-CN"/>
        </w:rPr>
        <w:t>用</w:t>
      </w:r>
      <w:r>
        <w:rPr>
          <w:rFonts w:ascii="Times New Roman" w:hAnsi="Times New Roman" w:eastAsia="方正仿宋_GBK" w:cs="方正仿宋_GBK"/>
          <w:b w:val="0"/>
          <w:bCs w:val="0"/>
          <w:sz w:val="32"/>
          <w:szCs w:val="32"/>
          <w:shd w:val="clear" w:color="auto" w:fill="FFFFFF"/>
        </w:rPr>
        <w:t>车运行维护费</w:t>
      </w:r>
      <w:r>
        <w:rPr>
          <w:rFonts w:ascii="Times New Roman" w:hAnsi="Times New Roman" w:eastAsia="方正仿宋_GBK" w:cs="方正仿宋_GBK"/>
          <w:b w:val="0"/>
          <w:bCs w:val="0"/>
          <w:sz w:val="32"/>
          <w:szCs w:val="32"/>
        </w:rPr>
        <w:t>0.76</w:t>
      </w:r>
      <w:r>
        <w:rPr>
          <w:rFonts w:ascii="Times New Roman" w:hAnsi="Times New Roman" w:eastAsia="方正仿宋_GBK" w:cs="方正仿宋_GBK"/>
          <w:b w:val="0"/>
          <w:bCs w:val="0"/>
          <w:sz w:val="32"/>
          <w:szCs w:val="32"/>
          <w:shd w:val="clear" w:color="auto" w:fill="FFFFFF"/>
        </w:rPr>
        <w:t>万元，主要用于</w:t>
      </w:r>
      <w:r>
        <w:rPr>
          <w:rFonts w:hint="eastAsia" w:ascii="Times New Roman" w:hAnsi="Times New Roman" w:eastAsia="方正仿宋_GBK" w:cs="方正仿宋_GBK"/>
          <w:b w:val="0"/>
          <w:bCs w:val="0"/>
          <w:sz w:val="32"/>
          <w:szCs w:val="32"/>
          <w:shd w:val="clear" w:color="auto" w:fill="FFFFFF"/>
        </w:rPr>
        <w:t>机要文件交换、市内因公出行等工作所需车辆的燃料费、维修费、过桥过路费、保险费等。</w:t>
      </w:r>
      <w:r>
        <w:rPr>
          <w:rFonts w:ascii="Times New Roman" w:hAnsi="Times New Roman" w:eastAsia="方正仿宋_GBK" w:cs="方正仿宋_GBK"/>
          <w:b w:val="0"/>
          <w:bCs w:val="0"/>
          <w:sz w:val="32"/>
          <w:szCs w:val="32"/>
          <w:shd w:val="clear" w:color="auto" w:fill="FFFFFF"/>
        </w:rPr>
        <w:t>费用支出较年初预算数减少0.04万元，下降5.0%，主要原因是</w:t>
      </w:r>
      <w:r>
        <w:rPr>
          <w:rFonts w:hint="eastAsia" w:ascii="Times New Roman" w:hAnsi="Times New Roman" w:eastAsia="方正仿宋_GBK" w:cs="方正仿宋_GBK"/>
          <w:b w:val="0"/>
          <w:bCs w:val="0"/>
          <w:sz w:val="32"/>
          <w:szCs w:val="32"/>
          <w:shd w:val="clear" w:color="auto" w:fill="FFFFFF"/>
        </w:rPr>
        <w:t>严格落实公车使用规定，从严控制公车运行维护成本</w:t>
      </w:r>
      <w:r>
        <w:rPr>
          <w:rFonts w:hint="eastAsia" w:ascii="Times New Roman" w:hAnsi="Times New Roman" w:eastAsia="方正仿宋_GBK" w:cs="方正仿宋_GBK"/>
          <w:b w:val="0"/>
          <w:bCs w:val="0"/>
          <w:sz w:val="32"/>
          <w:szCs w:val="32"/>
          <w:shd w:val="clear" w:color="auto" w:fill="FFFFFF"/>
          <w:lang w:eastAsia="zh-CN"/>
        </w:rPr>
        <w:t>。</w:t>
      </w:r>
      <w:r>
        <w:rPr>
          <w:rFonts w:ascii="Times New Roman" w:hAnsi="Times New Roman" w:eastAsia="方正仿宋_GBK" w:cs="方正仿宋_GBK"/>
          <w:b w:val="0"/>
          <w:bCs w:val="0"/>
          <w:sz w:val="32"/>
          <w:szCs w:val="32"/>
          <w:shd w:val="clear" w:color="auto" w:fill="FFFFFF"/>
        </w:rPr>
        <w:t>较上年支出数减少0.04万元，下降5.0%，主要原因是</w:t>
      </w:r>
      <w:r>
        <w:rPr>
          <w:rFonts w:hint="eastAsia" w:ascii="Times New Roman" w:hAnsi="Times New Roman" w:eastAsia="方正仿宋_GBK" w:cs="方正仿宋_GBK"/>
          <w:b w:val="0"/>
          <w:bCs w:val="0"/>
          <w:sz w:val="32"/>
          <w:szCs w:val="32"/>
          <w:shd w:val="clear" w:color="auto" w:fill="FFFFFF"/>
        </w:rPr>
        <w:t>严格落实公车使用规定，从严控制公车运行维护成本。</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公务接待费</w:t>
      </w:r>
      <w:r>
        <w:rPr>
          <w:rFonts w:ascii="Times New Roman" w:hAnsi="Times New Roman" w:eastAsia="方正仿宋_GBK" w:cs="方正仿宋_GBK"/>
          <w:b w:val="0"/>
          <w:bCs w:val="0"/>
          <w:sz w:val="32"/>
          <w:szCs w:val="32"/>
        </w:rPr>
        <w:t>0.19</w:t>
      </w:r>
      <w:r>
        <w:rPr>
          <w:rFonts w:ascii="Times New Roman" w:hAnsi="Times New Roman" w:eastAsia="方正仿宋_GBK" w:cs="方正仿宋_GBK"/>
          <w:b w:val="0"/>
          <w:bCs w:val="0"/>
          <w:sz w:val="32"/>
          <w:szCs w:val="32"/>
          <w:shd w:val="clear" w:color="auto" w:fill="FFFFFF"/>
        </w:rPr>
        <w:t>万元，主要用于接待</w:t>
      </w:r>
      <w:r>
        <w:rPr>
          <w:rFonts w:hint="eastAsia" w:ascii="Times New Roman" w:hAnsi="Times New Roman" w:eastAsia="方正仿宋_GBK" w:cs="方正仿宋_GBK"/>
          <w:b w:val="0"/>
          <w:bCs w:val="0"/>
          <w:sz w:val="32"/>
          <w:szCs w:val="32"/>
          <w:shd w:val="clear" w:color="auto" w:fill="FFFFFF"/>
        </w:rPr>
        <w:t>上级部门检查指导工作，招商引资等接待支出。</w:t>
      </w:r>
      <w:r>
        <w:rPr>
          <w:rFonts w:ascii="Times New Roman" w:hAnsi="Times New Roman" w:eastAsia="方正仿宋_GBK" w:cs="方正仿宋_GBK"/>
          <w:b w:val="0"/>
          <w:bCs w:val="0"/>
          <w:sz w:val="32"/>
          <w:szCs w:val="32"/>
          <w:shd w:val="clear" w:color="auto" w:fill="FFFFFF"/>
        </w:rPr>
        <w:t>费用支出较年初预算数减少0.81万元，下降81.0%，主要原因是</w:t>
      </w:r>
      <w:r>
        <w:rPr>
          <w:rFonts w:hint="eastAsia" w:ascii="Times New Roman" w:hAnsi="Times New Roman" w:eastAsia="方正仿宋_GBK" w:cs="方正仿宋_GBK"/>
          <w:b w:val="0"/>
          <w:bCs w:val="0"/>
          <w:sz w:val="32"/>
          <w:szCs w:val="32"/>
          <w:shd w:val="clear" w:color="auto" w:fill="FFFFFF"/>
        </w:rPr>
        <w:t>强化公务接待支出管理，严格遵守公务接待开支范围和开支标准</w:t>
      </w:r>
      <w:r>
        <w:rPr>
          <w:rFonts w:hint="eastAsia" w:ascii="Times New Roman" w:hAnsi="Times New Roman" w:eastAsia="方正仿宋_GBK" w:cs="方正仿宋_GBK"/>
          <w:b w:val="0"/>
          <w:bCs w:val="0"/>
          <w:sz w:val="32"/>
          <w:szCs w:val="32"/>
          <w:shd w:val="clear" w:color="auto" w:fill="FFFFFF"/>
          <w:lang w:eastAsia="zh-CN"/>
        </w:rPr>
        <w:t>。</w:t>
      </w:r>
      <w:r>
        <w:rPr>
          <w:rFonts w:ascii="Times New Roman" w:hAnsi="Times New Roman" w:eastAsia="方正仿宋_GBK" w:cs="方正仿宋_GBK"/>
          <w:b w:val="0"/>
          <w:bCs w:val="0"/>
          <w:sz w:val="32"/>
          <w:szCs w:val="32"/>
          <w:shd w:val="clear" w:color="auto" w:fill="FFFFFF"/>
        </w:rPr>
        <w:t>较上年支出数减少0.75万元，下降79.</w:t>
      </w:r>
      <w:r>
        <w:rPr>
          <w:rFonts w:hint="eastAsia" w:ascii="Times New Roman" w:hAnsi="Times New Roman" w:eastAsia="方正仿宋_GBK" w:cs="方正仿宋_GBK"/>
          <w:b w:val="0"/>
          <w:bCs w:val="0"/>
          <w:sz w:val="32"/>
          <w:szCs w:val="32"/>
          <w:shd w:val="clear" w:color="auto" w:fill="FFFFFF"/>
          <w:lang w:val="en-US" w:eastAsia="zh-CN"/>
        </w:rPr>
        <w:t>8</w:t>
      </w:r>
      <w:r>
        <w:rPr>
          <w:rFonts w:ascii="Times New Roman" w:hAnsi="Times New Roman" w:eastAsia="方正仿宋_GBK" w:cs="方正仿宋_GBK"/>
          <w:b w:val="0"/>
          <w:bCs w:val="0"/>
          <w:sz w:val="32"/>
          <w:szCs w:val="32"/>
          <w:shd w:val="clear" w:color="auto" w:fill="FFFFFF"/>
        </w:rPr>
        <w:t>%，主要原因是</w:t>
      </w:r>
      <w:r>
        <w:rPr>
          <w:rFonts w:hint="eastAsia" w:ascii="Times New Roman" w:hAnsi="Times New Roman" w:eastAsia="方正仿宋_GBK" w:cs="方正仿宋_GBK"/>
          <w:b w:val="0"/>
          <w:bCs w:val="0"/>
          <w:sz w:val="32"/>
          <w:szCs w:val="32"/>
          <w:shd w:val="clear" w:color="auto" w:fill="FFFFFF"/>
        </w:rPr>
        <w:t>强化公务接待支出管理，严格遵守公务接待开支范围和开支标准。</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2023年度本单位因公出国（境）共计</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个团组，</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人；公务用车购置</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辆，公务车保有量为</w:t>
      </w:r>
      <w:r>
        <w:rPr>
          <w:rFonts w:ascii="Times New Roman" w:hAnsi="Times New Roman" w:eastAsia="方正仿宋_GBK" w:cs="方正仿宋_GBK"/>
          <w:b w:val="0"/>
          <w:bCs w:val="0"/>
          <w:sz w:val="32"/>
          <w:szCs w:val="32"/>
        </w:rPr>
        <w:t>1</w:t>
      </w:r>
      <w:r>
        <w:rPr>
          <w:rFonts w:ascii="Times New Roman" w:hAnsi="Times New Roman" w:eastAsia="方正仿宋_GBK" w:cs="方正仿宋_GBK"/>
          <w:b w:val="0"/>
          <w:bCs w:val="0"/>
          <w:sz w:val="32"/>
          <w:szCs w:val="32"/>
          <w:shd w:val="clear" w:color="auto" w:fill="FFFFFF"/>
        </w:rPr>
        <w:t>辆；国内公务接待</w:t>
      </w:r>
      <w:r>
        <w:rPr>
          <w:rFonts w:ascii="Times New Roman" w:hAnsi="Times New Roman" w:eastAsia="方正仿宋_GBK" w:cs="方正仿宋_GBK"/>
          <w:b w:val="0"/>
          <w:bCs w:val="0"/>
          <w:sz w:val="32"/>
          <w:szCs w:val="32"/>
        </w:rPr>
        <w:t>2</w:t>
      </w:r>
      <w:r>
        <w:rPr>
          <w:rFonts w:ascii="Times New Roman" w:hAnsi="Times New Roman" w:eastAsia="方正仿宋_GBK" w:cs="方正仿宋_GBK"/>
          <w:b w:val="0"/>
          <w:bCs w:val="0"/>
          <w:sz w:val="32"/>
          <w:szCs w:val="32"/>
          <w:shd w:val="clear" w:color="auto" w:fill="FFFFFF"/>
        </w:rPr>
        <w:t>批次</w:t>
      </w:r>
      <w:r>
        <w:rPr>
          <w:rFonts w:ascii="Times New Roman" w:hAnsi="Times New Roman" w:eastAsia="方正仿宋_GBK" w:cs="方正仿宋_GBK"/>
          <w:b w:val="0"/>
          <w:bCs w:val="0"/>
          <w:sz w:val="32"/>
          <w:szCs w:val="32"/>
        </w:rPr>
        <w:t>27</w:t>
      </w:r>
      <w:r>
        <w:rPr>
          <w:rFonts w:ascii="Times New Roman" w:hAnsi="Times New Roman" w:eastAsia="方正仿宋_GBK" w:cs="方正仿宋_GBK"/>
          <w:b w:val="0"/>
          <w:bCs w:val="0"/>
          <w:sz w:val="32"/>
          <w:szCs w:val="32"/>
          <w:shd w:val="clear" w:color="auto" w:fill="FFFFFF"/>
        </w:rPr>
        <w:t>人，其中：国内外事接待</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批次，</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人；国（境）外公务接待</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批次，</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人。2023年本单位人均接待费</w:t>
      </w:r>
      <w:r>
        <w:rPr>
          <w:rFonts w:ascii="Times New Roman" w:hAnsi="Times New Roman" w:eastAsia="方正仿宋_GBK" w:cs="方正仿宋_GBK"/>
          <w:b w:val="0"/>
          <w:bCs w:val="0"/>
          <w:sz w:val="32"/>
          <w:szCs w:val="32"/>
        </w:rPr>
        <w:t>68.93</w:t>
      </w:r>
      <w:r>
        <w:rPr>
          <w:rFonts w:ascii="Times New Roman" w:hAnsi="Times New Roman" w:eastAsia="方正仿宋_GBK" w:cs="方正仿宋_GBK"/>
          <w:b w:val="0"/>
          <w:bCs w:val="0"/>
          <w:sz w:val="32"/>
          <w:szCs w:val="32"/>
          <w:shd w:val="clear" w:color="auto" w:fill="FFFFFF"/>
        </w:rPr>
        <w:t>元，车均购置费</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万元，车均维护费</w:t>
      </w:r>
      <w:r>
        <w:rPr>
          <w:rFonts w:ascii="Times New Roman" w:hAnsi="Times New Roman" w:eastAsia="方正仿宋_GBK" w:cs="方正仿宋_GBK"/>
          <w:b w:val="0"/>
          <w:bCs w:val="0"/>
          <w:sz w:val="32"/>
          <w:szCs w:val="32"/>
        </w:rPr>
        <w:t>0.76</w:t>
      </w:r>
      <w:r>
        <w:rPr>
          <w:rFonts w:ascii="Times New Roman" w:hAnsi="Times New Roman" w:eastAsia="方正仿宋_GBK" w:cs="方正仿宋_GBK"/>
          <w:b w:val="0"/>
          <w:bCs w:val="0"/>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方正仿宋_GBK" w:cs="方正仿宋_GBK"/>
          <w:b w:val="0"/>
          <w:bCs w:val="0"/>
          <w:sz w:val="32"/>
          <w:szCs w:val="32"/>
          <w:shd w:val="clear" w:color="auto" w:fill="FFFFFF"/>
        </w:rPr>
      </w:pPr>
      <w:r>
        <w:rPr>
          <w:rStyle w:val="10"/>
          <w:rFonts w:ascii="Times New Roman" w:hAnsi="Times New Roman" w:eastAsia="黑体" w:cs="黑体"/>
          <w:b w:val="0"/>
          <w:bCs w:val="0"/>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本年度会议费支出</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万元，较上年决算数无增减。本年度培训费支出</w:t>
      </w:r>
      <w:r>
        <w:rPr>
          <w:rFonts w:ascii="Times New Roman" w:hAnsi="Times New Roman" w:eastAsia="方正仿宋_GBK" w:cs="方正仿宋_GBK"/>
          <w:b w:val="0"/>
          <w:bCs w:val="0"/>
          <w:sz w:val="32"/>
          <w:szCs w:val="32"/>
        </w:rPr>
        <w:t>0.73</w:t>
      </w:r>
      <w:r>
        <w:rPr>
          <w:rFonts w:ascii="Times New Roman" w:hAnsi="Times New Roman" w:eastAsia="方正仿宋_GBK" w:cs="方正仿宋_GBK"/>
          <w:b w:val="0"/>
          <w:bCs w:val="0"/>
          <w:sz w:val="32"/>
          <w:szCs w:val="32"/>
          <w:shd w:val="clear" w:color="auto" w:fill="FFFFFF"/>
        </w:rPr>
        <w:t>万元，较上年决算数增加0.33万元，增长82.5%，主要原因是</w:t>
      </w:r>
      <w:r>
        <w:rPr>
          <w:rFonts w:hint="eastAsia" w:ascii="Times New Roman" w:hAnsi="Times New Roman" w:eastAsia="方正仿宋_GBK" w:cs="方正仿宋_GBK"/>
          <w:b w:val="0"/>
          <w:bCs w:val="0"/>
          <w:sz w:val="32"/>
          <w:szCs w:val="32"/>
          <w:shd w:val="clear" w:color="auto" w:fill="FFFFFF"/>
        </w:rPr>
        <w:t>2022</w:t>
      </w:r>
      <w:r>
        <w:rPr>
          <w:rFonts w:hint="eastAsia" w:ascii="Times New Roman" w:hAnsi="Times New Roman" w:eastAsia="方正仿宋_GBK" w:cs="方正仿宋_GBK"/>
          <w:b w:val="0"/>
          <w:bCs w:val="0"/>
          <w:sz w:val="32"/>
          <w:szCs w:val="32"/>
          <w:shd w:val="clear" w:color="auto" w:fill="FFFFFF"/>
          <w:lang w:eastAsia="zh-CN"/>
        </w:rPr>
        <w:t>年</w:t>
      </w:r>
      <w:bookmarkStart w:id="0" w:name="_GoBack"/>
      <w:bookmarkEnd w:id="0"/>
      <w:r>
        <w:rPr>
          <w:rFonts w:hint="eastAsia" w:ascii="Times New Roman" w:hAnsi="Times New Roman" w:eastAsia="方正仿宋_GBK" w:cs="方正仿宋_GBK"/>
          <w:b w:val="0"/>
          <w:bCs w:val="0"/>
          <w:sz w:val="32"/>
          <w:szCs w:val="32"/>
          <w:shd w:val="clear" w:color="auto" w:fill="FFFFFF"/>
        </w:rPr>
        <w:t>受疫情影响减少培训会议，线下培训更改为线上，2023年线下培训增多。</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2023年度本单位机关运行经费支出</w:t>
      </w:r>
      <w:r>
        <w:rPr>
          <w:rFonts w:ascii="Times New Roman" w:hAnsi="Times New Roman" w:eastAsia="方正仿宋_GBK" w:cs="方正仿宋_GBK"/>
          <w:b w:val="0"/>
          <w:bCs w:val="0"/>
          <w:sz w:val="32"/>
          <w:szCs w:val="32"/>
        </w:rPr>
        <w:t>19.42</w:t>
      </w:r>
      <w:r>
        <w:rPr>
          <w:rFonts w:ascii="Times New Roman" w:hAnsi="Times New Roman" w:eastAsia="方正仿宋_GBK" w:cs="方正仿宋_GBK"/>
          <w:b w:val="0"/>
          <w:bCs w:val="0"/>
          <w:sz w:val="32"/>
          <w:szCs w:val="32"/>
          <w:shd w:val="clear" w:color="auto" w:fill="FFFFFF"/>
        </w:rPr>
        <w:t>万元，机关运行经费主要用于开支</w:t>
      </w:r>
      <w:r>
        <w:rPr>
          <w:rFonts w:hint="eastAsia" w:ascii="Times New Roman" w:hAnsi="Times New Roman" w:eastAsia="方正仿宋_GBK" w:cs="方正仿宋_GBK"/>
          <w:b w:val="0"/>
          <w:bCs w:val="0"/>
          <w:sz w:val="32"/>
          <w:szCs w:val="32"/>
          <w:shd w:val="clear" w:color="auto" w:fill="FFFFFF"/>
        </w:rPr>
        <w:t>办公费、差旅费、水电费、邮电费、劳务费、物业管理费、公务用车运行维护费、其他交通费等</w:t>
      </w:r>
      <w:r>
        <w:rPr>
          <w:rFonts w:hint="eastAsia" w:ascii="Times New Roman" w:hAnsi="Times New Roman" w:eastAsia="方正仿宋_GBK" w:cs="方正仿宋_GBK"/>
          <w:b w:val="0"/>
          <w:bCs w:val="0"/>
          <w:sz w:val="32"/>
          <w:szCs w:val="32"/>
          <w:shd w:val="clear" w:color="auto" w:fill="FFFFFF"/>
          <w:lang w:eastAsia="zh-CN"/>
        </w:rPr>
        <w:t>。</w:t>
      </w:r>
      <w:r>
        <w:rPr>
          <w:rFonts w:ascii="Times New Roman" w:hAnsi="Times New Roman" w:eastAsia="方正仿宋_GBK" w:cs="方正仿宋_GBK"/>
          <w:b w:val="0"/>
          <w:bCs w:val="0"/>
          <w:sz w:val="32"/>
          <w:szCs w:val="32"/>
          <w:shd w:val="clear" w:color="auto" w:fill="FFFFFF"/>
        </w:rPr>
        <w:t>机关运行经费较上年支出数减少12.72万元，下降39.</w:t>
      </w:r>
      <w:r>
        <w:rPr>
          <w:rFonts w:hint="eastAsia" w:ascii="Times New Roman" w:hAnsi="Times New Roman" w:eastAsia="方正仿宋_GBK" w:cs="方正仿宋_GBK"/>
          <w:b w:val="0"/>
          <w:bCs w:val="0"/>
          <w:sz w:val="32"/>
          <w:szCs w:val="32"/>
          <w:shd w:val="clear" w:color="auto" w:fill="FFFFFF"/>
          <w:lang w:val="en-US" w:eastAsia="zh-CN"/>
        </w:rPr>
        <w:t>6</w:t>
      </w:r>
      <w:r>
        <w:rPr>
          <w:rFonts w:ascii="Times New Roman" w:hAnsi="Times New Roman" w:eastAsia="方正仿宋_GBK" w:cs="方正仿宋_GBK"/>
          <w:b w:val="0"/>
          <w:bCs w:val="0"/>
          <w:sz w:val="32"/>
          <w:szCs w:val="32"/>
          <w:shd w:val="clear" w:color="auto" w:fill="FFFFFF"/>
        </w:rPr>
        <w:t>%，主要原因是</w:t>
      </w:r>
      <w:r>
        <w:rPr>
          <w:rFonts w:hint="eastAsia" w:ascii="Times New Roman" w:hAnsi="Times New Roman" w:eastAsia="方正仿宋_GBK" w:cs="方正仿宋_GBK"/>
          <w:b w:val="0"/>
          <w:bCs w:val="0"/>
          <w:sz w:val="32"/>
          <w:szCs w:val="32"/>
          <w:shd w:val="clear" w:color="auto" w:fill="FFFFFF"/>
        </w:rPr>
        <w:t>办公经费减少。</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截至2023年12月31日，本单位共有车辆</w:t>
      </w:r>
      <w:r>
        <w:rPr>
          <w:rFonts w:ascii="Times New Roman" w:hAnsi="Times New Roman" w:eastAsia="方正仿宋_GBK" w:cs="方正仿宋_GBK"/>
          <w:b w:val="0"/>
          <w:bCs w:val="0"/>
          <w:sz w:val="32"/>
          <w:szCs w:val="32"/>
        </w:rPr>
        <w:t>1</w:t>
      </w:r>
      <w:r>
        <w:rPr>
          <w:rFonts w:ascii="Times New Roman" w:hAnsi="Times New Roman" w:eastAsia="方正仿宋_GBK" w:cs="方正仿宋_GBK"/>
          <w:b w:val="0"/>
          <w:bCs w:val="0"/>
          <w:sz w:val="32"/>
          <w:szCs w:val="32"/>
          <w:shd w:val="clear" w:color="auto" w:fill="FFFFFF"/>
        </w:rPr>
        <w:t>辆，其中，副部（省）级及以上领导用车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辆、主要负责人用车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辆、机要通信用车</w:t>
      </w:r>
      <w:r>
        <w:rPr>
          <w:rFonts w:ascii="Times New Roman" w:hAnsi="Times New Roman" w:eastAsia="方正仿宋_GBK" w:cs="方正仿宋_GBK"/>
          <w:b w:val="0"/>
          <w:bCs w:val="0"/>
          <w:sz w:val="32"/>
          <w:szCs w:val="32"/>
        </w:rPr>
        <w:t>1</w:t>
      </w:r>
      <w:r>
        <w:rPr>
          <w:rFonts w:ascii="Times New Roman" w:hAnsi="Times New Roman" w:eastAsia="方正仿宋_GBK" w:cs="方正仿宋_GBK"/>
          <w:b w:val="0"/>
          <w:bCs w:val="0"/>
          <w:sz w:val="32"/>
          <w:szCs w:val="32"/>
          <w:shd w:val="clear" w:color="auto" w:fill="FFFFFF"/>
        </w:rPr>
        <w:t>辆、应急保障用车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辆、执法执勤用车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辆，特种专业技术用车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辆，离退休干部用车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辆。单价100万元（含）以上专用设备</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color w:val="FF000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2023年度我单位未发生政府采购事项，无相关经费支出。</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0"/>
          <w:rFonts w:hint="default" w:ascii="Times New Roman" w:hAnsi="Times New Roman" w:eastAsia="黑体" w:cs="黑体"/>
          <w:b w:val="0"/>
          <w:bCs w:val="0"/>
          <w:sz w:val="32"/>
          <w:szCs w:val="32"/>
          <w:shd w:val="clear" w:color="auto" w:fill="FFFFFF"/>
        </w:rPr>
      </w:pPr>
      <w:r>
        <w:rPr>
          <w:rStyle w:val="10"/>
          <w:rFonts w:hint="eastAsia" w:ascii="Times New Roman" w:hAnsi="Times New Roman" w:eastAsia="黑体" w:cs="黑体"/>
          <w:b w:val="0"/>
          <w:bCs w:val="0"/>
          <w:sz w:val="32"/>
          <w:szCs w:val="32"/>
          <w:shd w:val="clear" w:color="auto" w:fill="FFFFFF"/>
          <w:lang w:eastAsia="zh-CN"/>
        </w:rPr>
        <w:t>五、</w:t>
      </w:r>
      <w:r>
        <w:rPr>
          <w:rStyle w:val="10"/>
          <w:rFonts w:ascii="Times New Roman" w:hAnsi="Times New Roman" w:eastAsia="黑体" w:cs="黑体"/>
          <w:b w:val="0"/>
          <w:bCs w:val="0"/>
          <w:sz w:val="32"/>
          <w:szCs w:val="32"/>
          <w:shd w:val="clear" w:color="auto" w:fill="FFFFFF"/>
        </w:rPr>
        <w:t>预算绩效管理情况说明</w:t>
      </w:r>
    </w:p>
    <w:p>
      <w:pPr>
        <w:pStyle w:val="16"/>
        <w:keepNext w:val="0"/>
        <w:keepLines w:val="0"/>
        <w:pageBreakBefore w:val="0"/>
        <w:widowControl/>
        <w:tabs>
          <w:tab w:val="center" w:pos="4153"/>
          <w:tab w:val="left" w:pos="7275"/>
        </w:tabs>
        <w:kinsoku/>
        <w:wordWrap/>
        <w:overflowPunct/>
        <w:topLinePunct w:val="0"/>
        <w:autoSpaceDE/>
        <w:autoSpaceDN/>
        <w:bidi w:val="0"/>
        <w:adjustRightInd/>
        <w:snapToGrid/>
        <w:spacing w:beforeAutospacing="0" w:afterAutospacing="0" w:line="600" w:lineRule="exact"/>
        <w:ind w:firstLine="643"/>
        <w:textAlignment w:val="auto"/>
        <w:rPr>
          <w:rFonts w:ascii="Times New Roman" w:hAnsi="Times New Roman" w:eastAsia="方正仿宋_GBK" w:cs="宋体"/>
          <w:b w:val="0"/>
          <w:bCs w:val="0"/>
          <w:kern w:val="0"/>
          <w:sz w:val="32"/>
          <w:szCs w:val="32"/>
        </w:rPr>
      </w:pPr>
      <w:r>
        <w:rPr>
          <w:rFonts w:hint="eastAsia" w:ascii="Times New Roman" w:hAnsi="Times New Roman" w:eastAsia="方正仿宋_GBK" w:cs="宋体"/>
          <w:b w:val="0"/>
          <w:bCs w:val="0"/>
          <w:kern w:val="0"/>
          <w:sz w:val="32"/>
          <w:szCs w:val="32"/>
        </w:rPr>
        <w:t>（一）单位自评情况</w:t>
      </w:r>
    </w:p>
    <w:p>
      <w:pPr>
        <w:pStyle w:val="16"/>
        <w:keepNext w:val="0"/>
        <w:keepLines w:val="0"/>
        <w:pageBreakBefore w:val="0"/>
        <w:widowControl/>
        <w:tabs>
          <w:tab w:val="center" w:pos="4153"/>
          <w:tab w:val="left" w:pos="7275"/>
        </w:tabs>
        <w:kinsoku/>
        <w:wordWrap/>
        <w:overflowPunct/>
        <w:topLinePunct w:val="0"/>
        <w:autoSpaceDE/>
        <w:autoSpaceDN/>
        <w:bidi w:val="0"/>
        <w:adjustRightInd/>
        <w:snapToGrid/>
        <w:spacing w:beforeAutospacing="0" w:afterAutospacing="0" w:line="600" w:lineRule="exact"/>
        <w:ind w:firstLine="640"/>
        <w:textAlignment w:val="auto"/>
        <w:rPr>
          <w:rFonts w:hint="eastAsia" w:ascii="Times New Roman" w:hAnsi="Times New Roman" w:eastAsia="方正仿宋_GBK" w:cs="宋体"/>
          <w:b w:val="0"/>
          <w:bCs w:val="0"/>
          <w:color w:val="FF0000"/>
          <w:kern w:val="0"/>
          <w:sz w:val="32"/>
          <w:szCs w:val="32"/>
          <w:lang w:val="en-US" w:eastAsia="zh-CN"/>
        </w:rPr>
      </w:pPr>
      <w:r>
        <w:rPr>
          <w:rFonts w:hint="eastAsia" w:ascii="Times New Roman" w:hAnsi="Times New Roman" w:eastAsia="方正仿宋_GBK" w:cs="宋体"/>
          <w:b w:val="0"/>
          <w:bCs w:val="0"/>
          <w:kern w:val="0"/>
          <w:sz w:val="32"/>
          <w:szCs w:val="32"/>
          <w:lang w:eastAsia="zh-CN"/>
        </w:rPr>
        <w:t>根据预算绩效管理要求，我单位对</w:t>
      </w:r>
      <w:r>
        <w:rPr>
          <w:rFonts w:hint="eastAsia" w:ascii="Times New Roman" w:hAnsi="Times New Roman" w:eastAsia="方正仿宋_GBK" w:cs="宋体"/>
          <w:b w:val="0"/>
          <w:bCs w:val="0"/>
          <w:kern w:val="0"/>
          <w:sz w:val="32"/>
          <w:szCs w:val="32"/>
          <w:lang w:val="en-US" w:eastAsia="zh-CN"/>
        </w:rPr>
        <w:t>7个一般性项目开展了绩效自评，涉及财政拨款项目支出71.97万元。</w:t>
      </w:r>
    </w:p>
    <w:p>
      <w:pPr>
        <w:pStyle w:val="16"/>
        <w:keepNext w:val="0"/>
        <w:keepLines w:val="0"/>
        <w:pageBreakBefore w:val="0"/>
        <w:widowControl/>
        <w:tabs>
          <w:tab w:val="center" w:pos="4153"/>
          <w:tab w:val="left" w:pos="7275"/>
        </w:tabs>
        <w:kinsoku/>
        <w:wordWrap/>
        <w:overflowPunct/>
        <w:topLinePunct w:val="0"/>
        <w:autoSpaceDE/>
        <w:autoSpaceDN/>
        <w:bidi w:val="0"/>
        <w:adjustRightInd/>
        <w:snapToGrid/>
        <w:spacing w:beforeAutospacing="0" w:afterAutospacing="0" w:line="600" w:lineRule="exact"/>
        <w:ind w:firstLine="643"/>
        <w:textAlignment w:val="auto"/>
        <w:rPr>
          <w:rFonts w:hint="eastAsia" w:ascii="Times New Roman" w:hAnsi="Times New Roman" w:eastAsia="方正仿宋_GBK" w:cs="宋体"/>
          <w:b w:val="0"/>
          <w:bCs w:val="0"/>
          <w:kern w:val="0"/>
          <w:sz w:val="32"/>
          <w:szCs w:val="32"/>
          <w:lang w:eastAsia="zh-CN"/>
        </w:rPr>
      </w:pPr>
      <w:r>
        <w:rPr>
          <w:rFonts w:hint="eastAsia" w:ascii="Times New Roman" w:hAnsi="Times New Roman" w:eastAsia="方正仿宋_GBK" w:cs="宋体"/>
          <w:b w:val="0"/>
          <w:bCs w:val="0"/>
          <w:kern w:val="0"/>
          <w:sz w:val="32"/>
          <w:szCs w:val="32"/>
        </w:rPr>
        <w:t>（</w:t>
      </w:r>
      <w:r>
        <w:rPr>
          <w:rFonts w:hint="eastAsia" w:ascii="Times New Roman" w:hAnsi="Times New Roman" w:eastAsia="方正仿宋_GBK" w:cs="宋体"/>
          <w:b w:val="0"/>
          <w:bCs w:val="0"/>
          <w:kern w:val="0"/>
          <w:sz w:val="32"/>
          <w:szCs w:val="32"/>
          <w:lang w:eastAsia="zh-CN"/>
        </w:rPr>
        <w:t>二</w:t>
      </w:r>
      <w:r>
        <w:rPr>
          <w:rFonts w:hint="eastAsia" w:ascii="Times New Roman" w:hAnsi="Times New Roman" w:eastAsia="方正仿宋_GBK" w:cs="宋体"/>
          <w:b w:val="0"/>
          <w:bCs w:val="0"/>
          <w:kern w:val="0"/>
          <w:sz w:val="32"/>
          <w:szCs w:val="32"/>
        </w:rPr>
        <w:t>）</w:t>
      </w:r>
      <w:r>
        <w:rPr>
          <w:rFonts w:hint="eastAsia" w:ascii="Times New Roman" w:hAnsi="Times New Roman" w:eastAsia="方正仿宋_GBK" w:cs="宋体"/>
          <w:b w:val="0"/>
          <w:bCs w:val="0"/>
          <w:kern w:val="0"/>
          <w:sz w:val="32"/>
          <w:szCs w:val="32"/>
          <w:lang w:eastAsia="zh-CN"/>
        </w:rPr>
        <w:t>绩效自评结果</w:t>
      </w:r>
    </w:p>
    <w:tbl>
      <w:tblPr>
        <w:tblStyle w:val="7"/>
        <w:tblW w:w="8863" w:type="dxa"/>
        <w:jc w:val="center"/>
        <w:tblLayout w:type="fixed"/>
        <w:tblCellMar>
          <w:top w:w="0" w:type="dxa"/>
          <w:left w:w="108" w:type="dxa"/>
          <w:bottom w:w="0" w:type="dxa"/>
          <w:right w:w="108" w:type="dxa"/>
        </w:tblCellMar>
      </w:tblPr>
      <w:tblGrid>
        <w:gridCol w:w="600"/>
        <w:gridCol w:w="750"/>
        <w:gridCol w:w="838"/>
        <w:gridCol w:w="780"/>
        <w:gridCol w:w="692"/>
        <w:gridCol w:w="690"/>
        <w:gridCol w:w="705"/>
        <w:gridCol w:w="945"/>
        <w:gridCol w:w="780"/>
        <w:gridCol w:w="1393"/>
        <w:gridCol w:w="690"/>
      </w:tblGrid>
      <w:tr>
        <w:tblPrEx>
          <w:tblCellMar>
            <w:top w:w="0" w:type="dxa"/>
            <w:left w:w="108" w:type="dxa"/>
            <w:bottom w:w="0" w:type="dxa"/>
            <w:right w:w="108" w:type="dxa"/>
          </w:tblCellMar>
        </w:tblPrEx>
        <w:trPr>
          <w:trHeight w:val="780" w:hRule="atLeast"/>
          <w:jc w:val="center"/>
        </w:trPr>
        <w:tc>
          <w:tcPr>
            <w:tcW w:w="8863" w:type="dxa"/>
            <w:gridSpan w:val="11"/>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小标宋_GBK" w:cs="方正小标宋_GBK"/>
                <w:color w:val="000000"/>
                <w:kern w:val="0"/>
                <w:sz w:val="36"/>
                <w:szCs w:val="36"/>
                <w:lang w:eastAsia="zh-CN" w:bidi="ar"/>
              </w:rPr>
            </w:pPr>
            <w:r>
              <w:rPr>
                <w:rFonts w:hint="eastAsia" w:ascii="Times New Roman" w:hAnsi="Times New Roman" w:eastAsia="方正小标宋_GBK" w:cs="方正小标宋_GBK"/>
                <w:color w:val="000000"/>
                <w:kern w:val="0"/>
                <w:sz w:val="36"/>
                <w:szCs w:val="36"/>
                <w:lang w:eastAsia="zh-CN" w:bidi="ar"/>
              </w:rPr>
              <w:t>重庆市万州区大数据应用发展管理局</w:t>
            </w:r>
          </w:p>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202</w:t>
            </w:r>
            <w:r>
              <w:rPr>
                <w:rFonts w:hint="eastAsia" w:ascii="Times New Roman" w:hAnsi="Times New Roman" w:eastAsia="方正小标宋_GBK" w:cs="方正小标宋_GBK"/>
                <w:color w:val="000000"/>
                <w:kern w:val="0"/>
                <w:sz w:val="36"/>
                <w:szCs w:val="36"/>
                <w:lang w:val="en-US" w:eastAsia="zh-CN" w:bidi="ar"/>
              </w:rPr>
              <w:t>3</w:t>
            </w:r>
            <w:r>
              <w:rPr>
                <w:rFonts w:hint="eastAsia" w:ascii="Times New Roman" w:hAnsi="Times New Roman" w:eastAsia="方正小标宋_GBK" w:cs="方正小标宋_GBK"/>
                <w:color w:val="000000"/>
                <w:kern w:val="0"/>
                <w:sz w:val="36"/>
                <w:szCs w:val="36"/>
                <w:lang w:bidi="ar"/>
              </w:rPr>
              <w:t>年度</w:t>
            </w:r>
            <w:r>
              <w:rPr>
                <w:rFonts w:hint="eastAsia" w:ascii="Times New Roman" w:hAnsi="Times New Roman" w:eastAsia="方正小标宋_GBK" w:cs="方正小标宋_GBK"/>
                <w:color w:val="000000"/>
                <w:kern w:val="0"/>
                <w:sz w:val="36"/>
                <w:szCs w:val="36"/>
                <w:lang w:eastAsia="zh-CN" w:bidi="ar"/>
              </w:rPr>
              <w:t>一般性</w:t>
            </w:r>
            <w:r>
              <w:rPr>
                <w:rFonts w:hint="eastAsia" w:ascii="Times New Roman" w:hAnsi="Times New Roman" w:eastAsia="方正小标宋_GBK" w:cs="方正小标宋_GBK"/>
                <w:color w:val="000000"/>
                <w:kern w:val="0"/>
                <w:sz w:val="36"/>
                <w:szCs w:val="36"/>
                <w:lang w:bidi="ar"/>
              </w:rPr>
              <w:t>项目支出绩效自评表</w:t>
            </w:r>
          </w:p>
        </w:tc>
      </w:tr>
      <w:tr>
        <w:tblPrEx>
          <w:tblCellMar>
            <w:top w:w="0" w:type="dxa"/>
            <w:left w:w="108" w:type="dxa"/>
            <w:bottom w:w="0" w:type="dxa"/>
            <w:right w:w="108" w:type="dxa"/>
          </w:tblCellMar>
        </w:tblPrEx>
        <w:trPr>
          <w:trHeight w:val="600" w:hRule="atLeast"/>
          <w:jc w:val="center"/>
        </w:trPr>
        <w:tc>
          <w:tcPr>
            <w:tcW w:w="60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序号</w:t>
            </w:r>
          </w:p>
        </w:tc>
        <w:tc>
          <w:tcPr>
            <w:tcW w:w="75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项目名称</w:t>
            </w:r>
          </w:p>
        </w:tc>
        <w:tc>
          <w:tcPr>
            <w:tcW w:w="838"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指标名称</w:t>
            </w:r>
          </w:p>
        </w:tc>
        <w:tc>
          <w:tcPr>
            <w:tcW w:w="78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指标性质</w:t>
            </w:r>
          </w:p>
        </w:tc>
        <w:tc>
          <w:tcPr>
            <w:tcW w:w="69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指标值</w:t>
            </w:r>
          </w:p>
        </w:tc>
        <w:tc>
          <w:tcPr>
            <w:tcW w:w="69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计量单位</w:t>
            </w:r>
          </w:p>
        </w:tc>
        <w:tc>
          <w:tcPr>
            <w:tcW w:w="70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指标权重</w:t>
            </w:r>
          </w:p>
        </w:tc>
        <w:tc>
          <w:tcPr>
            <w:tcW w:w="94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全年完成值</w:t>
            </w:r>
          </w:p>
        </w:tc>
        <w:tc>
          <w:tcPr>
            <w:tcW w:w="78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指标得分</w:t>
            </w:r>
          </w:p>
        </w:tc>
        <w:tc>
          <w:tcPr>
            <w:tcW w:w="1393"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说明</w:t>
            </w:r>
          </w:p>
        </w:tc>
        <w:tc>
          <w:tcPr>
            <w:tcW w:w="69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自评得分</w:t>
            </w:r>
          </w:p>
        </w:tc>
      </w:tr>
      <w:tr>
        <w:tblPrEx>
          <w:tblCellMar>
            <w:top w:w="0" w:type="dxa"/>
            <w:left w:w="108" w:type="dxa"/>
            <w:bottom w:w="0" w:type="dxa"/>
            <w:right w:w="108" w:type="dxa"/>
          </w:tblCellMar>
        </w:tblPrEx>
        <w:trPr>
          <w:trHeight w:val="432" w:hRule="atLeast"/>
          <w:jc w:val="center"/>
        </w:trPr>
        <w:tc>
          <w:tcPr>
            <w:tcW w:w="600" w:type="dxa"/>
            <w:vMerge w:val="restart"/>
            <w:tcBorders>
              <w:top w:val="single" w:color="000000" w:sz="4" w:space="0"/>
              <w:left w:val="single" w:color="000000" w:sz="4" w:space="0"/>
              <w:right w:val="single" w:color="000000" w:sz="4" w:space="0"/>
            </w:tcBorders>
            <w:noWrap/>
            <w:vAlign w:val="center"/>
          </w:tcPr>
          <w:p>
            <w:pPr>
              <w:jc w:val="center"/>
              <w:textAlignment w:val="center"/>
              <w:rPr>
                <w:rFonts w:ascii="Times New Roman" w:hAnsi="Times New Roman"/>
                <w:color w:val="000000"/>
                <w:sz w:val="22"/>
              </w:rPr>
            </w:pPr>
            <w:r>
              <w:rPr>
                <w:rFonts w:hint="eastAsia" w:ascii="Times New Roman" w:hAnsi="Times New Roman" w:eastAsia="方正仿宋_GBK" w:cs="方正仿宋_GBK"/>
                <w:color w:val="000000"/>
                <w:kern w:val="0"/>
                <w:sz w:val="18"/>
                <w:szCs w:val="18"/>
                <w:lang w:val="en-US" w:eastAsia="zh-CN" w:bidi="ar"/>
              </w:rPr>
              <w:t>1</w:t>
            </w:r>
          </w:p>
        </w:tc>
        <w:tc>
          <w:tcPr>
            <w:tcW w:w="750"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迁移上云信息系统回迁资金</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年度预算执行率</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c>
          <w:tcPr>
            <w:tcW w:w="690" w:type="dxa"/>
            <w:vMerge w:val="restart"/>
            <w:tcBorders>
              <w:top w:val="single" w:color="000000" w:sz="4" w:space="0"/>
              <w:left w:val="single" w:color="000000" w:sz="4" w:space="0"/>
              <w:right w:val="single" w:color="000000" w:sz="4" w:space="0"/>
            </w:tcBorders>
            <w:noWrap/>
            <w:vAlign w:val="center"/>
          </w:tcPr>
          <w:p>
            <w:pPr>
              <w:jc w:val="center"/>
              <w:rPr>
                <w:rFonts w:hint="default"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r>
      <w:tr>
        <w:tblPrEx>
          <w:tblCellMar>
            <w:top w:w="0" w:type="dxa"/>
            <w:left w:w="108" w:type="dxa"/>
            <w:bottom w:w="0" w:type="dxa"/>
            <w:right w:w="108" w:type="dxa"/>
          </w:tblCellMar>
        </w:tblPrEx>
        <w:trPr>
          <w:trHeight w:val="432" w:hRule="atLeast"/>
          <w:jc w:val="center"/>
        </w:trPr>
        <w:tc>
          <w:tcPr>
            <w:tcW w:w="600" w:type="dxa"/>
            <w:vMerge w:val="continue"/>
            <w:tcBorders>
              <w:left w:val="single" w:color="000000" w:sz="4" w:space="0"/>
              <w:right w:val="single" w:color="000000" w:sz="4" w:space="0"/>
            </w:tcBorders>
            <w:noWrap/>
            <w:vAlign w:val="center"/>
          </w:tcPr>
          <w:p>
            <w:pPr>
              <w:jc w:val="center"/>
              <w:textAlignment w:val="center"/>
              <w:rPr>
                <w:rFonts w:ascii="Times New Roman" w:hAnsi="Times New Roman"/>
                <w:color w:val="000000"/>
                <w:sz w:val="22"/>
              </w:rPr>
            </w:pPr>
          </w:p>
        </w:tc>
        <w:tc>
          <w:tcPr>
            <w:tcW w:w="750" w:type="dxa"/>
            <w:vMerge w:val="continue"/>
            <w:tcBorders>
              <w:left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信息系统回迁数量</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c>
          <w:tcPr>
            <w:tcW w:w="690" w:type="dxa"/>
            <w:vMerge w:val="continue"/>
            <w:tcBorders>
              <w:left w:val="single" w:color="000000" w:sz="4" w:space="0"/>
              <w:right w:val="single" w:color="000000" w:sz="4" w:space="0"/>
            </w:tcBorders>
            <w:noWrap/>
            <w:vAlign w:val="center"/>
          </w:tcPr>
          <w:p>
            <w:pPr>
              <w:jc w:val="center"/>
              <w:rPr>
                <w:rFonts w:hint="eastAsia" w:ascii="Times New Roman" w:hAnsi="Times New Roman" w:cs="宋体"/>
                <w:color w:val="000000"/>
                <w:sz w:val="22"/>
              </w:rPr>
            </w:pPr>
          </w:p>
        </w:tc>
      </w:tr>
      <w:tr>
        <w:tblPrEx>
          <w:tblCellMar>
            <w:top w:w="0" w:type="dxa"/>
            <w:left w:w="108" w:type="dxa"/>
            <w:bottom w:w="0" w:type="dxa"/>
            <w:right w:w="108" w:type="dxa"/>
          </w:tblCellMar>
        </w:tblPrEx>
        <w:trPr>
          <w:trHeight w:val="432" w:hRule="atLeast"/>
          <w:jc w:val="center"/>
        </w:trPr>
        <w:tc>
          <w:tcPr>
            <w:tcW w:w="600" w:type="dxa"/>
            <w:vMerge w:val="continue"/>
            <w:tcBorders>
              <w:left w:val="single" w:color="000000" w:sz="4" w:space="0"/>
              <w:right w:val="single" w:color="000000" w:sz="4" w:space="0"/>
            </w:tcBorders>
            <w:noWrap/>
            <w:vAlign w:val="center"/>
          </w:tcPr>
          <w:p>
            <w:pPr>
              <w:jc w:val="center"/>
              <w:textAlignment w:val="center"/>
              <w:rPr>
                <w:rFonts w:ascii="Times New Roman" w:hAnsi="Times New Roman"/>
                <w:color w:val="000000"/>
                <w:sz w:val="22"/>
              </w:rPr>
            </w:pPr>
          </w:p>
        </w:tc>
        <w:tc>
          <w:tcPr>
            <w:tcW w:w="750" w:type="dxa"/>
            <w:vMerge w:val="continue"/>
            <w:tcBorders>
              <w:left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系统平稳运行</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360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天</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365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c>
          <w:tcPr>
            <w:tcW w:w="690" w:type="dxa"/>
            <w:vMerge w:val="continue"/>
            <w:tcBorders>
              <w:left w:val="single" w:color="000000" w:sz="4" w:space="0"/>
              <w:right w:val="single" w:color="000000" w:sz="4" w:space="0"/>
            </w:tcBorders>
            <w:noWrap/>
            <w:vAlign w:val="center"/>
          </w:tcPr>
          <w:p>
            <w:pPr>
              <w:jc w:val="center"/>
              <w:rPr>
                <w:rFonts w:hint="eastAsia" w:ascii="Times New Roman" w:hAnsi="Times New Roman" w:cs="宋体"/>
                <w:color w:val="000000"/>
                <w:sz w:val="22"/>
              </w:rPr>
            </w:pPr>
          </w:p>
        </w:tc>
      </w:tr>
      <w:tr>
        <w:tblPrEx>
          <w:tblCellMar>
            <w:top w:w="0" w:type="dxa"/>
            <w:left w:w="108" w:type="dxa"/>
            <w:bottom w:w="0" w:type="dxa"/>
            <w:right w:w="108" w:type="dxa"/>
          </w:tblCellMar>
        </w:tblPrEx>
        <w:trPr>
          <w:trHeight w:val="432" w:hRule="atLeast"/>
          <w:jc w:val="center"/>
        </w:trPr>
        <w:tc>
          <w:tcPr>
            <w:tcW w:w="600" w:type="dxa"/>
            <w:vMerge w:val="continue"/>
            <w:tcBorders>
              <w:left w:val="single" w:color="000000" w:sz="4" w:space="0"/>
              <w:right w:val="single" w:color="000000" w:sz="4" w:space="0"/>
            </w:tcBorders>
            <w:noWrap/>
            <w:vAlign w:val="center"/>
          </w:tcPr>
          <w:p>
            <w:pPr>
              <w:jc w:val="center"/>
              <w:textAlignment w:val="center"/>
              <w:rPr>
                <w:rFonts w:ascii="Times New Roman" w:hAnsi="Times New Roman"/>
                <w:color w:val="000000"/>
                <w:sz w:val="22"/>
              </w:rPr>
            </w:pPr>
          </w:p>
        </w:tc>
        <w:tc>
          <w:tcPr>
            <w:tcW w:w="750"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用户满意度</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96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c>
          <w:tcPr>
            <w:tcW w:w="690" w:type="dxa"/>
            <w:vMerge w:val="continue"/>
            <w:tcBorders>
              <w:left w:val="single" w:color="000000" w:sz="4" w:space="0"/>
              <w:bottom w:val="single" w:color="000000" w:sz="4" w:space="0"/>
              <w:right w:val="single" w:color="000000" w:sz="4" w:space="0"/>
            </w:tcBorders>
            <w:noWrap/>
            <w:vAlign w:val="center"/>
          </w:tcPr>
          <w:p>
            <w:pPr>
              <w:jc w:val="center"/>
              <w:rPr>
                <w:rFonts w:hint="eastAsia" w:ascii="Times New Roman" w:hAnsi="Times New Roman" w:cs="宋体"/>
                <w:color w:val="000000"/>
                <w:sz w:val="22"/>
              </w:rPr>
            </w:pPr>
          </w:p>
        </w:tc>
      </w:tr>
      <w:tr>
        <w:tblPrEx>
          <w:tblCellMar>
            <w:top w:w="0" w:type="dxa"/>
            <w:left w:w="108" w:type="dxa"/>
            <w:bottom w:w="0" w:type="dxa"/>
            <w:right w:w="108" w:type="dxa"/>
          </w:tblCellMar>
        </w:tblPrEx>
        <w:trPr>
          <w:trHeight w:val="432" w:hRule="atLeast"/>
          <w:jc w:val="center"/>
        </w:trPr>
        <w:tc>
          <w:tcPr>
            <w:tcW w:w="600" w:type="dxa"/>
            <w:vMerge w:val="restart"/>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全区政务信息化项目管理专项工作经费</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年度预算执行率</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69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r>
      <w:tr>
        <w:tblPrEx>
          <w:tblCellMar>
            <w:top w:w="0" w:type="dxa"/>
            <w:left w:w="108" w:type="dxa"/>
            <w:bottom w:w="0" w:type="dxa"/>
            <w:right w:w="108" w:type="dxa"/>
          </w:tblCellMar>
        </w:tblPrEx>
        <w:trPr>
          <w:trHeight w:val="432" w:hRule="atLeast"/>
          <w:jc w:val="center"/>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审批件数</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件</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47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2023年实际审批47件</w:t>
            </w:r>
          </w:p>
        </w:tc>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432" w:hRule="atLeast"/>
          <w:jc w:val="center"/>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审批周期</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14</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天</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432" w:hRule="atLeast"/>
          <w:jc w:val="center"/>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及时办结率</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96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432" w:hRule="atLeast"/>
          <w:jc w:val="center"/>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财政资金节约率</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432" w:hRule="atLeast"/>
          <w:jc w:val="center"/>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投诉率</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2023年未收到投诉</w:t>
            </w:r>
          </w:p>
        </w:tc>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r>
    </w:tbl>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w:t>
      </w:r>
      <w:r>
        <w:rPr>
          <w:rFonts w:hint="eastAsia" w:ascii="Times New Roman" w:hAnsi="Times New Roman" w:eastAsia="楷体" w:cs="楷体"/>
          <w:b w:val="0"/>
          <w:bCs w:val="0"/>
          <w:sz w:val="32"/>
          <w:szCs w:val="32"/>
          <w:shd w:val="clear" w:color="auto" w:fill="FFFFFF"/>
          <w:lang w:eastAsia="zh-CN"/>
        </w:rPr>
        <w:t>三</w:t>
      </w:r>
      <w:r>
        <w:rPr>
          <w:rFonts w:hint="eastAsia" w:ascii="Times New Roman" w:hAnsi="Times New Roman" w:eastAsia="楷体" w:cs="楷体"/>
          <w:b w:val="0"/>
          <w:bCs w:val="0"/>
          <w:sz w:val="32"/>
          <w:szCs w:val="32"/>
          <w:shd w:val="clear" w:color="auto" w:fill="FFFFFF"/>
        </w:rPr>
        <w:t>）</w:t>
      </w:r>
      <w:r>
        <w:rPr>
          <w:rFonts w:hint="eastAsia" w:ascii="Times New Roman" w:hAnsi="Times New Roman" w:eastAsia="楷体" w:cs="楷体"/>
          <w:b w:val="0"/>
          <w:bCs w:val="0"/>
          <w:sz w:val="32"/>
          <w:szCs w:val="32"/>
          <w:shd w:val="clear" w:color="auto" w:fill="FFFFFF"/>
          <w:lang w:eastAsia="zh-CN"/>
        </w:rPr>
        <w:t>部门</w:t>
      </w:r>
      <w:r>
        <w:rPr>
          <w:rFonts w:hint="eastAsia" w:ascii="Times New Roman" w:hAnsi="Times New Roman" w:eastAsia="楷体" w:cs="楷体"/>
          <w:b w:val="0"/>
          <w:bCs w:val="0"/>
          <w:sz w:val="32"/>
          <w:szCs w:val="32"/>
          <w:shd w:val="clear" w:color="auto" w:fill="FFFFFF"/>
        </w:rPr>
        <w:t>绩效评价情况</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宋体"/>
          <w:b w:val="0"/>
          <w:bCs w:val="0"/>
          <w:kern w:val="0"/>
          <w:sz w:val="32"/>
          <w:szCs w:val="32"/>
        </w:rPr>
        <w:t>我部门（单位）未组织开展绩效评价。</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w:t>
      </w:r>
      <w:r>
        <w:rPr>
          <w:rFonts w:hint="eastAsia" w:ascii="Times New Roman" w:hAnsi="Times New Roman" w:eastAsia="楷体" w:cs="楷体"/>
          <w:b w:val="0"/>
          <w:bCs w:val="0"/>
          <w:sz w:val="32"/>
          <w:szCs w:val="32"/>
          <w:shd w:val="clear" w:color="auto" w:fill="FFFFFF"/>
          <w:lang w:eastAsia="zh-CN"/>
        </w:rPr>
        <w:t>四</w:t>
      </w:r>
      <w:r>
        <w:rPr>
          <w:rFonts w:hint="eastAsia" w:ascii="Times New Roman" w:hAnsi="Times New Roman" w:eastAsia="楷体" w:cs="楷体"/>
          <w:b w:val="0"/>
          <w:bCs w:val="0"/>
          <w:sz w:val="32"/>
          <w:szCs w:val="32"/>
          <w:shd w:val="clear" w:color="auto" w:fill="FFFFFF"/>
        </w:rPr>
        <w:t>）财政绩效评价情况</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宋体"/>
          <w:b w:val="0"/>
          <w:bCs w:val="0"/>
          <w:kern w:val="0"/>
          <w:sz w:val="32"/>
          <w:szCs w:val="32"/>
          <w:lang w:eastAsia="zh-CN"/>
        </w:rPr>
        <w:t>区财政局未委托第三方对我单位开展绩效评价。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0"/>
          <w:rFonts w:hint="default" w:ascii="Times New Roman" w:hAnsi="Times New Roman" w:eastAsia="方正仿宋_GBK" w:cs="方正仿宋_GBK"/>
          <w:b w:val="0"/>
          <w:bCs w:val="0"/>
          <w:sz w:val="32"/>
          <w:szCs w:val="32"/>
          <w:shd w:val="clear" w:color="auto" w:fill="FFFFFF"/>
        </w:rPr>
      </w:pPr>
      <w:r>
        <w:rPr>
          <w:rStyle w:val="10"/>
          <w:rFonts w:ascii="Times New Roman" w:hAnsi="Times New Roman" w:eastAsia="黑体" w:cs="黑体"/>
          <w:b w:val="0"/>
          <w:bCs w:val="0"/>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楷体" w:cs="楷体"/>
          <w:b w:val="0"/>
          <w:bCs w:val="0"/>
          <w:sz w:val="32"/>
          <w:szCs w:val="32"/>
          <w:shd w:val="clear" w:color="auto" w:fill="FFFFFF"/>
        </w:rPr>
        <w:t>（一）财政拨款收入：</w:t>
      </w:r>
      <w:r>
        <w:rPr>
          <w:rFonts w:ascii="Times New Roman" w:hAnsi="Times New Roman" w:eastAsia="方正仿宋_GBK" w:cs="方正仿宋_GBK"/>
          <w:b w:val="0"/>
          <w:bCs w:val="0"/>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（二）事业收入</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（三）经营收入</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（四）其他收入</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（五）使用非财政拨款结余</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（六）年初结转和结余</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（七）结余分配</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（八）年末结转和结余</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（九）基本支出</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（十）项目支出</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（十一）经营支出</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（十二）“三公”经费</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（十三）机关运行经费</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（十四）工资福利支出（支出经济分类科目类级）</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（十五）商品和服务支出（支出经济分类科目类级）</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（十六）对个人和家庭的补助（支出经济分类科目类级）</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（十七）其他资本性支出（支出经济分类科目类级）</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方正仿宋_GBK" w:cs="方正仿宋_GBK"/>
          <w:b w:val="0"/>
          <w:bCs w:val="0"/>
          <w:sz w:val="32"/>
          <w:szCs w:val="32"/>
          <w:shd w:val="clear" w:color="auto" w:fill="FFFFFF"/>
        </w:rPr>
      </w:pPr>
      <w:r>
        <w:rPr>
          <w:rStyle w:val="10"/>
          <w:rFonts w:ascii="Times New Roman" w:hAnsi="Times New Roman" w:eastAsia="方正仿宋_GBK" w:cs="方正仿宋_GBK"/>
          <w:b w:val="0"/>
          <w:bCs w:val="0"/>
          <w:sz w:val="32"/>
          <w:szCs w:val="32"/>
          <w:shd w:val="clear" w:color="auto" w:fill="FFFFFF"/>
        </w:rPr>
        <w:t xml:space="preserve">  </w:t>
      </w:r>
      <w:r>
        <w:rPr>
          <w:rStyle w:val="10"/>
          <w:rFonts w:ascii="Times New Roman" w:hAnsi="Times New Roman" w:eastAsia="黑体" w:cs="黑体"/>
          <w:b w:val="0"/>
          <w:bCs w:val="0"/>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本单位决算公开信息反馈和联系方式：</w:t>
      </w:r>
      <w:r>
        <w:rPr>
          <w:rFonts w:hint="eastAsia" w:ascii="Times New Roman" w:hAnsi="Times New Roman" w:eastAsia="方正仿宋_GBK" w:cs="方正仿宋_GBK"/>
          <w:b w:val="0"/>
          <w:bCs w:val="0"/>
          <w:sz w:val="32"/>
          <w:szCs w:val="32"/>
          <w:shd w:val="clear" w:color="auto" w:fill="FFFFFF"/>
          <w:lang w:eastAsia="zh-CN"/>
        </w:rPr>
        <w:t>涂人文，</w:t>
      </w:r>
      <w:r>
        <w:rPr>
          <w:rFonts w:hint="eastAsia" w:ascii="Times New Roman" w:hAnsi="Times New Roman" w:eastAsia="方正仿宋_GBK" w:cs="方正仿宋_GBK"/>
          <w:b w:val="0"/>
          <w:bCs w:val="0"/>
          <w:sz w:val="32"/>
          <w:szCs w:val="32"/>
          <w:shd w:val="clear" w:color="auto" w:fill="FFFFFF"/>
          <w:lang w:val="en-US" w:eastAsia="zh-CN"/>
        </w:rPr>
        <w:t>023-58966399。</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2" w:firstLineChars="200"/>
        <w:textAlignment w:val="auto"/>
        <w:rPr>
          <w:rStyle w:val="10"/>
          <w:rFonts w:ascii="Times New Roman" w:hAnsi="Times New Roman" w:eastAsia="方正仿宋_GBK" w:cs="方正仿宋_GBK"/>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重庆市万州区大数据应用发展管理局（本级）</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242.39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175.44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7.95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22.26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7.17</w:t>
            </w:r>
            <w:r>
              <w:rPr>
                <w:color w:val="000000"/>
                <w:sz w:val="20"/>
                <w:u w:color="auto"/>
              </w:rPr>
              <w:t xml:space="preserve"> </w:t>
            </w:r>
          </w:p>
        </w:tc>
      </w:tr>
      <w:tr>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9.56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242.39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242.39</w:t>
            </w:r>
            <w:r>
              <w:rPr>
                <w:color w:val="000000"/>
                <w:sz w:val="20"/>
                <w:u w:color="auto"/>
              </w:rPr>
              <w:t xml:space="preserve"> </w:t>
            </w:r>
          </w:p>
        </w:tc>
      </w:tr>
      <w:tr>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242.39</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242.39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重庆市万州区大数据应用发展管理局（本级）</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242.39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242.39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其他工业和信息产业监管支出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重庆市万州区大数据应用发展管理局（本级）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242.39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170.41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71.97</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175.44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44.02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131.41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131.41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44.02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其他工业和信息产业监管支出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重庆市万州区大数据应用发展管理局（本级）</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242.39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175.44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175.44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242.39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242.39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242.39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242.39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242.39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242.39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重庆市万州区大数据应用发展管理局（本级）</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242.39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170.41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71.97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175.44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131.41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44.02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131.41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131.41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131.41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131.41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44.02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44.02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44.02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44.02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其他工业和信息产业监管支出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重庆市万州区大数据应用发展管理局（本级）</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150.99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47.42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150.99</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19.42</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重庆市万州区大数据应用发展管理局（本级）</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重庆市万州区大数据应用发展管理局（本级）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重庆市万州区大数据应用发展管理局（本级）</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19.42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0.95</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0.95</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19.42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0.76</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0.76</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0.76</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0.76</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0.19</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0.73</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862D73"/>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6A6D8A"/>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EBFDCF2"/>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EB8E15"/>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3FFF9772"/>
    <w:rsid w:val="4004000C"/>
    <w:rsid w:val="40BD5482"/>
    <w:rsid w:val="411B6CE5"/>
    <w:rsid w:val="412070D7"/>
    <w:rsid w:val="41314E40"/>
    <w:rsid w:val="41E0734B"/>
    <w:rsid w:val="426C1EA8"/>
    <w:rsid w:val="42736402"/>
    <w:rsid w:val="427FAD0A"/>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AC6ADA"/>
    <w:rsid w:val="55BE2E85"/>
    <w:rsid w:val="56530F5D"/>
    <w:rsid w:val="567700D3"/>
    <w:rsid w:val="56FF7E9E"/>
    <w:rsid w:val="578867FC"/>
    <w:rsid w:val="5842572D"/>
    <w:rsid w:val="5A3B59D6"/>
    <w:rsid w:val="5AD134D8"/>
    <w:rsid w:val="5C263CE4"/>
    <w:rsid w:val="5C5D2777"/>
    <w:rsid w:val="5CF66BF3"/>
    <w:rsid w:val="5D290C69"/>
    <w:rsid w:val="5DDB6493"/>
    <w:rsid w:val="5F2D4A41"/>
    <w:rsid w:val="5F96F9B9"/>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AF5347"/>
    <w:rsid w:val="6C0A5AC5"/>
    <w:rsid w:val="6C560CAE"/>
    <w:rsid w:val="6C576495"/>
    <w:rsid w:val="6D903FF5"/>
    <w:rsid w:val="6DA955B8"/>
    <w:rsid w:val="6DE346AB"/>
    <w:rsid w:val="6DE5391A"/>
    <w:rsid w:val="6EC76C88"/>
    <w:rsid w:val="6EFD1324"/>
    <w:rsid w:val="6F5A53AC"/>
    <w:rsid w:val="6FAC003D"/>
    <w:rsid w:val="6FCBB739"/>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FF62C2"/>
    <w:rsid w:val="7B420052"/>
    <w:rsid w:val="7BD06A28"/>
    <w:rsid w:val="7BD8572D"/>
    <w:rsid w:val="7BF5F024"/>
    <w:rsid w:val="7C123BAF"/>
    <w:rsid w:val="7C3A7C0B"/>
    <w:rsid w:val="7C5248E4"/>
    <w:rsid w:val="7C566698"/>
    <w:rsid w:val="7C5866A3"/>
    <w:rsid w:val="7D7406BB"/>
    <w:rsid w:val="7D7F30CD"/>
    <w:rsid w:val="7DDF3CF7"/>
    <w:rsid w:val="7DE94331"/>
    <w:rsid w:val="7EF71A33"/>
    <w:rsid w:val="7F446A19"/>
    <w:rsid w:val="7F7452B9"/>
    <w:rsid w:val="7F9CF189"/>
    <w:rsid w:val="7FF358CC"/>
    <w:rsid w:val="AD79E4BA"/>
    <w:rsid w:val="ADA3068C"/>
    <w:rsid w:val="B67FEFCD"/>
    <w:rsid w:val="B8AD9D85"/>
    <w:rsid w:val="BBBFABF7"/>
    <w:rsid w:val="C70B8E1B"/>
    <w:rsid w:val="C9FFBFBF"/>
    <w:rsid w:val="D85F0BE9"/>
    <w:rsid w:val="DBFE43FF"/>
    <w:rsid w:val="E17F1948"/>
    <w:rsid w:val="E5B73A8E"/>
    <w:rsid w:val="E75AC850"/>
    <w:rsid w:val="EB7F9C7D"/>
    <w:rsid w:val="EEFD78D7"/>
    <w:rsid w:val="F1E88AA3"/>
    <w:rsid w:val="F9390513"/>
    <w:rsid w:val="FBEDCB3D"/>
    <w:rsid w:val="FF7BF9EA"/>
    <w:rsid w:val="FF7D2E3A"/>
    <w:rsid w:val="FFEFF048"/>
    <w:rsid w:val="FFFFA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71</TotalTime>
  <ScaleCrop>false</ScaleCrop>
  <LinksUpToDate>false</LinksUpToDate>
  <CharactersWithSpaces>26759</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2024-07-15T02:00:00Z</dcterms:created>
  <dc:creator>Administrator</dc:creator>
  <cp:lastModifiedBy>huaweri</cp:lastModifiedBy>
  <dcterms:modified xsi:type="dcterms:W3CDTF">2024-11-04T09:51:27Z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BB46EABDBB2749749395447164B066B3_12</vt:lpwstr>
  </property>
</Properties>
</file>