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N/>
        <w:bidi w:val="0"/>
        <w:adjustRightInd/>
        <w:spacing w:before="0" w:beforeAutospacing="0" w:after="0" w:afterAutospacing="0" w:line="600" w:lineRule="exact"/>
        <w:jc w:val="center"/>
        <w:textAlignment w:val="auto"/>
        <w:rPr>
          <w:rFonts w:ascii="Times New Roman" w:hAnsi="Times New Roman" w:eastAsia="方正小标宋_GBK" w:cs="方正小标宋_GBK"/>
          <w:sz w:val="44"/>
          <w:szCs w:val="44"/>
        </w:rPr>
      </w:pPr>
      <w:r>
        <w:rPr>
          <w:rFonts w:ascii="Times New Roman" w:hAnsi="Times New Roman" w:eastAsia="方正小标宋_GBK" w:cs="方正小标宋_GBK"/>
          <w:sz w:val="44"/>
          <w:szCs w:val="44"/>
        </w:rPr>
        <w:t>重庆市万州区大数据应用发展管理局</w:t>
      </w:r>
    </w:p>
    <w:p>
      <w:pPr>
        <w:pStyle w:val="6"/>
        <w:keepNext w:val="0"/>
        <w:keepLines w:val="0"/>
        <w:pageBreakBefore w:val="0"/>
        <w:widowControl w:val="0"/>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方正小标宋_GBK"/>
          <w:sz w:val="44"/>
          <w:szCs w:val="44"/>
          <w:shd w:val="clear" w:color="auto" w:fill="FFFFFF"/>
        </w:rPr>
      </w:pPr>
      <w:r>
        <w:rPr>
          <w:rFonts w:ascii="Times New Roman" w:hAnsi="Times New Roman" w:eastAsia="方正小标宋_GBK" w:cs="方正小标宋_GBK"/>
          <w:sz w:val="44"/>
          <w:szCs w:val="44"/>
          <w:shd w:val="clear" w:color="auto" w:fill="FFFFFF"/>
        </w:rPr>
        <w:t>2023年度决算公开说明</w:t>
      </w:r>
    </w:p>
    <w:p>
      <w:pPr>
        <w:pStyle w:val="6"/>
        <w:keepNext w:val="0"/>
        <w:keepLines w:val="0"/>
        <w:pageBreakBefore w:val="0"/>
        <w:widowControl w:val="0"/>
        <w:shd w:val="clear" w:color="auto" w:fill="FFFFFF"/>
        <w:kinsoku/>
        <w:wordWrap/>
        <w:overflowPunct/>
        <w:topLinePunct w:val="0"/>
        <w:autoSpaceDN/>
        <w:bidi w:val="0"/>
        <w:adjustRightInd/>
        <w:spacing w:beforeAutospacing="0" w:after="0" w:afterAutospacing="0" w:line="600" w:lineRule="exact"/>
        <w:textAlignment w:val="auto"/>
        <w:rPr>
          <w:rStyle w:val="10"/>
          <w:rFonts w:ascii="Times New Roman" w:hAnsi="Times New Roman" w:eastAsia="黑体" w:cs="黑体"/>
          <w:sz w:val="32"/>
          <w:szCs w:val="32"/>
          <w:shd w:val="clear" w:color="auto" w:fill="FFFFFF"/>
        </w:rPr>
      </w:pP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2" w:firstLineChars="200"/>
        <w:textAlignment w:val="auto"/>
        <w:rPr>
          <w:rFonts w:hint="default" w:ascii="Times New Roman" w:hAnsi="Times New Roman" w:eastAsia="黑体" w:cs="黑体"/>
          <w:sz w:val="32"/>
          <w:szCs w:val="32"/>
        </w:rPr>
      </w:pPr>
      <w:r>
        <w:rPr>
          <w:rStyle w:val="10"/>
          <w:rFonts w:ascii="Times New Roman" w:hAnsi="Times New Roman" w:eastAsia="黑体" w:cs="黑体"/>
          <w:sz w:val="32"/>
          <w:szCs w:val="32"/>
          <w:shd w:val="clear" w:color="auto" w:fill="FFFFFF"/>
        </w:rPr>
        <w:t>一</w:t>
      </w:r>
      <w:r>
        <w:rPr>
          <w:rStyle w:val="10"/>
          <w:rFonts w:ascii="Times New Roman" w:hAnsi="Times New Roman" w:eastAsia="黑体" w:cs="黑体"/>
          <w:b w:val="0"/>
          <w:bCs/>
          <w:sz w:val="32"/>
          <w:szCs w:val="32"/>
          <w:shd w:val="clear" w:color="auto" w:fill="FFFFFF"/>
        </w:rPr>
        <w:t>、部门基本情况</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方正仿宋_GBK"/>
          <w:sz w:val="32"/>
          <w:szCs w:val="32"/>
        </w:rPr>
      </w:pPr>
      <w:r>
        <w:rPr>
          <w:rStyle w:val="10"/>
          <w:rFonts w:ascii="Times New Roman" w:hAnsi="Times New Roman" w:eastAsia="楷体" w:cs="楷体"/>
          <w:b w:val="0"/>
          <w:bCs/>
          <w:sz w:val="32"/>
          <w:szCs w:val="32"/>
          <w:shd w:val="clear" w:color="auto" w:fill="FFFFFF"/>
        </w:rPr>
        <w:t>（一）职能职责</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color w:val="auto"/>
          <w:sz w:val="32"/>
          <w:szCs w:val="32"/>
          <w:shd w:val="clear" w:color="auto" w:fill="FFFFFF"/>
        </w:rPr>
        <w:t>1、区大数据发展局职能职责。贯彻落实全市大数据、人工智能、信息化相关政策法规和相关地方行业技术规范和标准。负责研究拟订全区大数据、人工智能、信息化发展战略，编制全区大数据、人工智能、信息化发展规划和年度计划，拟定相关政策措施和评价考核体系并组织实施。负责数据资源建设、管理，促进大数据政用、民用、商用。负责推进全区政府数据采集汇聚、登记管理、共享开放。负责推动社会数据汇聚融合、互联互通、资源共享。负责研究推进数据资源的流通交易。负责推进社会公共信息资源整合和应用。负责全区大数据应用发展管理。统筹推进大数据、人工智能等新一代信息技术和国民经济各领域融合应用。推动大数据、人工智能等产学研用结合，推动大数据、人工智能等新兴领域发展。负责推进全区信息化应用工作。负责组织编制全区信息化发展规划并组织实施。统筹推进全区智慧城市和智慧政务建设。负责组织协调跨部门、跨行业、跨领域的信息化应用，协调解决信息化建设中的重大问题。统筹协调全区信息化项目建设。负责协调全区信息基础设施建设。组织编制全区数据中心规划并组织实施。协调推动下一代网络部署和规模化商用。负责推动大数据、人工智能、信息化领域对外交流合作。组织参与各类重大交流合作活动，指导开展区域化合作、国际化经营，承办相关活动。指导大数据、人工智能、信息化人才队伍建设工作。指导相关行业协会、学会、联盟机构工作。负责协调推进数据基础制度建设，统筹数据资源整合共享和开发利用，统筹数字重庆、数字社会规划和建设。负责协调推动公共服务和社会治理信息化，协调全区重要信息资源开发利用和共享。</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2、区党政信息中心（二级单位）职能职责。贯彻执行有关政务信息化和电子政务建设的法律、法规和方针政策，为全区党委、政府信息化建设提供服务保障。承担全区党委系统信息化建设工作。承担信息化系统建设和运行维护工作，做好电子政务内网应用推广和技术服务。承担全区政务系统信息化建设工作。承担政务信息化系统建设、运行维护和管理工作，做好电子政务应用推广和技术服务。承担全区电子政务外网的规划建设、应用开发、运行维护及网络核心机房的运行维护和管理工作。承担万州区人民政府网站日常运行保障工作，协助相关单位做好网站建设管理和政务信息公开。承担全区政务大数据、云计算、应用开发、平台建设等技术服务工作。承担全区政务数据汇聚、整理、应用、开发等工作。协助做好数字政府、智慧城市等重要信息化项目建设和应用推广工作，对相关智慧应用场景建设提供技术服务。完成区委、区政府和区大数据发展局交办的其他任务。</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shd w:val="clear" w:color="auto" w:fill="FFFFFF"/>
        </w:rPr>
        <w:t>3、区大数据发展服务中心（二级单位）职能职责。（根据中共重庆市万州区委机构编制委员会《关于同意设立重庆市万州区大数据发展服务中心的批复》（万州委编委〔2023〕23号）文件，设立重庆市万州区大数据发展服务中心）承担全区数字化改革各领域的数据开发利用事务性工作，促进全区大数据产业发展；为全区经济社会发展及以大数据产业为重点的信息产业提供信息和技术服务；承担政府投资信息化相关重点项目的建设、运维管理、推广应用工作，承担全区相关智慧化应用场景建设的技术指导工作，承担全区政务协同办公系统的建设、运维管理事务性工作；协助开展政府数字化转型等相关重大项目建设工作；承担全区政务数据及公共数据归集整理、开发利用、开放共享等事务性工作，承担政府投资信息化项目及“城市大脑”项目的技术审核、全流程管理事务性工作；挖掘全区大数据资源价值，推动大数据智能化与经济社会深度融合发展；负责数字化发展相关数据统计分析应用，参与数字化发展相关政策研究以及产业发展规划编制等；完成区委、区政府和区大数据发展局交办的其他任务。</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楷体" w:cs="楷体"/>
          <w:b w:val="0"/>
          <w:bCs/>
          <w:sz w:val="32"/>
          <w:szCs w:val="32"/>
        </w:rPr>
      </w:pPr>
      <w:r>
        <w:rPr>
          <w:rStyle w:val="10"/>
          <w:rFonts w:ascii="Times New Roman" w:hAnsi="Times New Roman" w:eastAsia="楷体" w:cs="楷体"/>
          <w:b w:val="0"/>
          <w:bCs/>
          <w:sz w:val="32"/>
          <w:szCs w:val="32"/>
          <w:shd w:val="clear" w:color="auto" w:fill="FFFFFF"/>
        </w:rPr>
        <w:t>（二）机构设置</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重庆市万州区大数据应用发展管理局（本级）；重庆市万州区党政信息中心；重庆市万州区大数据发展服务中心。</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1、重庆市万州区大数据应用发展管理局</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重庆市万州区大数据应用发展管理局是区政府工作部门，为正处级。内设机构：综合科、应用发展科、规划建设管理科。</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（1）综合科</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负责机关文电、机要、保密、档案、信息、信访、应急、安全、会务、外事等工作。承担综合性材料等重要文稿起草工作。负责机关日常工作协调和重大事项督办督查、目标管理工作。负责机关财务管理等相关工作。负责机关及所属单位机构编制、组织人事、社会保障、退休干部服务等工作。负责有关培训工作，指导大数据、人工智能、信息化人才队伍建设。负责组织开展大数据、人工智能、信息化领域新闻宣传。负责机关和所属单位的党群工作。负责本局乡村振兴工作。负责监督实施相关政策法律法规、政府规章和相关地方标准规范。负责重大项目谈判和合同审签，依法处理涉法事务。承担有关规范性文件的合法性审查工作。承担行政执法监督、行政复议、行政应诉工作。</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（2）应用发展科</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承担组织协调跨部门、跨行业、跨领域大数据应用工作。推动全区智能机关建设，推进各级机关办公、服务智能化。承担统筹推动渝快政、渝快办等数字重庆一体化智能化公共数据平台建设。负责协调推动重点行业、领域大数据应用工作。负责推动大数据、人工智能等新一代信息技术在国民经济各领域融合应用，促进大数据商用，推动大数据、人工智能等新兴领域的新产品、新服务、新模式、新业态的建设。推动大数据、人工智能等产学研用结合。推动数据资源分级分类管理和商用。协调推动下一代网络部署和规模化商用。负责协调推动全区信息网络行业发展工作。协调推动全区公共服务和社会治理信息化。推动相关领域对外交流合作，组织参与各类重大交流合作活动。指导相关行业协会、学会、联盟机构工作。</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（3）规划建设管理科</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承担统筹数据要素工作，统筹数据要素产权、流通、分配、治理等基础制度建设并实施。探索推进数据资源的流通交易，研究提出培育数据要素市场的政策建议，引导数据交易向数据交易场所汇聚。协调推进公共数据确权授权。贯彻执行数据基础设施制度建设、数据要素市场建设、数据标准规范、数据基础设施建设中的相关数据安全政策，建立数据安全管理制度。承担协同开展网络数据跨境流动安全评估和监管工作。负责全区数据资源体系的建设和管理工作。承担全区政务数据的统筹管理，推进政务数据的采集、存储、登记、共享等工作，推动数据资源整合共享和开发利用，协调全区重要信息资源开发利用与共享、推动信息资源跨行业跨部门互联互通。负责协调全区数字基础设施布局建设工作，组织编制有关数字基础设施布局规划并组织实施，承担全区电子政务外网、视联网、电子政务云平台、区块链、物联感知网络等布局规划，指导相关建设。协调数字重庆云平台建设使用。负责统筹推进数字重庆、数字社会规划和建设。承担协调促进全区智慧城市建设。</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2、重庆市万州区党政信息中心</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重庆市万州区党政信息中心是区财政全额拨款的事业单位，内设5科1室。</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（1）办公室</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承担综合协调和重大事项的督查督办工作。负责会务、公文、财务、后勤、公务接待、物资管理等工作。负责党建、人事、政工、老年、工会、统计、机要保密、档案、住房公积金、社会保障保险等工作。承担岗位责任目标的落实及考核奖惩等工作。</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（2）外网管理科</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承担电子政务外网及互联网安全接入规划建设、日常运行维护和管理工作。承担电子政务外网网络、平台、应用系统的技术支撑，确保全区电子政务外网网络及应用的正常运行。贯彻执行重庆市电子政务外网管理办法。负责做好电子政务外网核心机房的日常管理维护、网络安全保障及管理工作。</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（3）内网建设科</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承担区委办公室信息化系统及电子政务内网的建设、运行维护等工作。</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（4）大数据发展科</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承担全区政务大数据、云计算、应用开发、平台建设等技术服务工作。承接全区政务数据汇聚、整理、应用、开发、交易等相关工作。承担“智慧万州”城市综合运行管理指挥中心的日常运行管理、技术维护及综合服务工作。</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（5）应用开发科</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协助做好智慧万州、智慧政务、数字政府等重要信息化项目的建设和推广应用，对相关智慧应用场景建设提供技术指导。指导全区政务应用系统建设工作。配合做好全区使用财政资金的非涉密信息化项目及与智慧万州高度关联的信息化项目的技术指导工作。</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（6）信息与网站科</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承担万州区人民政府网站的建设和运行维护工作，协助区政府办公室做好网站政务信息公开。负责万州区人民政府网站的技术支持，保障网站安全稳定运行。负责单位内部刊物的编辑和印发工作，为领导决策提供参考。</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3、重庆市万州区大数据发展服务中心</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重庆市万州区大数据发展服务中心为2023年年中新增的全额拨款事业单位，无内设科室。</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黑体" w:cs="黑体"/>
          <w:b w:val="0"/>
          <w:bCs/>
          <w:sz w:val="32"/>
          <w:szCs w:val="32"/>
          <w:shd w:val="clear" w:color="auto" w:fill="FFFFFF"/>
        </w:rPr>
      </w:pPr>
      <w:r>
        <w:rPr>
          <w:rStyle w:val="10"/>
          <w:rFonts w:ascii="Times New Roman" w:hAnsi="Times New Roman" w:eastAsia="黑体" w:cs="黑体"/>
          <w:b w:val="0"/>
          <w:bCs/>
          <w:sz w:val="32"/>
          <w:szCs w:val="32"/>
          <w:shd w:val="clear" w:color="auto" w:fill="FFFFFF"/>
        </w:rPr>
        <w:t>二、部门决算情况说明</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sz w:val="32"/>
          <w:szCs w:val="32"/>
          <w:shd w:val="clear" w:color="auto" w:fill="FFFFFF"/>
        </w:rPr>
      </w:pPr>
      <w:r>
        <w:rPr>
          <w:rFonts w:hint="eastAsia" w:ascii="Times New Roman" w:hAnsi="Times New Roman" w:eastAsia="楷体" w:cs="楷体"/>
          <w:b w:val="0"/>
          <w:bCs/>
          <w:sz w:val="32"/>
          <w:szCs w:val="32"/>
          <w:shd w:val="clear" w:color="auto" w:fill="FFFFFF"/>
        </w:rPr>
        <w:t>（一）收入支出决算总体情况说明。</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b w:val="0"/>
          <w:bCs/>
          <w:sz w:val="32"/>
          <w:szCs w:val="32"/>
          <w:shd w:val="clear" w:color="auto" w:fill="FFFFFF"/>
        </w:rPr>
        <w:t>1.总体情况。</w:t>
      </w:r>
      <w:r>
        <w:rPr>
          <w:rFonts w:ascii="Times New Roman" w:hAnsi="Times New Roman" w:eastAsia="方正仿宋_GBK" w:cs="方正仿宋_GBK"/>
          <w:sz w:val="32"/>
          <w:szCs w:val="32"/>
          <w:shd w:val="clear" w:color="auto" w:fill="FFFFFF"/>
        </w:rPr>
        <w:t>2023年度收入总计1239.38万元，支出总计</w:t>
      </w:r>
      <w:r>
        <w:rPr>
          <w:rFonts w:ascii="Times New Roman" w:hAnsi="Times New Roman" w:eastAsia="方正仿宋_GBK" w:cs="方正仿宋_GBK"/>
          <w:sz w:val="32"/>
          <w:szCs w:val="32"/>
        </w:rPr>
        <w:t>1239.38</w:t>
      </w:r>
      <w:r>
        <w:rPr>
          <w:rFonts w:ascii="Times New Roman" w:hAnsi="Times New Roman" w:eastAsia="方正仿宋_GBK" w:cs="方正仿宋_GBK"/>
          <w:sz w:val="32"/>
          <w:szCs w:val="32"/>
          <w:shd w:val="clear" w:color="auto" w:fill="FFFFFF"/>
        </w:rPr>
        <w:t>万元。收支较上年决算数增加44.28万元，增长3.7%，主要原因是</w:t>
      </w:r>
      <w:r>
        <w:rPr>
          <w:rFonts w:hint="eastAsia" w:ascii="Times New Roman" w:hAnsi="Times New Roman" w:eastAsia="方正仿宋_GBK" w:cs="方正仿宋_GBK"/>
          <w:sz w:val="32"/>
          <w:szCs w:val="32"/>
          <w:shd w:val="clear" w:color="auto" w:fill="FFFFFF"/>
          <w:lang w:val="en-US" w:eastAsia="zh-CN"/>
        </w:rPr>
        <w:t>年中新成立了1个下属事业单位。</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b w:val="0"/>
          <w:bCs/>
          <w:sz w:val="32"/>
          <w:szCs w:val="32"/>
          <w:shd w:val="clear" w:color="auto" w:fill="FFFFFF"/>
        </w:rPr>
        <w:t>2.收入情况。</w:t>
      </w:r>
      <w:r>
        <w:rPr>
          <w:rFonts w:ascii="Times New Roman" w:hAnsi="Times New Roman" w:eastAsia="方正仿宋_GBK" w:cs="方正仿宋_GBK"/>
          <w:sz w:val="32"/>
          <w:szCs w:val="32"/>
          <w:shd w:val="clear" w:color="auto" w:fill="FFFFFF"/>
        </w:rPr>
        <w:t>2023年度收入合计1239.38万元，较上年决算数增加44.28万元，增长3.7%，主要原因是</w:t>
      </w:r>
      <w:r>
        <w:rPr>
          <w:rFonts w:hint="eastAsia" w:ascii="Times New Roman" w:hAnsi="Times New Roman" w:eastAsia="方正仿宋_GBK" w:cs="方正仿宋_GBK"/>
          <w:sz w:val="32"/>
          <w:szCs w:val="32"/>
          <w:shd w:val="clear" w:color="auto" w:fill="FFFFFF"/>
        </w:rPr>
        <w:t>年中新成立了1个下属事业单位。</w:t>
      </w:r>
      <w:r>
        <w:rPr>
          <w:rFonts w:ascii="Times New Roman" w:hAnsi="Times New Roman" w:eastAsia="方正仿宋_GBK" w:cs="方正仿宋_GBK"/>
          <w:sz w:val="32"/>
          <w:szCs w:val="32"/>
          <w:shd w:val="clear" w:color="auto" w:fill="FFFFFF"/>
        </w:rPr>
        <w:t>其中：财政拨款收入</w:t>
      </w:r>
      <w:r>
        <w:rPr>
          <w:rFonts w:ascii="Times New Roman" w:hAnsi="Times New Roman" w:eastAsia="方正仿宋_GBK" w:cs="方正仿宋_GBK"/>
          <w:sz w:val="32"/>
          <w:szCs w:val="32"/>
        </w:rPr>
        <w:t>1239.38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100.0</w:t>
      </w:r>
      <w:r>
        <w:rPr>
          <w:rFonts w:ascii="Times New Roman" w:hAnsi="Times New Roman" w:eastAsia="方正仿宋_GBK" w:cs="方正仿宋_GBK"/>
          <w:sz w:val="32"/>
          <w:szCs w:val="32"/>
          <w:shd w:val="clear" w:color="auto" w:fill="FFFFFF"/>
        </w:rPr>
        <w:t>%；事业收入</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万元，占0.0%；经营收入</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万元，占0.0%；其他收入</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万元，占0.0%。此外，使用非财政拨款结余和专用结余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万元，年初结转和结余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shd w:val="clear" w:color="auto" w:fill="FFFFFF"/>
        </w:rPr>
      </w:pPr>
      <w:r>
        <w:rPr>
          <w:rStyle w:val="10"/>
          <w:rFonts w:ascii="Times New Roman" w:hAnsi="Times New Roman" w:eastAsia="方正仿宋_GBK" w:cs="方正仿宋_GBK"/>
          <w:b w:val="0"/>
          <w:bCs/>
          <w:sz w:val="32"/>
          <w:szCs w:val="32"/>
          <w:shd w:val="clear" w:color="auto" w:fill="FFFFFF"/>
        </w:rPr>
        <w:t>3.支出情况。</w:t>
      </w:r>
      <w:r>
        <w:rPr>
          <w:rFonts w:ascii="Times New Roman" w:hAnsi="Times New Roman" w:eastAsia="方正仿宋_GBK" w:cs="方正仿宋_GBK"/>
          <w:sz w:val="32"/>
          <w:szCs w:val="32"/>
          <w:shd w:val="clear" w:color="auto" w:fill="FFFFFF"/>
        </w:rPr>
        <w:t>2023年度支出合计</w:t>
      </w:r>
      <w:r>
        <w:rPr>
          <w:rFonts w:ascii="Times New Roman" w:hAnsi="Times New Roman" w:eastAsia="方正仿宋_GBK" w:cs="方正仿宋_GBK"/>
          <w:sz w:val="32"/>
          <w:szCs w:val="32"/>
        </w:rPr>
        <w:t>1239.38</w:t>
      </w:r>
      <w:r>
        <w:rPr>
          <w:rFonts w:ascii="Times New Roman" w:hAnsi="Times New Roman" w:eastAsia="方正仿宋_GBK" w:cs="方正仿宋_GBK"/>
          <w:sz w:val="32"/>
          <w:szCs w:val="32"/>
          <w:shd w:val="clear" w:color="auto" w:fill="FFFFFF"/>
        </w:rPr>
        <w:t>万元，较上年决算数增加44.28万元，增长3.7%，主要原因是</w:t>
      </w:r>
      <w:r>
        <w:rPr>
          <w:rFonts w:hint="eastAsia" w:ascii="Times New Roman" w:hAnsi="Times New Roman" w:eastAsia="方正仿宋_GBK" w:cs="方正仿宋_GBK"/>
          <w:sz w:val="32"/>
          <w:szCs w:val="32"/>
          <w:shd w:val="clear" w:color="auto" w:fill="FFFFFF"/>
        </w:rPr>
        <w:t>年中新成立了1个下属事业单位。</w:t>
      </w:r>
      <w:r>
        <w:rPr>
          <w:rFonts w:ascii="Times New Roman" w:hAnsi="Times New Roman" w:eastAsia="方正仿宋_GBK" w:cs="方正仿宋_GBK"/>
          <w:sz w:val="32"/>
          <w:szCs w:val="32"/>
          <w:shd w:val="clear" w:color="auto" w:fill="FFFFFF"/>
        </w:rPr>
        <w:t>其中：基本支出</w:t>
      </w:r>
      <w:r>
        <w:rPr>
          <w:rFonts w:ascii="Times New Roman" w:hAnsi="Times New Roman" w:eastAsia="方正仿宋_GBK" w:cs="方正仿宋_GBK"/>
          <w:sz w:val="32"/>
          <w:szCs w:val="32"/>
        </w:rPr>
        <w:t>618.52</w:t>
      </w:r>
      <w:r>
        <w:rPr>
          <w:rFonts w:ascii="Times New Roman" w:hAnsi="Times New Roman" w:eastAsia="方正仿宋_GBK" w:cs="方正仿宋_GBK"/>
          <w:sz w:val="32"/>
          <w:szCs w:val="32"/>
          <w:shd w:val="clear" w:color="auto" w:fill="FFFFFF"/>
        </w:rPr>
        <w:t>万元，占49.9%；项目支出</w:t>
      </w:r>
      <w:r>
        <w:rPr>
          <w:rFonts w:ascii="Times New Roman" w:hAnsi="Times New Roman" w:eastAsia="方正仿宋_GBK" w:cs="方正仿宋_GBK"/>
          <w:sz w:val="32"/>
          <w:szCs w:val="32"/>
        </w:rPr>
        <w:t>620.86</w:t>
      </w:r>
      <w:r>
        <w:rPr>
          <w:rFonts w:ascii="Times New Roman" w:hAnsi="Times New Roman" w:eastAsia="方正仿宋_GBK" w:cs="方正仿宋_GBK"/>
          <w:sz w:val="32"/>
          <w:szCs w:val="32"/>
          <w:shd w:val="clear" w:color="auto" w:fill="FFFFFF"/>
        </w:rPr>
        <w:t>万元，占50.</w:t>
      </w:r>
      <w:r>
        <w:rPr>
          <w:rFonts w:hint="eastAsia" w:ascii="Times New Roman" w:hAnsi="Times New Roman" w:eastAsia="方正仿宋_GBK" w:cs="方正仿宋_GBK"/>
          <w:sz w:val="32"/>
          <w:szCs w:val="32"/>
          <w:shd w:val="clear" w:color="auto" w:fill="FFFFFF"/>
          <w:lang w:val="en-US" w:eastAsia="zh-CN"/>
        </w:rPr>
        <w:t>1</w:t>
      </w:r>
      <w:r>
        <w:rPr>
          <w:rFonts w:ascii="Times New Roman" w:hAnsi="Times New Roman" w:eastAsia="方正仿宋_GBK" w:cs="方正仿宋_GBK"/>
          <w:sz w:val="32"/>
          <w:szCs w:val="32"/>
          <w:shd w:val="clear" w:color="auto" w:fill="FFFFFF"/>
        </w:rPr>
        <w:t>%；经营支出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万元，占0.0%。此外，结余分配</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b w:val="0"/>
          <w:bCs/>
          <w:sz w:val="32"/>
          <w:szCs w:val="32"/>
          <w:shd w:val="clear" w:color="auto" w:fill="FFFFFF"/>
        </w:rPr>
        <w:t>4.结转结余情况。</w:t>
      </w:r>
      <w:r>
        <w:rPr>
          <w:rFonts w:ascii="Times New Roman" w:hAnsi="Times New Roman" w:eastAsia="方正仿宋_GBK" w:cs="方正仿宋_GBK"/>
          <w:b w:val="0"/>
          <w:bCs/>
          <w:sz w:val="32"/>
          <w:szCs w:val="32"/>
          <w:shd w:val="clear" w:color="auto" w:fill="FFFFFF"/>
        </w:rPr>
        <w:t>2</w:t>
      </w:r>
      <w:r>
        <w:rPr>
          <w:rFonts w:ascii="Times New Roman" w:hAnsi="Times New Roman" w:eastAsia="方正仿宋_GBK" w:cs="方正仿宋_GBK"/>
          <w:sz w:val="32"/>
          <w:szCs w:val="32"/>
          <w:shd w:val="clear" w:color="auto" w:fill="FFFFFF"/>
        </w:rPr>
        <w:t>023年度年末结转和结余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rPr>
        <w:t>，较上年决算数无增减。</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（二）财政拨款收入支出决算总体情况说明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2023年度财政拨款收、支总计1239.38万元。与2022年相比，财政拨款收、支总计各增加44.28万元，增长3.7%。主要原因是</w:t>
      </w:r>
      <w:r>
        <w:rPr>
          <w:rFonts w:hint="eastAsia" w:ascii="Times New Roman" w:hAnsi="Times New Roman" w:eastAsia="方正仿宋_GBK" w:cs="方正仿宋_GBK"/>
          <w:sz w:val="32"/>
          <w:szCs w:val="32"/>
          <w:shd w:val="clear" w:color="auto" w:fill="FFFFFF"/>
        </w:rPr>
        <w:t>年中新成立了1个下属事业单位。</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（三）一般公共预算财政拨款收入支出决算情况说明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b w:val="0"/>
          <w:bCs w:val="0"/>
          <w:sz w:val="32"/>
          <w:szCs w:val="32"/>
          <w:shd w:val="clear" w:color="auto" w:fill="FFFFFF"/>
        </w:rPr>
        <w:t>1.收入情况。</w:t>
      </w:r>
      <w:r>
        <w:rPr>
          <w:rFonts w:ascii="Times New Roman" w:hAnsi="Times New Roman" w:eastAsia="方正仿宋_GBK" w:cs="方正仿宋_GBK"/>
          <w:sz w:val="32"/>
          <w:szCs w:val="32"/>
          <w:shd w:val="clear" w:color="auto" w:fill="FFFFFF"/>
        </w:rPr>
        <w:t>2023年度一般公共预算财政拨款收入</w:t>
      </w:r>
      <w:r>
        <w:rPr>
          <w:rFonts w:ascii="Times New Roman" w:hAnsi="Times New Roman" w:eastAsia="方正仿宋_GBK" w:cs="方正仿宋_GBK"/>
          <w:sz w:val="32"/>
          <w:szCs w:val="32"/>
        </w:rPr>
        <w:t>1239.38</w:t>
      </w:r>
      <w:r>
        <w:rPr>
          <w:rFonts w:ascii="Times New Roman" w:hAnsi="Times New Roman" w:eastAsia="方正仿宋_GBK" w:cs="方正仿宋_GBK"/>
          <w:sz w:val="32"/>
          <w:szCs w:val="32"/>
          <w:shd w:val="clear" w:color="auto" w:fill="FFFFFF"/>
        </w:rPr>
        <w:t>万元，较上年决算数增加85.3万元，增长7.</w:t>
      </w:r>
      <w:r>
        <w:rPr>
          <w:rFonts w:hint="eastAsia" w:ascii="Times New Roman" w:hAnsi="Times New Roman" w:eastAsia="方正仿宋_GBK" w:cs="方正仿宋_GBK"/>
          <w:sz w:val="32"/>
          <w:szCs w:val="32"/>
          <w:shd w:val="clear" w:color="auto" w:fill="FFFFFF"/>
          <w:lang w:val="en-US" w:eastAsia="zh-CN"/>
        </w:rPr>
        <w:t>4</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年中新成立了1个下属事业单位</w:t>
      </w:r>
      <w:r>
        <w:rPr>
          <w:rFonts w:hint="eastAsia" w:ascii="Times New Roman" w:hAnsi="Times New Roman" w:eastAsia="方正仿宋_GBK" w:cs="方正仿宋_GBK"/>
          <w:sz w:val="32"/>
          <w:szCs w:val="32"/>
          <w:shd w:val="clear" w:color="auto" w:fill="FFFFFF"/>
          <w:lang w:eastAsia="zh-CN"/>
        </w:rPr>
        <w:t>及新增项目预算</w:t>
      </w:r>
      <w:r>
        <w:rPr>
          <w:rFonts w:hint="eastAsia"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shd w:val="clear" w:color="auto" w:fill="FFFFFF"/>
        </w:rPr>
        <w:t>较年初预算数增加252.73万元，增长25.6%。主要原因是</w:t>
      </w:r>
      <w:r>
        <w:rPr>
          <w:rFonts w:hint="eastAsia" w:ascii="Times New Roman" w:hAnsi="Times New Roman" w:eastAsia="方正仿宋_GBK" w:cs="方正仿宋_GBK"/>
          <w:sz w:val="32"/>
          <w:szCs w:val="32"/>
          <w:shd w:val="clear" w:color="auto" w:fill="FFFFFF"/>
        </w:rPr>
        <w:t>年中新成立了1个下属事业单位</w:t>
      </w:r>
      <w:r>
        <w:rPr>
          <w:rFonts w:hint="eastAsia" w:ascii="Times New Roman" w:hAnsi="Times New Roman" w:eastAsia="方正仿宋_GBK" w:cs="方正仿宋_GBK"/>
          <w:sz w:val="32"/>
          <w:szCs w:val="32"/>
          <w:shd w:val="clear" w:color="auto" w:fill="FFFFFF"/>
          <w:lang w:eastAsia="zh-CN"/>
        </w:rPr>
        <w:t>以及年中追加技术服务前期基础服务费、迁移上云信息系统回迁资金、区大数据发展局创文工作经费、政府信息平台运行经费、万州区人民政府网站改版经费等项目资金</w:t>
      </w:r>
      <w:r>
        <w:rPr>
          <w:rFonts w:hint="eastAsia"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shd w:val="clear" w:color="auto" w:fill="FFFFFF"/>
        </w:rPr>
        <w:t>此外，年初财政拨款结转和结余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方正仿宋_GBK" w:cs="方正仿宋_GBK"/>
          <w:b w:val="0"/>
          <w:bCs/>
          <w:sz w:val="32"/>
          <w:szCs w:val="32"/>
          <w:shd w:val="clear" w:color="auto" w:fill="FFFFFF"/>
        </w:rPr>
        <w:t>2.支出情况。</w:t>
      </w:r>
      <w:r>
        <w:rPr>
          <w:rFonts w:ascii="Times New Roman" w:hAnsi="Times New Roman" w:eastAsia="方正仿宋_GBK" w:cs="方正仿宋_GBK"/>
          <w:sz w:val="32"/>
          <w:szCs w:val="32"/>
          <w:shd w:val="clear" w:color="auto" w:fill="FFFFFF"/>
        </w:rPr>
        <w:t>2023年度一般公共预算财政拨款支出</w:t>
      </w:r>
      <w:r>
        <w:rPr>
          <w:rFonts w:ascii="Times New Roman" w:hAnsi="Times New Roman" w:eastAsia="方正仿宋_GBK" w:cs="方正仿宋_GBK"/>
          <w:sz w:val="32"/>
          <w:szCs w:val="32"/>
        </w:rPr>
        <w:t>1239.38</w:t>
      </w:r>
      <w:r>
        <w:rPr>
          <w:rFonts w:ascii="Times New Roman" w:hAnsi="Times New Roman" w:eastAsia="方正仿宋_GBK" w:cs="方正仿宋_GBK"/>
          <w:sz w:val="32"/>
          <w:szCs w:val="32"/>
          <w:shd w:val="clear" w:color="auto" w:fill="FFFFFF"/>
        </w:rPr>
        <w:t>万元，较上年决算数增加85.3万元，增长7.</w:t>
      </w:r>
      <w:r>
        <w:rPr>
          <w:rFonts w:hint="eastAsia" w:ascii="Times New Roman" w:hAnsi="Times New Roman" w:eastAsia="方正仿宋_GBK" w:cs="方正仿宋_GBK"/>
          <w:sz w:val="32"/>
          <w:szCs w:val="32"/>
          <w:shd w:val="clear" w:color="auto" w:fill="FFFFFF"/>
          <w:lang w:val="en-US" w:eastAsia="zh-CN"/>
        </w:rPr>
        <w:t>4</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年中新成立了1个下属事业单位及新增项目预算。</w:t>
      </w:r>
      <w:r>
        <w:rPr>
          <w:rFonts w:ascii="Times New Roman" w:hAnsi="Times New Roman" w:eastAsia="方正仿宋_GBK" w:cs="方正仿宋_GBK"/>
          <w:sz w:val="32"/>
          <w:szCs w:val="32"/>
          <w:shd w:val="clear" w:color="auto" w:fill="FFFFFF"/>
        </w:rPr>
        <w:t>较年初预算数增加252.73万元，增长25.6%。主要原因是</w:t>
      </w:r>
      <w:r>
        <w:rPr>
          <w:rFonts w:hint="eastAsia" w:ascii="Times New Roman" w:hAnsi="Times New Roman" w:eastAsia="方正仿宋_GBK" w:cs="方正仿宋_GBK"/>
          <w:sz w:val="32"/>
          <w:szCs w:val="32"/>
          <w:shd w:val="clear" w:color="auto" w:fill="FFFFFF"/>
        </w:rPr>
        <w:t>年中新成立了1个下属事业单位以及年</w:t>
      </w:r>
      <w:r>
        <w:rPr>
          <w:rFonts w:hint="eastAsia" w:ascii="Times New Roman" w:hAnsi="Times New Roman" w:eastAsia="方正仿宋_GBK" w:cs="方正仿宋_GBK"/>
          <w:sz w:val="32"/>
          <w:szCs w:val="32"/>
          <w:shd w:val="clear" w:color="auto" w:fill="FFFFFF"/>
          <w:lang w:eastAsia="zh-CN"/>
        </w:rPr>
        <w:t>中</w:t>
      </w:r>
      <w:r>
        <w:rPr>
          <w:rFonts w:hint="eastAsia" w:ascii="Times New Roman" w:hAnsi="Times New Roman" w:eastAsia="方正仿宋_GBK" w:cs="方正仿宋_GBK"/>
          <w:sz w:val="32"/>
          <w:szCs w:val="32"/>
          <w:shd w:val="clear" w:color="auto" w:fill="FFFFFF"/>
        </w:rPr>
        <w:t>追加技术服务前期基础服务费、迁移上云信息系统回迁资金、区大数据发展局创文工作经费、政府信息平台运行经费、万州区人民政府网站改版经费等项目资金。</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sz w:val="32"/>
          <w:szCs w:val="32"/>
          <w:shd w:val="clear" w:color="auto" w:fill="FFFFFF"/>
          <w:lang w:eastAsia="zh-CN"/>
        </w:rPr>
      </w:pPr>
      <w:r>
        <w:rPr>
          <w:rStyle w:val="10"/>
          <w:rFonts w:ascii="Times New Roman" w:hAnsi="Times New Roman" w:eastAsia="方正仿宋_GBK" w:cs="方正仿宋_GBK"/>
          <w:b w:val="0"/>
          <w:bCs/>
          <w:sz w:val="32"/>
          <w:szCs w:val="32"/>
          <w:shd w:val="clear" w:color="auto" w:fill="FFFFFF"/>
        </w:rPr>
        <w:t>3.结转结余情况。</w:t>
      </w:r>
      <w:r>
        <w:rPr>
          <w:rFonts w:ascii="Times New Roman" w:hAnsi="Times New Roman" w:eastAsia="方正仿宋_GBK" w:cs="方正仿宋_GBK"/>
          <w:b w:val="0"/>
          <w:bCs/>
          <w:sz w:val="32"/>
          <w:szCs w:val="32"/>
          <w:shd w:val="clear" w:color="auto" w:fill="FFFFFF"/>
        </w:rPr>
        <w:t>2023年度年末一般公共预算财政拨款结转和结余</w:t>
      </w:r>
      <w:r>
        <w:rPr>
          <w:rFonts w:ascii="Times New Roman" w:hAnsi="Times New Roman" w:eastAsia="方正仿宋_GBK" w:cs="方正仿宋_GBK"/>
          <w:b w:val="0"/>
          <w:bCs/>
          <w:sz w:val="32"/>
          <w:szCs w:val="32"/>
        </w:rPr>
        <w:t>0</w:t>
      </w:r>
      <w:r>
        <w:rPr>
          <w:rFonts w:ascii="Times New Roman" w:hAnsi="Times New Roman" w:eastAsia="方正仿宋_GBK" w:cs="方正仿宋_GBK"/>
          <w:b w:val="0"/>
          <w:bCs/>
          <w:sz w:val="32"/>
          <w:szCs w:val="32"/>
          <w:shd w:val="clear" w:color="auto" w:fill="FFFFFF"/>
        </w:rPr>
        <w:t>万元，较上年决算数无增减</w:t>
      </w:r>
      <w:r>
        <w:rPr>
          <w:rFonts w:hint="eastAsia" w:ascii="Times New Roman" w:hAnsi="Times New Roman" w:eastAsia="方正仿宋_GBK" w:cs="方正仿宋_GBK"/>
          <w:b w:val="0"/>
          <w:bCs/>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color w:val="FF0000"/>
          <w:sz w:val="32"/>
          <w:szCs w:val="32"/>
          <w:highlight w:val="cyan"/>
          <w:shd w:val="clear" w:color="auto" w:fill="FFFFFF"/>
        </w:rPr>
      </w:pPr>
      <w:r>
        <w:rPr>
          <w:rStyle w:val="10"/>
          <w:rFonts w:ascii="Times New Roman" w:hAnsi="Times New Roman" w:eastAsia="方正仿宋_GBK" w:cs="方正仿宋_GBK"/>
          <w:b w:val="0"/>
          <w:bCs/>
          <w:sz w:val="32"/>
          <w:szCs w:val="32"/>
          <w:shd w:val="clear" w:color="auto" w:fill="FFFFFF"/>
        </w:rPr>
        <w:t>4.比较情况。</w:t>
      </w:r>
      <w:r>
        <w:rPr>
          <w:rFonts w:ascii="Times New Roman" w:hAnsi="Times New Roman" w:eastAsia="方正仿宋_GBK" w:cs="方正仿宋_GBK"/>
          <w:b w:val="0"/>
          <w:bCs/>
          <w:sz w:val="32"/>
          <w:szCs w:val="32"/>
          <w:shd w:val="clear" w:color="auto" w:fill="FFFFFF"/>
        </w:rPr>
        <w:t>本部</w:t>
      </w:r>
      <w:r>
        <w:rPr>
          <w:rFonts w:ascii="Times New Roman" w:hAnsi="Times New Roman" w:eastAsia="方正仿宋_GBK" w:cs="方正仿宋_GBK"/>
          <w:sz w:val="32"/>
          <w:szCs w:val="32"/>
          <w:shd w:val="clear" w:color="auto" w:fill="FFFFFF"/>
        </w:rPr>
        <w:t>门2023年度一般公共预算财政拨款支出主要用于以下几个方面：</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（1）一般公共服务支出</w:t>
      </w:r>
      <w:r>
        <w:rPr>
          <w:rFonts w:ascii="Times New Roman" w:hAnsi="Times New Roman" w:eastAsia="方正仿宋_GBK" w:cs="方正仿宋_GBK"/>
          <w:sz w:val="32"/>
          <w:szCs w:val="32"/>
        </w:rPr>
        <w:t>1036.74</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83.</w:t>
      </w:r>
      <w:r>
        <w:rPr>
          <w:rFonts w:hint="eastAsia" w:ascii="Times New Roman" w:hAnsi="Times New Roman" w:eastAsia="方正仿宋_GBK" w:cs="方正仿宋_GBK"/>
          <w:sz w:val="32"/>
          <w:szCs w:val="32"/>
          <w:lang w:val="en-US" w:eastAsia="zh-CN"/>
        </w:rPr>
        <w:t>7</w:t>
      </w:r>
      <w:r>
        <w:rPr>
          <w:rFonts w:ascii="Times New Roman" w:hAnsi="Times New Roman" w:eastAsia="方正仿宋_GBK" w:cs="方正仿宋_GBK"/>
          <w:sz w:val="32"/>
          <w:szCs w:val="32"/>
          <w:shd w:val="clear" w:color="auto" w:fill="FFFFFF"/>
        </w:rPr>
        <w:t>%，较年初预算数增加195.49万元，增长23.2%，主要原因是</w:t>
      </w:r>
      <w:r>
        <w:rPr>
          <w:rFonts w:hint="eastAsia" w:ascii="Times New Roman" w:hAnsi="Times New Roman" w:eastAsia="方正仿宋_GBK" w:cs="方正仿宋_GBK"/>
          <w:sz w:val="32"/>
          <w:szCs w:val="32"/>
          <w:shd w:val="clear" w:color="auto" w:fill="FFFFFF"/>
        </w:rPr>
        <w:t>年中新成立了1个下属事业单位以及年</w:t>
      </w:r>
      <w:r>
        <w:rPr>
          <w:rFonts w:hint="eastAsia" w:ascii="Times New Roman" w:hAnsi="Times New Roman" w:eastAsia="方正仿宋_GBK" w:cs="方正仿宋_GBK"/>
          <w:sz w:val="32"/>
          <w:szCs w:val="32"/>
          <w:shd w:val="clear" w:color="auto" w:fill="FFFFFF"/>
          <w:lang w:eastAsia="zh-CN"/>
        </w:rPr>
        <w:t>中</w:t>
      </w:r>
      <w:r>
        <w:rPr>
          <w:rFonts w:hint="eastAsia" w:ascii="Times New Roman" w:hAnsi="Times New Roman" w:eastAsia="方正仿宋_GBK" w:cs="方正仿宋_GBK"/>
          <w:sz w:val="32"/>
          <w:szCs w:val="32"/>
          <w:shd w:val="clear" w:color="auto" w:fill="FFFFFF"/>
        </w:rPr>
        <w:t>追加迁移上云信息系统回迁资金、政府信息平台运行经费、万州区人民政府网站改版经费等项目资金。</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2</w:t>
      </w:r>
      <w:r>
        <w:rPr>
          <w:rFonts w:ascii="Times New Roman" w:hAnsi="Times New Roman" w:eastAsia="方正仿宋_GBK" w:cs="方正仿宋_GBK"/>
          <w:sz w:val="32"/>
          <w:szCs w:val="32"/>
          <w:shd w:val="clear" w:color="auto" w:fill="FFFFFF"/>
        </w:rPr>
        <w:t>）文化旅游体育与传媒支出</w:t>
      </w:r>
      <w:r>
        <w:rPr>
          <w:rFonts w:ascii="Times New Roman" w:hAnsi="Times New Roman" w:eastAsia="方正仿宋_GBK" w:cs="方正仿宋_GBK"/>
          <w:sz w:val="32"/>
          <w:szCs w:val="32"/>
        </w:rPr>
        <w:t>7.95</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0.6</w:t>
      </w:r>
      <w:r>
        <w:rPr>
          <w:rFonts w:ascii="Times New Roman" w:hAnsi="Times New Roman" w:eastAsia="方正仿宋_GBK" w:cs="方正仿宋_GBK"/>
          <w:sz w:val="32"/>
          <w:szCs w:val="32"/>
          <w:shd w:val="clear" w:color="auto" w:fill="FFFFFF"/>
        </w:rPr>
        <w:t>%，较年初预算数增加7.95万元，增长100.0%，主要原因是</w:t>
      </w:r>
      <w:r>
        <w:rPr>
          <w:rFonts w:hint="eastAsia" w:ascii="Times New Roman" w:hAnsi="Times New Roman" w:eastAsia="方正仿宋_GBK" w:cs="方正仿宋_GBK"/>
          <w:sz w:val="32"/>
          <w:szCs w:val="32"/>
          <w:shd w:val="clear" w:color="auto" w:fill="FFFFFF"/>
        </w:rPr>
        <w:t>追加区大数据发展局创文工作经费。</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3</w:t>
      </w:r>
      <w:r>
        <w:rPr>
          <w:rFonts w:ascii="Times New Roman" w:hAnsi="Times New Roman" w:eastAsia="方正仿宋_GBK" w:cs="方正仿宋_GBK"/>
          <w:sz w:val="32"/>
          <w:szCs w:val="32"/>
          <w:shd w:val="clear" w:color="auto" w:fill="FFFFFF"/>
        </w:rPr>
        <w:t>）社会保障与就业支出</w:t>
      </w:r>
      <w:r>
        <w:rPr>
          <w:rFonts w:ascii="Times New Roman" w:hAnsi="Times New Roman" w:eastAsia="方正仿宋_GBK" w:cs="方正仿宋_GBK"/>
          <w:sz w:val="32"/>
          <w:szCs w:val="32"/>
        </w:rPr>
        <w:t>86.74</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7.0</w:t>
      </w:r>
      <w:r>
        <w:rPr>
          <w:rFonts w:ascii="Times New Roman" w:hAnsi="Times New Roman" w:eastAsia="方正仿宋_GBK" w:cs="方正仿宋_GBK"/>
          <w:sz w:val="32"/>
          <w:szCs w:val="32"/>
          <w:shd w:val="clear" w:color="auto" w:fill="FFFFFF"/>
        </w:rPr>
        <w:t>%，较年初预算数增加1.33万元，增长1.</w:t>
      </w:r>
      <w:r>
        <w:rPr>
          <w:rFonts w:hint="eastAsia" w:ascii="Times New Roman" w:hAnsi="Times New Roman" w:eastAsia="方正仿宋_GBK" w:cs="方正仿宋_GBK"/>
          <w:sz w:val="32"/>
          <w:szCs w:val="32"/>
          <w:shd w:val="clear" w:color="auto" w:fill="FFFFFF"/>
          <w:lang w:val="en-US" w:eastAsia="zh-CN"/>
        </w:rPr>
        <w:t>6</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年中新成立了1个下属事业单位</w:t>
      </w:r>
      <w:r>
        <w:rPr>
          <w:rFonts w:hint="eastAsia" w:ascii="Times New Roman" w:hAnsi="Times New Roman" w:eastAsia="方正仿宋_GBK" w:cs="方正仿宋_GBK"/>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4</w:t>
      </w:r>
      <w:r>
        <w:rPr>
          <w:rFonts w:ascii="Times New Roman" w:hAnsi="Times New Roman" w:eastAsia="方正仿宋_GBK" w:cs="方正仿宋_GBK"/>
          <w:sz w:val="32"/>
          <w:szCs w:val="32"/>
          <w:shd w:val="clear" w:color="auto" w:fill="FFFFFF"/>
        </w:rPr>
        <w:t>）卫生健康支出</w:t>
      </w:r>
      <w:r>
        <w:rPr>
          <w:rFonts w:ascii="Times New Roman" w:hAnsi="Times New Roman" w:eastAsia="方正仿宋_GBK" w:cs="方正仿宋_GBK"/>
          <w:sz w:val="32"/>
          <w:szCs w:val="32"/>
        </w:rPr>
        <w:t>28.68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2.3</w:t>
      </w:r>
      <w:r>
        <w:rPr>
          <w:rFonts w:ascii="Times New Roman" w:hAnsi="Times New Roman" w:eastAsia="方正仿宋_GBK" w:cs="方正仿宋_GBK"/>
          <w:sz w:val="32"/>
          <w:szCs w:val="32"/>
          <w:shd w:val="clear" w:color="auto" w:fill="FFFFFF"/>
        </w:rPr>
        <w:t>%，较年初预算数增加0.35万元，增长1.2%，主要原因是</w:t>
      </w:r>
      <w:r>
        <w:rPr>
          <w:rFonts w:hint="eastAsia" w:ascii="Times New Roman" w:hAnsi="Times New Roman" w:eastAsia="方正仿宋_GBK" w:cs="方正仿宋_GBK"/>
          <w:sz w:val="32"/>
          <w:szCs w:val="32"/>
          <w:shd w:val="clear" w:color="auto" w:fill="FFFFFF"/>
        </w:rPr>
        <w:t>年中新成立了1个下属事业单位</w:t>
      </w:r>
      <w:r>
        <w:rPr>
          <w:rFonts w:hint="eastAsia" w:ascii="Times New Roman" w:hAnsi="Times New Roman" w:eastAsia="方正仿宋_GBK" w:cs="方正仿宋_GBK"/>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5</w:t>
      </w:r>
      <w:r>
        <w:rPr>
          <w:rFonts w:ascii="Times New Roman" w:hAnsi="Times New Roman" w:eastAsia="方正仿宋_GBK" w:cs="方正仿宋_GBK"/>
          <w:sz w:val="32"/>
          <w:szCs w:val="32"/>
          <w:shd w:val="clear" w:color="auto" w:fill="FFFFFF"/>
        </w:rPr>
        <w:t>）资源勘探信息等支出</w:t>
      </w:r>
      <w:r>
        <w:rPr>
          <w:rFonts w:ascii="Times New Roman" w:hAnsi="Times New Roman" w:eastAsia="方正仿宋_GBK" w:cs="方正仿宋_GBK"/>
          <w:sz w:val="32"/>
          <w:szCs w:val="32"/>
        </w:rPr>
        <w:t>49.6</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4.0</w:t>
      </w:r>
      <w:r>
        <w:rPr>
          <w:rFonts w:ascii="Times New Roman" w:hAnsi="Times New Roman" w:eastAsia="方正仿宋_GBK" w:cs="方正仿宋_GBK"/>
          <w:sz w:val="32"/>
          <w:szCs w:val="32"/>
          <w:shd w:val="clear" w:color="auto" w:fill="FFFFFF"/>
        </w:rPr>
        <w:t>%，较年初预算数增加49.6万元，增长100.0%，主要原因是</w:t>
      </w:r>
      <w:r>
        <w:rPr>
          <w:rFonts w:hint="eastAsia" w:ascii="Times New Roman" w:hAnsi="Times New Roman" w:eastAsia="方正仿宋_GBK" w:cs="方正仿宋_GBK"/>
          <w:sz w:val="32"/>
          <w:szCs w:val="32"/>
          <w:shd w:val="clear" w:color="auto" w:fill="FFFFFF"/>
        </w:rPr>
        <w:t>追加技术服务前期基础服务费</w:t>
      </w:r>
      <w:r>
        <w:rPr>
          <w:rFonts w:hint="eastAsia" w:ascii="Times New Roman" w:hAnsi="Times New Roman" w:eastAsia="方正仿宋_GBK" w:cs="方正仿宋_GBK"/>
          <w:sz w:val="32"/>
          <w:szCs w:val="32"/>
          <w:shd w:val="clear" w:color="auto" w:fill="FFFFFF"/>
          <w:lang w:eastAsia="zh-CN"/>
        </w:rPr>
        <w:t>、2022年市大数据应用发展专项资金（第一批）</w:t>
      </w:r>
      <w:r>
        <w:rPr>
          <w:rFonts w:hint="eastAsia" w:ascii="Times New Roman" w:hAnsi="Times New Roman" w:eastAsia="方正仿宋_GBK" w:cs="方正仿宋_GBK"/>
          <w:sz w:val="32"/>
          <w:szCs w:val="32"/>
          <w:shd w:val="clear" w:color="auto" w:fill="FFFFFF"/>
        </w:rPr>
        <w:t>。</w:t>
      </w:r>
    </w:p>
    <w:p>
      <w:pPr>
        <w:keepNext w:val="0"/>
        <w:keepLines w:val="0"/>
        <w:pageBreakBefore w:val="0"/>
        <w:widowControl w:val="0"/>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6</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住房保障支出29.66</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4</w:t>
      </w:r>
      <w:r>
        <w:rPr>
          <w:rFonts w:ascii="Times New Roman" w:hAnsi="Times New Roman" w:eastAsia="方正仿宋_GBK" w:cs="方正仿宋_GBK"/>
          <w:sz w:val="32"/>
          <w:szCs w:val="32"/>
          <w:shd w:val="clear" w:color="auto" w:fill="FFFFFF"/>
        </w:rPr>
        <w:t>%，较年初预算数减少2万元，下降6.3%，主要原因是</w:t>
      </w:r>
      <w:r>
        <w:rPr>
          <w:rFonts w:hint="eastAsia" w:ascii="Times New Roman" w:hAnsi="Times New Roman" w:eastAsia="方正仿宋_GBK" w:cs="方正仿宋_GBK"/>
          <w:sz w:val="32"/>
          <w:szCs w:val="32"/>
          <w:shd w:val="clear" w:color="auto" w:fill="FFFFFF"/>
        </w:rPr>
        <w:t>2023年人员增减调动导致减少。</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（四）一般公共预算财政拨款基本支出决算情况说明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2023年度一般公共财政拨款基本支出</w:t>
      </w:r>
      <w:r>
        <w:rPr>
          <w:rFonts w:ascii="Times New Roman" w:hAnsi="Times New Roman" w:eastAsia="方正仿宋_GBK" w:cs="方正仿宋_GBK"/>
          <w:sz w:val="32"/>
          <w:szCs w:val="32"/>
        </w:rPr>
        <w:t>618.52</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563.4</w:t>
      </w:r>
      <w:r>
        <w:rPr>
          <w:rFonts w:ascii="Times New Roman" w:hAnsi="Times New Roman" w:eastAsia="方正仿宋_GBK" w:cs="方正仿宋_GBK"/>
          <w:sz w:val="32"/>
          <w:szCs w:val="32"/>
          <w:shd w:val="clear" w:color="auto" w:fill="FFFFFF"/>
        </w:rPr>
        <w:t>万元，较上年决算数增加21.95万元，增长4.</w:t>
      </w:r>
      <w:r>
        <w:rPr>
          <w:rFonts w:hint="eastAsia" w:ascii="Times New Roman" w:hAnsi="Times New Roman" w:eastAsia="方正仿宋_GBK" w:cs="方正仿宋_GBK"/>
          <w:sz w:val="32"/>
          <w:szCs w:val="32"/>
          <w:shd w:val="clear" w:color="auto" w:fill="FFFFFF"/>
          <w:lang w:val="en-US" w:eastAsia="zh-CN"/>
        </w:rPr>
        <w:t>1</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年中新成立了1个下属事业单位</w:t>
      </w:r>
      <w:r>
        <w:rPr>
          <w:rFonts w:hint="eastAsia" w:ascii="Times New Roman" w:hAnsi="Times New Roman" w:eastAsia="方正仿宋_GBK" w:cs="方正仿宋_GBK"/>
          <w:sz w:val="32"/>
          <w:szCs w:val="32"/>
          <w:shd w:val="clear" w:color="auto" w:fill="FFFFFF"/>
          <w:lang w:eastAsia="zh-CN"/>
        </w:rPr>
        <w:t>，以及2023年新增了丧葬费和抚恤金支出且其他人员类支出均有所增加</w:t>
      </w:r>
      <w:r>
        <w:rPr>
          <w:rFonts w:hint="eastAsia"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shd w:val="clear" w:color="auto" w:fill="FFFFFF"/>
        </w:rPr>
        <w:t>人员经费用途主要包括</w:t>
      </w:r>
      <w:r>
        <w:rPr>
          <w:rFonts w:hint="eastAsia" w:ascii="Times New Roman" w:hAnsi="Times New Roman" w:eastAsia="方正仿宋_GBK" w:cs="方正仿宋_GBK"/>
          <w:sz w:val="32"/>
          <w:szCs w:val="32"/>
          <w:shd w:val="clear" w:color="auto" w:fill="FFFFFF"/>
        </w:rPr>
        <w:t>基本工资、津贴补贴、奖金、社会保障缴费、住房公积金、医疗费、其他工资福利支出及对个人和家庭的生活补助。</w:t>
      </w:r>
      <w:r>
        <w:rPr>
          <w:rFonts w:ascii="Times New Roman" w:hAnsi="Times New Roman" w:eastAsia="方正仿宋_GBK" w:cs="方正仿宋_GBK"/>
          <w:sz w:val="32"/>
          <w:szCs w:val="32"/>
          <w:shd w:val="clear" w:color="auto" w:fill="FFFFFF"/>
        </w:rPr>
        <w:t>公用经费</w:t>
      </w:r>
      <w:r>
        <w:rPr>
          <w:rFonts w:ascii="Times New Roman" w:hAnsi="Times New Roman" w:eastAsia="方正仿宋_GBK" w:cs="方正仿宋_GBK"/>
          <w:sz w:val="32"/>
          <w:szCs w:val="32"/>
        </w:rPr>
        <w:t>55.12</w:t>
      </w:r>
      <w:r>
        <w:rPr>
          <w:rFonts w:ascii="Times New Roman" w:hAnsi="Times New Roman" w:eastAsia="方正仿宋_GBK" w:cs="方正仿宋_GBK"/>
          <w:sz w:val="32"/>
          <w:szCs w:val="32"/>
          <w:shd w:val="clear" w:color="auto" w:fill="FFFFFF"/>
        </w:rPr>
        <w:t>万元，较上年决算数减少14.03万元，下降20.</w:t>
      </w:r>
      <w:r>
        <w:rPr>
          <w:rFonts w:hint="eastAsia" w:ascii="Times New Roman" w:hAnsi="Times New Roman" w:eastAsia="方正仿宋_GBK" w:cs="方正仿宋_GBK"/>
          <w:sz w:val="32"/>
          <w:szCs w:val="32"/>
          <w:shd w:val="clear" w:color="auto" w:fill="FFFFFF"/>
          <w:lang w:val="en-US" w:eastAsia="zh-CN"/>
        </w:rPr>
        <w:t>3</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2023年度公用经费减少。</w:t>
      </w:r>
      <w:r>
        <w:rPr>
          <w:rFonts w:ascii="Times New Roman" w:hAnsi="Times New Roman" w:eastAsia="方正仿宋_GBK" w:cs="方正仿宋_GBK"/>
          <w:sz w:val="32"/>
          <w:szCs w:val="32"/>
          <w:shd w:val="clear" w:color="auto" w:fill="FFFFFF"/>
        </w:rPr>
        <w:t>公用经费用途主要包括</w:t>
      </w:r>
      <w:r>
        <w:rPr>
          <w:rFonts w:hint="eastAsia" w:ascii="Times New Roman" w:hAnsi="Times New Roman" w:eastAsia="方正仿宋_GBK" w:cs="方正仿宋_GBK"/>
          <w:sz w:val="32"/>
          <w:szCs w:val="32"/>
          <w:shd w:val="clear" w:color="auto" w:fill="FFFFFF"/>
        </w:rPr>
        <w:t>办公费、邮电费、咨询费、差旅费等支出。</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（五）政府性基金预算收支决算情况说明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2023年度政府性基金预算财政拨款年初结转结余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万元，年末结转结余</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万元。本年收入</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万元，较上年决算数减少41.02万元，下降100.0%，主要原因是</w:t>
      </w:r>
      <w:r>
        <w:rPr>
          <w:rFonts w:hint="eastAsia" w:ascii="Times New Roman" w:hAnsi="Times New Roman" w:eastAsia="方正仿宋_GBK" w:cs="方正仿宋_GBK"/>
          <w:sz w:val="32"/>
          <w:szCs w:val="32"/>
          <w:shd w:val="clear" w:color="auto" w:fill="FFFFFF"/>
          <w:lang w:eastAsia="zh-CN"/>
        </w:rPr>
        <w:t>本部门</w:t>
      </w:r>
      <w:r>
        <w:rPr>
          <w:rFonts w:hint="eastAsia" w:ascii="Times New Roman" w:hAnsi="Times New Roman" w:eastAsia="方正仿宋_GBK" w:cs="方正仿宋_GBK"/>
          <w:sz w:val="32"/>
          <w:szCs w:val="32"/>
          <w:shd w:val="clear" w:color="auto" w:fill="FFFFFF"/>
        </w:rPr>
        <w:t>2023年无政府性基金预算财政拨款收支。</w:t>
      </w:r>
      <w:r>
        <w:rPr>
          <w:rFonts w:ascii="Times New Roman" w:hAnsi="Times New Roman" w:eastAsia="方正仿宋_GBK" w:cs="方正仿宋_GBK"/>
          <w:sz w:val="32"/>
          <w:szCs w:val="32"/>
          <w:shd w:val="clear" w:color="auto" w:fill="FFFFFF"/>
        </w:rPr>
        <w:t>本年支出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万元，较上年决算数减少41.02万元，下降100.0%，主要原因是</w:t>
      </w:r>
      <w:r>
        <w:rPr>
          <w:rFonts w:hint="eastAsia" w:ascii="Times New Roman" w:hAnsi="Times New Roman" w:eastAsia="方正仿宋_GBK" w:cs="方正仿宋_GBK"/>
          <w:sz w:val="32"/>
          <w:szCs w:val="32"/>
          <w:shd w:val="clear" w:color="auto" w:fill="FFFFFF"/>
          <w:lang w:eastAsia="zh-CN"/>
        </w:rPr>
        <w:t>本部门</w:t>
      </w:r>
      <w:r>
        <w:rPr>
          <w:rFonts w:hint="eastAsia" w:ascii="Times New Roman" w:hAnsi="Times New Roman" w:eastAsia="方正仿宋_GBK" w:cs="方正仿宋_GBK"/>
          <w:sz w:val="32"/>
          <w:szCs w:val="32"/>
          <w:shd w:val="clear" w:color="auto" w:fill="FFFFFF"/>
        </w:rPr>
        <w:t>2023年无政府性基金预算财政拨款收支。</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（六）国有资本经营预算财政拨款支出决算情况说明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2023年度国有资本经营预算财政拨</w:t>
      </w:r>
      <w:r>
        <w:rPr>
          <w:rFonts w:hint="eastAsia" w:ascii="Times New Roman" w:hAnsi="Times New Roman" w:eastAsia="方正仿宋_GBK" w:cs="方正仿宋_GBK"/>
          <w:sz w:val="32"/>
          <w:szCs w:val="32"/>
          <w:shd w:val="clear" w:color="auto" w:fill="FFFFFF"/>
          <w:lang w:eastAsia="zh-CN"/>
        </w:rPr>
        <w:t>款</w:t>
      </w:r>
      <w:r>
        <w:rPr>
          <w:rFonts w:hint="eastAsia" w:ascii="Times New Roman" w:hAnsi="Times New Roman" w:eastAsia="方正仿宋_GBK" w:cs="方正仿宋_GBK"/>
          <w:sz w:val="32"/>
          <w:szCs w:val="32"/>
          <w:shd w:val="clear" w:color="auto" w:fill="FFFFFF"/>
        </w:rPr>
        <w:t>本年支出0万元，基本支出0万元，项目支出0万元，本部门2023年度无国有资本经营预算财政拨款支出。</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黑体" w:cs="黑体"/>
          <w:b w:val="0"/>
          <w:bCs/>
          <w:sz w:val="32"/>
          <w:szCs w:val="32"/>
          <w:shd w:val="clear" w:color="auto" w:fill="FFFFFF"/>
        </w:rPr>
      </w:pPr>
      <w:r>
        <w:rPr>
          <w:rStyle w:val="10"/>
          <w:rFonts w:ascii="Times New Roman" w:hAnsi="Times New Roman" w:eastAsia="黑体" w:cs="黑体"/>
          <w:b w:val="0"/>
          <w:bCs/>
          <w:sz w:val="32"/>
          <w:szCs w:val="32"/>
          <w:shd w:val="clear" w:color="auto" w:fill="FFFFFF"/>
        </w:rPr>
        <w:t>三、“三公”经费情况说明</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sz w:val="32"/>
          <w:szCs w:val="32"/>
          <w:shd w:val="clear" w:color="auto" w:fill="FFFFFF"/>
        </w:rPr>
      </w:pPr>
      <w:r>
        <w:rPr>
          <w:rFonts w:hint="eastAsia" w:ascii="Times New Roman" w:hAnsi="Times New Roman" w:eastAsia="楷体" w:cs="楷体"/>
          <w:b w:val="0"/>
          <w:bCs/>
          <w:sz w:val="32"/>
          <w:szCs w:val="32"/>
          <w:shd w:val="clear" w:color="auto" w:fill="FFFFFF"/>
        </w:rPr>
        <w:t>（一）“三公”经费支出总体情况说明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2023年度“三公”经费支出共计</w:t>
      </w:r>
      <w:r>
        <w:rPr>
          <w:rFonts w:ascii="Times New Roman" w:hAnsi="Times New Roman" w:eastAsia="方正仿宋_GBK" w:cs="方正仿宋_GBK"/>
          <w:sz w:val="32"/>
          <w:szCs w:val="32"/>
        </w:rPr>
        <w:t>0.95</w:t>
      </w:r>
      <w:r>
        <w:rPr>
          <w:rFonts w:ascii="Times New Roman" w:hAnsi="Times New Roman" w:eastAsia="方正仿宋_GBK" w:cs="方正仿宋_GBK"/>
          <w:sz w:val="32"/>
          <w:szCs w:val="32"/>
          <w:shd w:val="clear" w:color="auto" w:fill="FFFFFF"/>
        </w:rPr>
        <w:t>万元，较年初预算数减少0.85万元，下降47.2%，主要原因是</w:t>
      </w:r>
      <w:r>
        <w:rPr>
          <w:rFonts w:hint="eastAsia" w:ascii="Times New Roman" w:hAnsi="Times New Roman" w:eastAsia="方正仿宋_GBK" w:cs="方正仿宋_GBK"/>
          <w:sz w:val="32"/>
          <w:szCs w:val="32"/>
          <w:shd w:val="clear" w:color="auto" w:fill="FFFFFF"/>
        </w:rPr>
        <w:t>认真贯彻落实中央八项规定精神，从严控制“三公”经费，严格落实公车使用规定，从严控制公车运行维护成本，强化公务接待支出管理，严格遵守公务接待开支范围和开支标准，规范因公出国（境）活动，全年未安排人员出国出访。</w:t>
      </w:r>
      <w:r>
        <w:rPr>
          <w:rFonts w:ascii="Times New Roman" w:hAnsi="Times New Roman" w:eastAsia="方正仿宋_GBK" w:cs="方正仿宋_GBK"/>
          <w:sz w:val="32"/>
          <w:szCs w:val="32"/>
          <w:shd w:val="clear" w:color="auto" w:fill="FFFFFF"/>
        </w:rPr>
        <w:t>较上年支出数减少0.79万元，下降45.4%，主要原因是</w:t>
      </w:r>
      <w:r>
        <w:rPr>
          <w:rFonts w:hint="eastAsia" w:ascii="Times New Roman" w:hAnsi="Times New Roman" w:eastAsia="方正仿宋_GBK" w:cs="方正仿宋_GBK"/>
          <w:sz w:val="32"/>
          <w:szCs w:val="32"/>
          <w:shd w:val="clear" w:color="auto" w:fill="FFFFFF"/>
        </w:rPr>
        <w:t>认真贯彻落实中央八项规定精神，从严控制“三公”经费，严格落实公车使用规定，从严控制公车运行维护成本，强化公务接待支出管理，严格遵守公务接待开支范围和开支标准，规范因公出国（境）活动，全年未安排人员出国出访。</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（二）“三公”经费分项支出情况</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2023年度本</w:t>
      </w:r>
      <w:r>
        <w:rPr>
          <w:rFonts w:hint="eastAsia" w:ascii="Times New Roman" w:hAnsi="Times New Roman" w:eastAsia="方正仿宋_GBK" w:cs="方正仿宋_GBK"/>
          <w:sz w:val="32"/>
          <w:szCs w:val="32"/>
          <w:shd w:val="clear" w:color="auto" w:fill="FFFFFF"/>
          <w:lang w:eastAsia="zh-CN"/>
        </w:rPr>
        <w:t>部门</w:t>
      </w:r>
      <w:r>
        <w:rPr>
          <w:rFonts w:ascii="Times New Roman" w:hAnsi="Times New Roman" w:eastAsia="方正仿宋_GBK" w:cs="方正仿宋_GBK"/>
          <w:sz w:val="32"/>
          <w:szCs w:val="32"/>
          <w:shd w:val="clear" w:color="auto" w:fill="FFFFFF"/>
        </w:rPr>
        <w:t>因公出国（境）费用</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费用支出较年初预算数无增减，主要原因是</w:t>
      </w:r>
      <w:r>
        <w:rPr>
          <w:rFonts w:hint="eastAsia" w:ascii="Times New Roman" w:hAnsi="Times New Roman" w:eastAsia="方正仿宋_GBK" w:cs="方正仿宋_GBK"/>
          <w:sz w:val="32"/>
          <w:szCs w:val="32"/>
          <w:shd w:val="clear" w:color="auto" w:fill="FFFFFF"/>
        </w:rPr>
        <w:t>规范因公出国（境）活动，全年未安排人员出国出访。</w:t>
      </w:r>
      <w:r>
        <w:rPr>
          <w:rFonts w:ascii="Times New Roman" w:hAnsi="Times New Roman" w:eastAsia="方正仿宋_GBK" w:cs="方正仿宋_GBK"/>
          <w:sz w:val="32"/>
          <w:szCs w:val="32"/>
          <w:shd w:val="clear" w:color="auto" w:fill="FFFFFF"/>
        </w:rPr>
        <w:t>较上年支出数无增减，主要原因是</w:t>
      </w:r>
      <w:r>
        <w:rPr>
          <w:rFonts w:hint="eastAsia" w:ascii="Times New Roman" w:hAnsi="Times New Roman" w:eastAsia="方正仿宋_GBK" w:cs="方正仿宋_GBK"/>
          <w:sz w:val="32"/>
          <w:szCs w:val="32"/>
          <w:shd w:val="clear" w:color="auto" w:fill="FFFFFF"/>
        </w:rPr>
        <w:t>规范因公出国（境）活动，全年未安排人员出国出访。</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公务车购置费0万元。费用支出较年初预算数无增减，主要原因是本年无公务用车购置费预算。较上年支出数无增减，主要原因是本年无公务用车购置费预算。</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公务</w:t>
      </w:r>
      <w:r>
        <w:rPr>
          <w:rFonts w:hint="eastAsia" w:ascii="Times New Roman" w:hAnsi="Times New Roman" w:eastAsia="方正仿宋_GBK" w:cs="方正仿宋_GBK"/>
          <w:sz w:val="32"/>
          <w:szCs w:val="32"/>
          <w:shd w:val="clear" w:color="auto" w:fill="FFFFFF"/>
          <w:lang w:eastAsia="zh-CN"/>
        </w:rPr>
        <w:t>用</w:t>
      </w:r>
      <w:bookmarkStart w:id="0" w:name="_GoBack"/>
      <w:bookmarkEnd w:id="0"/>
      <w:r>
        <w:rPr>
          <w:rFonts w:ascii="Times New Roman" w:hAnsi="Times New Roman" w:eastAsia="方正仿宋_GBK" w:cs="方正仿宋_GBK"/>
          <w:sz w:val="32"/>
          <w:szCs w:val="32"/>
          <w:shd w:val="clear" w:color="auto" w:fill="FFFFFF"/>
        </w:rPr>
        <w:t>车运行维护费</w:t>
      </w:r>
      <w:r>
        <w:rPr>
          <w:rFonts w:ascii="Times New Roman" w:hAnsi="Times New Roman" w:eastAsia="方正仿宋_GBK" w:cs="方正仿宋_GBK"/>
          <w:sz w:val="32"/>
          <w:szCs w:val="32"/>
        </w:rPr>
        <w:t>0.76</w:t>
      </w:r>
      <w:r>
        <w:rPr>
          <w:rFonts w:ascii="Times New Roman" w:hAnsi="Times New Roman" w:eastAsia="方正仿宋_GBK" w:cs="方正仿宋_GBK"/>
          <w:sz w:val="32"/>
          <w:szCs w:val="32"/>
          <w:shd w:val="clear" w:color="auto" w:fill="FFFFFF"/>
        </w:rPr>
        <w:t>万元，主要用于</w:t>
      </w:r>
      <w:r>
        <w:rPr>
          <w:rFonts w:hint="eastAsia" w:ascii="Times New Roman" w:hAnsi="Times New Roman" w:eastAsia="方正仿宋_GBK" w:cs="方正仿宋_GBK"/>
          <w:sz w:val="32"/>
          <w:szCs w:val="32"/>
          <w:shd w:val="clear" w:color="auto" w:fill="FFFFFF"/>
        </w:rPr>
        <w:t>机要文件交换、市内因公出行等工作所需车辆的燃料费、维修费、过桥过路费、保险费等。</w:t>
      </w:r>
      <w:r>
        <w:rPr>
          <w:rFonts w:ascii="Times New Roman" w:hAnsi="Times New Roman" w:eastAsia="方正仿宋_GBK" w:cs="方正仿宋_GBK"/>
          <w:sz w:val="32"/>
          <w:szCs w:val="32"/>
          <w:shd w:val="clear" w:color="auto" w:fill="FFFFFF"/>
        </w:rPr>
        <w:t>费用支出较年初预算数减少0.04万元，下降5.0%，主要原因是</w:t>
      </w:r>
      <w:r>
        <w:rPr>
          <w:rFonts w:hint="eastAsia" w:ascii="Times New Roman" w:hAnsi="Times New Roman" w:eastAsia="方正仿宋_GBK" w:cs="方正仿宋_GBK"/>
          <w:sz w:val="32"/>
          <w:szCs w:val="32"/>
          <w:shd w:val="clear" w:color="auto" w:fill="FFFFFF"/>
        </w:rPr>
        <w:t>严格落实公车使用规定，从严控制公车运行维护成本。</w:t>
      </w:r>
      <w:r>
        <w:rPr>
          <w:rFonts w:ascii="Times New Roman" w:hAnsi="Times New Roman" w:eastAsia="方正仿宋_GBK" w:cs="方正仿宋_GBK"/>
          <w:sz w:val="32"/>
          <w:szCs w:val="32"/>
          <w:shd w:val="clear" w:color="auto" w:fill="FFFFFF"/>
        </w:rPr>
        <w:t>较上年支出数减少0.04万元，下降5.0%，主要原因是</w:t>
      </w:r>
      <w:r>
        <w:rPr>
          <w:rFonts w:hint="eastAsia" w:ascii="Times New Roman" w:hAnsi="Times New Roman" w:eastAsia="方正仿宋_GBK" w:cs="方正仿宋_GBK"/>
          <w:sz w:val="32"/>
          <w:szCs w:val="32"/>
          <w:shd w:val="clear" w:color="auto" w:fill="FFFFFF"/>
        </w:rPr>
        <w:t>严格落实公车使用规定，从严控制公车运行维护成本。</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公务接待费</w:t>
      </w:r>
      <w:r>
        <w:rPr>
          <w:rFonts w:ascii="Times New Roman" w:hAnsi="Times New Roman" w:eastAsia="方正仿宋_GBK" w:cs="方正仿宋_GBK"/>
          <w:sz w:val="32"/>
          <w:szCs w:val="32"/>
        </w:rPr>
        <w:t>0.19</w:t>
      </w:r>
      <w:r>
        <w:rPr>
          <w:rFonts w:ascii="Times New Roman" w:hAnsi="Times New Roman" w:eastAsia="方正仿宋_GBK" w:cs="方正仿宋_GBK"/>
          <w:sz w:val="32"/>
          <w:szCs w:val="32"/>
          <w:shd w:val="clear" w:color="auto" w:fill="FFFFFF"/>
        </w:rPr>
        <w:t>万元，主要用于</w:t>
      </w:r>
      <w:r>
        <w:rPr>
          <w:rFonts w:hint="eastAsia" w:ascii="Times New Roman" w:hAnsi="Times New Roman" w:eastAsia="方正仿宋_GBK" w:cs="方正仿宋_GBK"/>
          <w:sz w:val="32"/>
          <w:szCs w:val="32"/>
          <w:shd w:val="clear" w:color="auto" w:fill="FFFFFF"/>
        </w:rPr>
        <w:t>接待上级部门检查指导工作，招商引资等接待支出。</w:t>
      </w:r>
      <w:r>
        <w:rPr>
          <w:rFonts w:ascii="Times New Roman" w:hAnsi="Times New Roman" w:eastAsia="方正仿宋_GBK" w:cs="方正仿宋_GBK"/>
          <w:sz w:val="32"/>
          <w:szCs w:val="32"/>
          <w:shd w:val="clear" w:color="auto" w:fill="FFFFFF"/>
        </w:rPr>
        <w:t>费用支出较年初预算数减少0.81万元，下降81.0%，主要原因是</w:t>
      </w:r>
      <w:r>
        <w:rPr>
          <w:rFonts w:hint="eastAsia" w:ascii="Times New Roman" w:hAnsi="Times New Roman" w:eastAsia="方正仿宋_GBK" w:cs="方正仿宋_GBK"/>
          <w:sz w:val="32"/>
          <w:szCs w:val="32"/>
          <w:shd w:val="clear" w:color="auto" w:fill="FFFFFF"/>
        </w:rPr>
        <w:t>强化公务接待支出管理，严格遵守公务接待开支范围和开支标准。</w:t>
      </w:r>
      <w:r>
        <w:rPr>
          <w:rFonts w:ascii="Times New Roman" w:hAnsi="Times New Roman" w:eastAsia="方正仿宋_GBK" w:cs="方正仿宋_GBK"/>
          <w:sz w:val="32"/>
          <w:szCs w:val="32"/>
          <w:shd w:val="clear" w:color="auto" w:fill="FFFFFF"/>
        </w:rPr>
        <w:t>较上年支出数减少0.75万元，下降79.</w:t>
      </w:r>
      <w:r>
        <w:rPr>
          <w:rFonts w:hint="eastAsia" w:ascii="Times New Roman" w:hAnsi="Times New Roman" w:eastAsia="方正仿宋_GBK" w:cs="方正仿宋_GBK"/>
          <w:sz w:val="32"/>
          <w:szCs w:val="32"/>
          <w:shd w:val="clear" w:color="auto" w:fill="FFFFFF"/>
          <w:lang w:val="en-US" w:eastAsia="zh-CN"/>
        </w:rPr>
        <w:t>8</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强化公务接待支出管理，严格遵守公务接待开支范围和开支标准。</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（三）“三公”经费实物量情况</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2023年度本部门因公出国（境）共计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2</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27</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人。2023年本部门人均接待费</w:t>
      </w:r>
      <w:r>
        <w:rPr>
          <w:rFonts w:ascii="Times New Roman" w:hAnsi="Times New Roman" w:eastAsia="方正仿宋_GBK" w:cs="方正仿宋_GBK"/>
          <w:sz w:val="32"/>
          <w:szCs w:val="32"/>
        </w:rPr>
        <w:t>68.93</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0.76</w:t>
      </w:r>
      <w:r>
        <w:rPr>
          <w:rFonts w:ascii="Times New Roman" w:hAnsi="Times New Roman" w:eastAsia="方正仿宋_GBK" w:cs="方正仿宋_GBK"/>
          <w:sz w:val="32"/>
          <w:szCs w:val="32"/>
          <w:shd w:val="clear" w:color="auto" w:fill="FFFFFF"/>
        </w:rPr>
        <w:t>万元。</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方正仿宋_GBK" w:cs="方正仿宋_GBK"/>
          <w:b w:val="0"/>
          <w:bCs/>
          <w:sz w:val="32"/>
          <w:szCs w:val="32"/>
          <w:shd w:val="clear" w:color="auto" w:fill="FFFFFF"/>
        </w:rPr>
      </w:pPr>
      <w:r>
        <w:rPr>
          <w:rStyle w:val="10"/>
          <w:rFonts w:ascii="Times New Roman" w:hAnsi="Times New Roman" w:eastAsia="黑体" w:cs="黑体"/>
          <w:b w:val="0"/>
          <w:bCs/>
          <w:sz w:val="32"/>
          <w:szCs w:val="32"/>
          <w:shd w:val="clear" w:color="auto" w:fill="FFFFFF"/>
        </w:rPr>
        <w:t>四、其他需要说明的事项</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sz w:val="32"/>
          <w:szCs w:val="32"/>
          <w:shd w:val="clear" w:color="auto" w:fill="FFFFFF"/>
        </w:rPr>
      </w:pPr>
      <w:r>
        <w:rPr>
          <w:rFonts w:hint="eastAsia" w:ascii="Times New Roman" w:hAnsi="Times New Roman" w:eastAsia="楷体" w:cs="楷体"/>
          <w:b w:val="0"/>
          <w:bCs/>
          <w:sz w:val="32"/>
          <w:szCs w:val="32"/>
          <w:shd w:val="clear" w:color="auto" w:fill="FFFFFF"/>
        </w:rPr>
        <w:t>（一）财政拨款会议费和培训费情况说明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shd w:val="clear" w:color="auto" w:fill="FFFFFF"/>
        </w:rPr>
        <w:t>本年度会议费支出0万元，较上年决算数无增减。</w:t>
      </w:r>
      <w:r>
        <w:rPr>
          <w:rFonts w:ascii="Times New Roman" w:hAnsi="Times New Roman" w:eastAsia="方正仿宋_GBK" w:cs="方正仿宋_GBK"/>
          <w:b w:val="0"/>
          <w:bCs/>
          <w:sz w:val="32"/>
          <w:szCs w:val="32"/>
          <w:shd w:val="clear" w:color="auto" w:fill="FFFFFF"/>
        </w:rPr>
        <w:t>本年度培训费支出</w:t>
      </w:r>
      <w:r>
        <w:rPr>
          <w:rFonts w:ascii="Times New Roman" w:hAnsi="Times New Roman" w:eastAsia="方正仿宋_GBK" w:cs="方正仿宋_GBK"/>
          <w:b w:val="0"/>
          <w:bCs/>
          <w:sz w:val="32"/>
          <w:szCs w:val="32"/>
        </w:rPr>
        <w:t>5.98</w:t>
      </w:r>
      <w:r>
        <w:rPr>
          <w:rFonts w:ascii="Times New Roman" w:hAnsi="Times New Roman" w:eastAsia="方正仿宋_GBK" w:cs="方正仿宋_GBK"/>
          <w:b w:val="0"/>
          <w:bCs/>
          <w:sz w:val="32"/>
          <w:szCs w:val="32"/>
          <w:shd w:val="clear" w:color="auto" w:fill="FFFFFF"/>
        </w:rPr>
        <w:t>万元，较上年决算数增加4.39万元，增长276.1%，</w:t>
      </w:r>
      <w:r>
        <w:rPr>
          <w:rFonts w:hint="eastAsia" w:ascii="Times New Roman" w:hAnsi="Times New Roman" w:eastAsia="方正仿宋_GBK" w:cs="方正仿宋_GBK"/>
          <w:b w:val="0"/>
          <w:bCs/>
          <w:sz w:val="32"/>
          <w:szCs w:val="32"/>
          <w:shd w:val="clear" w:color="auto" w:fill="FFFFFF"/>
          <w:lang w:eastAsia="zh-CN"/>
        </w:rPr>
        <w:t>主要原因是</w:t>
      </w:r>
      <w:r>
        <w:rPr>
          <w:rFonts w:hint="eastAsia" w:ascii="Times New Roman" w:hAnsi="Times New Roman" w:eastAsia="方正仿宋_GBK" w:cs="方正仿宋_GBK"/>
          <w:b w:val="0"/>
          <w:bCs/>
          <w:sz w:val="32"/>
          <w:szCs w:val="32"/>
          <w:shd w:val="clear" w:color="auto" w:fill="FFFFFF"/>
        </w:rPr>
        <w:t>年中新成立了1个下属事业单位。</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sz w:val="32"/>
          <w:szCs w:val="32"/>
          <w:shd w:val="clear" w:color="auto" w:fill="FFFFFF"/>
        </w:rPr>
      </w:pPr>
      <w:r>
        <w:rPr>
          <w:rFonts w:hint="eastAsia" w:ascii="Times New Roman" w:hAnsi="Times New Roman" w:eastAsia="楷体" w:cs="楷体"/>
          <w:b w:val="0"/>
          <w:bCs/>
          <w:sz w:val="32"/>
          <w:szCs w:val="32"/>
          <w:shd w:val="clear" w:color="auto" w:fill="FFFFFF"/>
        </w:rPr>
        <w:t>（二）机关运行经费情况说明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b w:val="0"/>
          <w:bCs/>
          <w:sz w:val="32"/>
          <w:szCs w:val="32"/>
          <w:shd w:val="clear" w:color="auto" w:fill="FFFFFF"/>
        </w:rPr>
        <w:t>2023年度本部门机关运行经费支出</w:t>
      </w:r>
      <w:r>
        <w:rPr>
          <w:rFonts w:ascii="Times New Roman" w:hAnsi="Times New Roman" w:eastAsia="方正仿宋_GBK" w:cs="方正仿宋_GBK"/>
          <w:b w:val="0"/>
          <w:bCs/>
          <w:sz w:val="32"/>
          <w:szCs w:val="32"/>
        </w:rPr>
        <w:t>19.42</w:t>
      </w:r>
      <w:r>
        <w:rPr>
          <w:rFonts w:ascii="Times New Roman" w:hAnsi="Times New Roman" w:eastAsia="方正仿宋_GBK" w:cs="方正仿宋_GBK"/>
          <w:b w:val="0"/>
          <w:bCs/>
          <w:sz w:val="32"/>
          <w:szCs w:val="32"/>
          <w:shd w:val="clear" w:color="auto" w:fill="FFFFFF"/>
        </w:rPr>
        <w:t>万元，机关运行经</w:t>
      </w:r>
      <w:r>
        <w:rPr>
          <w:rFonts w:ascii="Times New Roman" w:hAnsi="Times New Roman" w:eastAsia="方正仿宋_GBK" w:cs="方正仿宋_GBK"/>
          <w:sz w:val="32"/>
          <w:szCs w:val="32"/>
          <w:shd w:val="clear" w:color="auto" w:fill="FFFFFF"/>
        </w:rPr>
        <w:t>费主要用于开支</w:t>
      </w:r>
      <w:r>
        <w:rPr>
          <w:rFonts w:hint="eastAsia" w:ascii="Times New Roman" w:hAnsi="Times New Roman" w:eastAsia="方正仿宋_GBK" w:cs="方正仿宋_GBK"/>
          <w:sz w:val="32"/>
          <w:szCs w:val="32"/>
          <w:shd w:val="clear" w:color="auto" w:fill="FFFFFF"/>
        </w:rPr>
        <w:t>办公费、差旅费、水电费、邮电费、劳务费、物业管理费、公务用车运行维护费、其他交通费等。</w:t>
      </w:r>
      <w:r>
        <w:rPr>
          <w:rFonts w:ascii="Times New Roman" w:hAnsi="Times New Roman" w:eastAsia="方正仿宋_GBK" w:cs="方正仿宋_GBK"/>
          <w:sz w:val="32"/>
          <w:szCs w:val="32"/>
          <w:shd w:val="clear" w:color="auto" w:fill="FFFFFF"/>
        </w:rPr>
        <w:t>机关运行经费较上年支出数减少12.72万元，下降39.</w:t>
      </w:r>
      <w:r>
        <w:rPr>
          <w:rFonts w:hint="eastAsia" w:ascii="Times New Roman" w:hAnsi="Times New Roman" w:eastAsia="方正仿宋_GBK" w:cs="方正仿宋_GBK"/>
          <w:sz w:val="32"/>
          <w:szCs w:val="32"/>
          <w:shd w:val="clear" w:color="auto" w:fill="FFFFFF"/>
          <w:lang w:val="en-US" w:eastAsia="zh-CN"/>
        </w:rPr>
        <w:t>6</w:t>
      </w:r>
      <w:r>
        <w:rPr>
          <w:rFonts w:ascii="Times New Roman" w:hAnsi="Times New Roman" w:eastAsia="方正仿宋_GBK" w:cs="方正仿宋_GBK"/>
          <w:sz w:val="32"/>
          <w:szCs w:val="32"/>
          <w:shd w:val="clear" w:color="auto" w:fill="FFFFFF"/>
        </w:rPr>
        <w:t>%，主要原因是</w:t>
      </w:r>
      <w:r>
        <w:rPr>
          <w:rFonts w:hint="eastAsia" w:ascii="Times New Roman" w:hAnsi="Times New Roman" w:eastAsia="方正仿宋_GBK" w:cs="方正仿宋_GBK"/>
          <w:sz w:val="32"/>
          <w:szCs w:val="32"/>
          <w:shd w:val="clear" w:color="auto" w:fill="FFFFFF"/>
        </w:rPr>
        <w:t>办公经费减少。</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（三）国有资产占用情况说明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截至2023年12月31日，本部门共有车辆</w:t>
      </w:r>
      <w:r>
        <w:rPr>
          <w:rFonts w:ascii="Times New Roman" w:hAnsi="Times New Roman" w:eastAsia="方正仿宋_GBK" w:cs="方正仿宋_GBK"/>
          <w:b w:val="0"/>
          <w:bCs w:val="0"/>
          <w:sz w:val="32"/>
          <w:szCs w:val="32"/>
        </w:rPr>
        <w:t>1</w:t>
      </w:r>
      <w:r>
        <w:rPr>
          <w:rFonts w:ascii="Times New Roman" w:hAnsi="Times New Roman" w:eastAsia="方正仿宋_GBK" w:cs="方正仿宋_GBK"/>
          <w:b w:val="0"/>
          <w:bCs w:val="0"/>
          <w:sz w:val="32"/>
          <w:szCs w:val="32"/>
          <w:shd w:val="clear" w:color="auto" w:fill="FFFFFF"/>
        </w:rPr>
        <w:t>辆，其中，副部（省）级及以上领导用车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辆、主要负责人用车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辆、机要通信用车</w:t>
      </w:r>
      <w:r>
        <w:rPr>
          <w:rFonts w:ascii="Times New Roman" w:hAnsi="Times New Roman" w:eastAsia="方正仿宋_GBK" w:cs="方正仿宋_GBK"/>
          <w:b w:val="0"/>
          <w:bCs w:val="0"/>
          <w:sz w:val="32"/>
          <w:szCs w:val="32"/>
        </w:rPr>
        <w:t>1</w:t>
      </w:r>
      <w:r>
        <w:rPr>
          <w:rFonts w:ascii="Times New Roman" w:hAnsi="Times New Roman" w:eastAsia="方正仿宋_GBK" w:cs="方正仿宋_GBK"/>
          <w:b w:val="0"/>
          <w:bCs w:val="0"/>
          <w:sz w:val="32"/>
          <w:szCs w:val="32"/>
          <w:shd w:val="clear" w:color="auto" w:fill="FFFFFF"/>
        </w:rPr>
        <w:t>辆、应急保障用车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辆、执法执勤用车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辆，特种专业技术用车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辆，离退休干部用车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辆。单价100万元（含）以上专用设备</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台（套）。</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（四）政府采购支出情况说明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color w:val="FF000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2023年度我单位未发生政府采购事项，无相关经费支出。</w:t>
      </w:r>
    </w:p>
    <w:p>
      <w:pPr>
        <w:pStyle w:val="6"/>
        <w:keepNext w:val="0"/>
        <w:keepLines w:val="0"/>
        <w:pageBreakBefore w:val="0"/>
        <w:widowControl/>
        <w:numPr>
          <w:ilvl w:val="0"/>
          <w:numId w:val="0"/>
        </w:numPr>
        <w:shd w:val="clear" w:color="auto" w:fill="FFFFFF"/>
        <w:kinsoku/>
        <w:wordWrap/>
        <w:overflowPunct/>
        <w:topLinePunct w:val="0"/>
        <w:autoSpaceDN/>
        <w:bidi w:val="0"/>
        <w:adjustRightInd/>
        <w:snapToGrid/>
        <w:spacing w:before="0" w:beforeAutospacing="0" w:after="0" w:afterAutospacing="0" w:line="600" w:lineRule="exact"/>
        <w:ind w:firstLine="640" w:firstLineChars="200"/>
        <w:textAlignment w:val="auto"/>
        <w:rPr>
          <w:rStyle w:val="10"/>
          <w:rFonts w:hint="default" w:ascii="Times New Roman" w:hAnsi="Times New Roman" w:eastAsia="黑体" w:cs="黑体"/>
          <w:b w:val="0"/>
          <w:bCs w:val="0"/>
          <w:sz w:val="32"/>
          <w:szCs w:val="32"/>
          <w:shd w:val="clear" w:color="auto" w:fill="FFFFFF"/>
        </w:rPr>
      </w:pPr>
      <w:r>
        <w:rPr>
          <w:rStyle w:val="10"/>
          <w:rFonts w:hint="eastAsia" w:ascii="Times New Roman" w:hAnsi="Times New Roman" w:eastAsia="黑体" w:cs="黑体"/>
          <w:b w:val="0"/>
          <w:bCs w:val="0"/>
          <w:sz w:val="32"/>
          <w:szCs w:val="32"/>
          <w:shd w:val="clear" w:color="auto" w:fill="FFFFFF"/>
          <w:lang w:eastAsia="zh-CN"/>
        </w:rPr>
        <w:t>五、</w:t>
      </w:r>
      <w:r>
        <w:rPr>
          <w:rStyle w:val="10"/>
          <w:rFonts w:ascii="Times New Roman" w:hAnsi="Times New Roman" w:eastAsia="黑体" w:cs="黑体"/>
          <w:b w:val="0"/>
          <w:bCs w:val="0"/>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0" w:firstLineChars="200"/>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（一）部门自评情况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b w:val="0"/>
          <w:bCs w:val="0"/>
          <w:sz w:val="32"/>
          <w:szCs w:val="32"/>
          <w:shd w:val="clear" w:color="auto" w:fill="FFFFFF"/>
        </w:rPr>
        <w:t>根据预算绩效管理要求，我部门对部门整体和</w:t>
      </w:r>
      <w:r>
        <w:rPr>
          <w:rFonts w:hint="eastAsia" w:ascii="Times New Roman" w:hAnsi="Times New Roman" w:eastAsia="方正仿宋_GBK" w:cs="方正仿宋_GBK"/>
          <w:b w:val="0"/>
          <w:bCs w:val="0"/>
          <w:sz w:val="32"/>
          <w:szCs w:val="32"/>
          <w:shd w:val="clear" w:color="auto" w:fill="FFFFFF"/>
          <w:lang w:val="en-US" w:eastAsia="zh-CN"/>
        </w:rPr>
        <w:t>2</w:t>
      </w:r>
      <w:r>
        <w:rPr>
          <w:rFonts w:hint="eastAsia" w:ascii="Times New Roman" w:hAnsi="Times New Roman" w:eastAsia="方正仿宋_GBK" w:cs="方正仿宋_GBK"/>
          <w:b w:val="0"/>
          <w:bCs w:val="0"/>
          <w:sz w:val="32"/>
          <w:szCs w:val="32"/>
          <w:shd w:val="clear" w:color="auto" w:fill="FFFFFF"/>
        </w:rPr>
        <w:t>个一级项</w:t>
      </w:r>
      <w:r>
        <w:rPr>
          <w:rFonts w:hint="eastAsia" w:ascii="Times New Roman" w:hAnsi="Times New Roman" w:eastAsia="方正仿宋_GBK" w:cs="方正仿宋_GBK"/>
          <w:sz w:val="32"/>
          <w:szCs w:val="32"/>
          <w:shd w:val="clear" w:color="auto" w:fill="FFFFFF"/>
        </w:rPr>
        <w:t>目、</w:t>
      </w:r>
      <w:r>
        <w:rPr>
          <w:rFonts w:hint="eastAsia" w:ascii="Times New Roman" w:hAnsi="Times New Roman" w:eastAsia="方正仿宋_GBK" w:cs="方正仿宋_GBK"/>
          <w:sz w:val="32"/>
          <w:szCs w:val="32"/>
          <w:shd w:val="clear" w:color="auto" w:fill="FFFFFF"/>
          <w:lang w:val="en-US" w:eastAsia="zh-CN"/>
        </w:rPr>
        <w:t>24</w:t>
      </w:r>
      <w:r>
        <w:rPr>
          <w:rFonts w:hint="eastAsia" w:ascii="Times New Roman" w:hAnsi="Times New Roman" w:eastAsia="方正仿宋_GBK" w:cs="方正仿宋_GBK"/>
          <w:sz w:val="32"/>
          <w:szCs w:val="32"/>
          <w:shd w:val="clear" w:color="auto" w:fill="FFFFFF"/>
        </w:rPr>
        <w:t>个二级项目开展了绩效自评，涉及财政拨款项目支出资金620.86万元</w:t>
      </w:r>
      <w:r>
        <w:rPr>
          <w:rFonts w:hint="eastAsia" w:ascii="Times New Roman" w:hAnsi="Times New Roman" w:eastAsia="方正仿宋_GBK" w:cs="方正仿宋_GBK"/>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b w:val="0"/>
          <w:bCs/>
          <w:sz w:val="32"/>
          <w:szCs w:val="32"/>
          <w:shd w:val="clear" w:color="auto" w:fill="FFFFFF"/>
          <w:lang w:eastAsia="zh-CN"/>
        </w:rPr>
      </w:pPr>
      <w:r>
        <w:rPr>
          <w:rFonts w:hint="eastAsia" w:ascii="Times New Roman" w:hAnsi="Times New Roman" w:eastAsia="方正仿宋_GBK" w:cs="宋体"/>
          <w:b w:val="0"/>
          <w:bCs/>
          <w:kern w:val="0"/>
          <w:sz w:val="32"/>
          <w:szCs w:val="32"/>
        </w:rPr>
        <w:t>（</w:t>
      </w:r>
      <w:r>
        <w:rPr>
          <w:rFonts w:hint="eastAsia" w:ascii="Times New Roman" w:hAnsi="Times New Roman" w:eastAsia="方正仿宋_GBK" w:cs="宋体"/>
          <w:b w:val="0"/>
          <w:bCs/>
          <w:kern w:val="0"/>
          <w:sz w:val="32"/>
          <w:szCs w:val="32"/>
          <w:lang w:eastAsia="zh-CN"/>
        </w:rPr>
        <w:t>二</w:t>
      </w:r>
      <w:r>
        <w:rPr>
          <w:rFonts w:hint="eastAsia" w:ascii="Times New Roman" w:hAnsi="Times New Roman" w:eastAsia="方正仿宋_GBK" w:cs="宋体"/>
          <w:b w:val="0"/>
          <w:bCs/>
          <w:kern w:val="0"/>
          <w:sz w:val="32"/>
          <w:szCs w:val="32"/>
        </w:rPr>
        <w:t>）</w:t>
      </w:r>
      <w:r>
        <w:rPr>
          <w:rFonts w:hint="eastAsia" w:ascii="Times New Roman" w:hAnsi="Times New Roman" w:eastAsia="方正仿宋_GBK" w:cs="宋体"/>
          <w:b w:val="0"/>
          <w:bCs/>
          <w:kern w:val="0"/>
          <w:sz w:val="32"/>
          <w:szCs w:val="32"/>
          <w:lang w:eastAsia="zh-CN"/>
        </w:rPr>
        <w:t>绩效自评结果</w:t>
      </w:r>
    </w:p>
    <w:tbl>
      <w:tblPr>
        <w:tblStyle w:val="7"/>
        <w:tblW w:w="9540" w:type="dxa"/>
        <w:jc w:val="center"/>
        <w:tblLayout w:type="fixed"/>
        <w:tblCellMar>
          <w:top w:w="0" w:type="dxa"/>
          <w:left w:w="108" w:type="dxa"/>
          <w:bottom w:w="0" w:type="dxa"/>
          <w:right w:w="108" w:type="dxa"/>
        </w:tblCellMar>
      </w:tblPr>
      <w:tblGrid>
        <w:gridCol w:w="582"/>
        <w:gridCol w:w="372"/>
        <w:gridCol w:w="1068"/>
        <w:gridCol w:w="705"/>
        <w:gridCol w:w="45"/>
        <w:gridCol w:w="585"/>
        <w:gridCol w:w="195"/>
        <w:gridCol w:w="540"/>
        <w:gridCol w:w="165"/>
        <w:gridCol w:w="720"/>
        <w:gridCol w:w="120"/>
        <w:gridCol w:w="660"/>
        <w:gridCol w:w="735"/>
        <w:gridCol w:w="60"/>
        <w:gridCol w:w="330"/>
        <w:gridCol w:w="465"/>
        <w:gridCol w:w="421"/>
        <w:gridCol w:w="479"/>
        <w:gridCol w:w="330"/>
        <w:gridCol w:w="963"/>
      </w:tblGrid>
      <w:tr>
        <w:tblPrEx>
          <w:tblCellMar>
            <w:top w:w="0" w:type="dxa"/>
            <w:left w:w="108" w:type="dxa"/>
            <w:bottom w:w="0" w:type="dxa"/>
            <w:right w:w="108" w:type="dxa"/>
          </w:tblCellMar>
        </w:tblPrEx>
        <w:trPr>
          <w:trHeight w:val="552" w:hRule="atLeast"/>
          <w:jc w:val="center"/>
        </w:trPr>
        <w:tc>
          <w:tcPr>
            <w:tcW w:w="9540" w:type="dxa"/>
            <w:gridSpan w:val="20"/>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小标宋_GBK" w:cs="方正小标宋_GBK"/>
                <w:color w:val="000000"/>
                <w:kern w:val="0"/>
                <w:sz w:val="36"/>
                <w:szCs w:val="36"/>
                <w:lang w:eastAsia="zh-CN" w:bidi="ar"/>
              </w:rPr>
            </w:pPr>
            <w:r>
              <w:rPr>
                <w:rFonts w:hint="eastAsia" w:ascii="Times New Roman" w:hAnsi="Times New Roman" w:eastAsia="方正小标宋_GBK" w:cs="方正小标宋_GBK"/>
                <w:color w:val="000000"/>
                <w:kern w:val="0"/>
                <w:sz w:val="36"/>
                <w:szCs w:val="36"/>
                <w:lang w:eastAsia="zh-CN" w:bidi="ar"/>
              </w:rPr>
              <w:t>重庆市万州区大数据应用发展管理局</w:t>
            </w:r>
          </w:p>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202</w:t>
            </w:r>
            <w:r>
              <w:rPr>
                <w:rFonts w:hint="eastAsia" w:ascii="Times New Roman" w:hAnsi="Times New Roman" w:eastAsia="方正小标宋_GBK" w:cs="方正小标宋_GBK"/>
                <w:color w:val="000000"/>
                <w:kern w:val="0"/>
                <w:sz w:val="36"/>
                <w:szCs w:val="36"/>
                <w:lang w:val="en-US" w:eastAsia="zh-CN" w:bidi="ar"/>
              </w:rPr>
              <w:t>3</w:t>
            </w:r>
            <w:r>
              <w:rPr>
                <w:rFonts w:hint="eastAsia" w:ascii="Times New Roman" w:hAnsi="Times New Roman" w:eastAsia="方正小标宋_GBK" w:cs="方正小标宋_GBK"/>
                <w:color w:val="000000"/>
                <w:kern w:val="0"/>
                <w:sz w:val="36"/>
                <w:szCs w:val="36"/>
                <w:lang w:bidi="ar"/>
              </w:rPr>
              <w:t>年度部门整体绩效自评表</w:t>
            </w:r>
          </w:p>
        </w:tc>
      </w:tr>
      <w:tr>
        <w:tblPrEx>
          <w:tblCellMar>
            <w:top w:w="0" w:type="dxa"/>
            <w:left w:w="108" w:type="dxa"/>
            <w:bottom w:w="0" w:type="dxa"/>
            <w:right w:w="108" w:type="dxa"/>
          </w:tblCellMar>
        </w:tblPrEx>
        <w:trPr>
          <w:trHeight w:val="529" w:hRule="atLeast"/>
          <w:jc w:val="center"/>
        </w:trPr>
        <w:tc>
          <w:tcPr>
            <w:tcW w:w="954"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kern w:val="0"/>
                <w:sz w:val="18"/>
                <w:szCs w:val="18"/>
                <w:lang w:bidi="ar"/>
              </w:rPr>
              <w:t>主管部门</w:t>
            </w:r>
          </w:p>
        </w:tc>
        <w:tc>
          <w:tcPr>
            <w:tcW w:w="1818" w:type="dxa"/>
            <w:gridSpan w:val="3"/>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Times New Roman" w:hAnsi="Times New Roman" w:eastAsia="宋体" w:cs="宋体"/>
                <w:color w:val="000000"/>
                <w:sz w:val="20"/>
                <w:szCs w:val="20"/>
                <w:lang w:eastAsia="zh-CN"/>
              </w:rPr>
            </w:pPr>
            <w:r>
              <w:rPr>
                <w:rFonts w:hint="eastAsia" w:ascii="Times New Roman" w:hAnsi="Times New Roman" w:cs="宋体"/>
                <w:color w:val="000000"/>
                <w:sz w:val="20"/>
                <w:szCs w:val="20"/>
                <w:lang w:eastAsia="zh-CN"/>
              </w:rPr>
              <w:t>重庆市万州区大数据应用发展管理局</w:t>
            </w:r>
          </w:p>
        </w:tc>
        <w:tc>
          <w:tcPr>
            <w:tcW w:w="13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宋体"/>
                <w:color w:val="000000"/>
                <w:sz w:val="20"/>
                <w:szCs w:val="20"/>
                <w:lang w:eastAsia="zh-CN"/>
              </w:rPr>
            </w:pPr>
            <w:r>
              <w:rPr>
                <w:rFonts w:hint="eastAsia" w:ascii="Times New Roman" w:hAnsi="Times New Roman" w:cs="宋体"/>
                <w:color w:val="000000"/>
                <w:sz w:val="20"/>
                <w:szCs w:val="20"/>
                <w:lang w:eastAsia="zh-CN"/>
              </w:rPr>
              <w:t>部门编码</w:t>
            </w:r>
          </w:p>
        </w:tc>
        <w:tc>
          <w:tcPr>
            <w:tcW w:w="885" w:type="dxa"/>
            <w:gridSpan w:val="2"/>
            <w:tcBorders>
              <w:top w:val="single" w:color="auto" w:sz="4" w:space="0"/>
              <w:left w:val="single" w:color="auto" w:sz="4" w:space="0"/>
              <w:bottom w:val="single" w:color="auto" w:sz="4" w:space="0"/>
              <w:right w:val="single" w:color="000000" w:sz="4" w:space="0"/>
            </w:tcBorders>
            <w:noWrap w:val="0"/>
            <w:vAlign w:val="center"/>
          </w:tcPr>
          <w:p>
            <w:pPr>
              <w:jc w:val="center"/>
              <w:rPr>
                <w:rFonts w:hint="default" w:ascii="Times New Roman" w:hAnsi="Times New Roman" w:eastAsia="宋体" w:cs="宋体"/>
                <w:color w:val="000000"/>
                <w:sz w:val="20"/>
                <w:szCs w:val="20"/>
                <w:lang w:val="en-US" w:eastAsia="zh-CN"/>
              </w:rPr>
            </w:pPr>
            <w:r>
              <w:rPr>
                <w:rFonts w:hint="eastAsia" w:ascii="Times New Roman" w:hAnsi="Times New Roman" w:cs="宋体"/>
                <w:color w:val="000000"/>
                <w:sz w:val="20"/>
                <w:szCs w:val="20"/>
                <w:lang w:val="en-US" w:eastAsia="zh-CN"/>
              </w:rPr>
              <w:t>501</w:t>
            </w:r>
          </w:p>
        </w:tc>
        <w:tc>
          <w:tcPr>
            <w:tcW w:w="1905" w:type="dxa"/>
            <w:gridSpan w:val="5"/>
            <w:tcBorders>
              <w:top w:val="single" w:color="auto" w:sz="4" w:space="0"/>
              <w:left w:val="single" w:color="000000" w:sz="4" w:space="0"/>
              <w:bottom w:val="single" w:color="auto" w:sz="4" w:space="0"/>
              <w:right w:val="single" w:color="000000" w:sz="4" w:space="0"/>
            </w:tcBorders>
            <w:noWrap w:val="0"/>
            <w:vAlign w:val="center"/>
          </w:tcPr>
          <w:p>
            <w:pPr>
              <w:widowControl/>
              <w:jc w:val="both"/>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kern w:val="0"/>
                <w:sz w:val="18"/>
                <w:szCs w:val="18"/>
                <w:lang w:bidi="ar"/>
              </w:rPr>
              <w:t>自评总分（分）</w:t>
            </w:r>
          </w:p>
        </w:tc>
        <w:tc>
          <w:tcPr>
            <w:tcW w:w="2658" w:type="dxa"/>
            <w:gridSpan w:val="5"/>
            <w:tcBorders>
              <w:top w:val="single" w:color="auto" w:sz="4" w:space="0"/>
              <w:left w:val="single" w:color="000000" w:sz="4" w:space="0"/>
              <w:bottom w:val="single" w:color="auto" w:sz="4" w:space="0"/>
              <w:right w:val="single" w:color="000000" w:sz="4" w:space="0"/>
            </w:tcBorders>
            <w:noWrap/>
            <w:vAlign w:val="center"/>
          </w:tcPr>
          <w:p>
            <w:pPr>
              <w:rPr>
                <w:rFonts w:hint="default" w:ascii="Times New Roman" w:hAnsi="Times New Roman" w:eastAsia="宋体" w:cs="宋体"/>
                <w:color w:val="000000"/>
                <w:sz w:val="20"/>
                <w:szCs w:val="20"/>
                <w:lang w:val="en-US" w:eastAsia="zh-CN"/>
              </w:rPr>
            </w:pPr>
            <w:r>
              <w:rPr>
                <w:rFonts w:hint="eastAsia" w:ascii="Times New Roman" w:hAnsi="Times New Roman" w:cs="宋体"/>
                <w:color w:val="000000"/>
                <w:sz w:val="20"/>
                <w:szCs w:val="20"/>
                <w:lang w:val="en-US" w:eastAsia="zh-CN"/>
              </w:rPr>
              <w:t>97.77</w:t>
            </w:r>
          </w:p>
        </w:tc>
      </w:tr>
      <w:tr>
        <w:tblPrEx>
          <w:tblCellMar>
            <w:top w:w="0" w:type="dxa"/>
            <w:left w:w="108" w:type="dxa"/>
            <w:bottom w:w="0" w:type="dxa"/>
            <w:right w:w="108" w:type="dxa"/>
          </w:tblCellMar>
        </w:tblPrEx>
        <w:trPr>
          <w:trHeight w:val="195" w:hRule="atLeast"/>
          <w:jc w:val="center"/>
        </w:trPr>
        <w:tc>
          <w:tcPr>
            <w:tcW w:w="954"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bidi="ar"/>
              </w:rPr>
            </w:pPr>
            <w:r>
              <w:rPr>
                <w:rFonts w:hint="eastAsia" w:ascii="Times New Roman" w:hAnsi="Times New Roman" w:eastAsia="方正仿宋_GBK" w:cs="方正仿宋_GBK"/>
                <w:color w:val="000000"/>
                <w:kern w:val="0"/>
                <w:sz w:val="18"/>
                <w:szCs w:val="18"/>
                <w:lang w:bidi="ar"/>
              </w:rPr>
              <w:t>部门</w:t>
            </w:r>
            <w:r>
              <w:rPr>
                <w:rFonts w:hint="eastAsia" w:ascii="Times New Roman" w:hAnsi="Times New Roman" w:eastAsia="方正仿宋_GBK" w:cs="方正仿宋_GBK"/>
                <w:color w:val="000000"/>
                <w:kern w:val="0"/>
                <w:sz w:val="18"/>
                <w:szCs w:val="18"/>
                <w:lang w:bidi="ar"/>
              </w:rPr>
              <w:br w:type="textWrapping"/>
            </w:r>
            <w:r>
              <w:rPr>
                <w:rFonts w:hint="eastAsia" w:ascii="Times New Roman" w:hAnsi="Times New Roman" w:eastAsia="方正仿宋_GBK" w:cs="方正仿宋_GBK"/>
                <w:color w:val="000000"/>
                <w:kern w:val="0"/>
                <w:sz w:val="18"/>
                <w:szCs w:val="18"/>
                <w:lang w:bidi="ar"/>
              </w:rPr>
              <w:t>联系人</w:t>
            </w:r>
          </w:p>
        </w:tc>
        <w:tc>
          <w:tcPr>
            <w:tcW w:w="4023" w:type="dxa"/>
            <w:gridSpan w:val="8"/>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Times New Roman" w:hAnsi="Times New Roman" w:eastAsia="宋体" w:cs="宋体"/>
                <w:color w:val="000000"/>
                <w:sz w:val="20"/>
                <w:szCs w:val="20"/>
                <w:lang w:eastAsia="zh-CN"/>
              </w:rPr>
            </w:pPr>
            <w:r>
              <w:rPr>
                <w:rFonts w:hint="eastAsia" w:ascii="Times New Roman" w:hAnsi="Times New Roman" w:cs="宋体"/>
                <w:color w:val="000000"/>
                <w:sz w:val="20"/>
                <w:szCs w:val="20"/>
                <w:lang w:eastAsia="zh-CN"/>
              </w:rPr>
              <w:t>李彦霖</w:t>
            </w:r>
          </w:p>
        </w:tc>
        <w:tc>
          <w:tcPr>
            <w:tcW w:w="1905" w:type="dxa"/>
            <w:gridSpan w:val="5"/>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bidi="ar"/>
              </w:rPr>
            </w:pPr>
            <w:r>
              <w:rPr>
                <w:rFonts w:hint="eastAsia" w:ascii="Times New Roman" w:hAnsi="Times New Roman" w:eastAsia="方正仿宋_GBK" w:cs="方正仿宋_GBK"/>
                <w:color w:val="000000"/>
                <w:kern w:val="0"/>
                <w:sz w:val="18"/>
                <w:szCs w:val="18"/>
                <w:lang w:bidi="ar"/>
              </w:rPr>
              <w:t>联系电话</w:t>
            </w:r>
          </w:p>
        </w:tc>
        <w:tc>
          <w:tcPr>
            <w:tcW w:w="2658" w:type="dxa"/>
            <w:gridSpan w:val="5"/>
            <w:tcBorders>
              <w:top w:val="single" w:color="auto" w:sz="4" w:space="0"/>
              <w:left w:val="single" w:color="000000" w:sz="4" w:space="0"/>
              <w:bottom w:val="single" w:color="auto" w:sz="4" w:space="0"/>
              <w:right w:val="single" w:color="000000" w:sz="4" w:space="0"/>
            </w:tcBorders>
            <w:noWrap/>
            <w:vAlign w:val="center"/>
          </w:tcPr>
          <w:p>
            <w:pPr>
              <w:rPr>
                <w:rFonts w:hint="default" w:ascii="Times New Roman" w:hAnsi="Times New Roman" w:eastAsia="宋体" w:cs="宋体"/>
                <w:color w:val="000000"/>
                <w:sz w:val="20"/>
                <w:szCs w:val="20"/>
                <w:lang w:val="en-US" w:eastAsia="zh-CN"/>
              </w:rPr>
            </w:pPr>
            <w:r>
              <w:rPr>
                <w:rFonts w:hint="eastAsia" w:ascii="Times New Roman" w:hAnsi="Times New Roman" w:cs="宋体"/>
                <w:color w:val="000000"/>
                <w:sz w:val="20"/>
                <w:szCs w:val="20"/>
                <w:lang w:val="en-US" w:eastAsia="zh-CN"/>
              </w:rPr>
              <w:t>58966399</w:t>
            </w:r>
          </w:p>
        </w:tc>
      </w:tr>
      <w:tr>
        <w:tblPrEx>
          <w:tblCellMar>
            <w:top w:w="0" w:type="dxa"/>
            <w:left w:w="108" w:type="dxa"/>
            <w:bottom w:w="0" w:type="dxa"/>
            <w:right w:w="108" w:type="dxa"/>
          </w:tblCellMar>
        </w:tblPrEx>
        <w:trPr>
          <w:trHeight w:val="186" w:hRule="atLeast"/>
          <w:jc w:val="center"/>
        </w:trPr>
        <w:tc>
          <w:tcPr>
            <w:tcW w:w="954"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bidi="ar"/>
              </w:rPr>
            </w:pPr>
          </w:p>
        </w:tc>
        <w:tc>
          <w:tcPr>
            <w:tcW w:w="1818" w:type="dxa"/>
            <w:gridSpan w:val="3"/>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Times New Roman" w:hAnsi="Times New Roman" w:eastAsia="方正仿宋_GBK" w:cs="宋体"/>
                <w:color w:val="000000"/>
                <w:sz w:val="20"/>
                <w:szCs w:val="20"/>
                <w:lang w:eastAsia="zh-CN"/>
              </w:rPr>
            </w:pPr>
            <w:r>
              <w:rPr>
                <w:rFonts w:hint="eastAsia" w:ascii="Times New Roman" w:hAnsi="Times New Roman" w:cs="宋体"/>
                <w:color w:val="000000"/>
                <w:sz w:val="20"/>
                <w:szCs w:val="20"/>
                <w:lang w:eastAsia="zh-CN"/>
              </w:rPr>
              <w:t>年初预算数</w:t>
            </w:r>
          </w:p>
        </w:tc>
        <w:tc>
          <w:tcPr>
            <w:tcW w:w="2205" w:type="dxa"/>
            <w:gridSpan w:val="5"/>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Times New Roman" w:hAnsi="Times New Roman" w:eastAsia="方正仿宋_GBK" w:cs="方正仿宋_GBK"/>
                <w:color w:val="000000"/>
                <w:kern w:val="0"/>
                <w:sz w:val="18"/>
                <w:szCs w:val="18"/>
                <w:lang w:bidi="ar"/>
              </w:rPr>
            </w:pPr>
            <w:r>
              <w:rPr>
                <w:rFonts w:hint="eastAsia" w:ascii="Times New Roman" w:hAnsi="Times New Roman" w:eastAsia="方正仿宋_GBK" w:cs="方正仿宋_GBK"/>
                <w:color w:val="000000"/>
                <w:kern w:val="0"/>
                <w:sz w:val="18"/>
                <w:szCs w:val="18"/>
                <w:lang w:bidi="ar"/>
              </w:rPr>
              <w:t>全年（调整）</w:t>
            </w:r>
            <w:r>
              <w:rPr>
                <w:rFonts w:hint="eastAsia" w:ascii="Times New Roman" w:hAnsi="Times New Roman" w:eastAsia="方正仿宋_GBK" w:cs="方正仿宋_GBK"/>
                <w:color w:val="000000"/>
                <w:kern w:val="0"/>
                <w:sz w:val="18"/>
                <w:szCs w:val="18"/>
                <w:lang w:eastAsia="zh-CN" w:bidi="ar"/>
              </w:rPr>
              <w:t>预算数</w:t>
            </w:r>
          </w:p>
        </w:tc>
        <w:tc>
          <w:tcPr>
            <w:tcW w:w="1905" w:type="dxa"/>
            <w:gridSpan w:val="5"/>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eastAsia="zh-CN" w:bidi="ar"/>
              </w:rPr>
            </w:pPr>
            <w:r>
              <w:rPr>
                <w:rFonts w:hint="eastAsia" w:ascii="Times New Roman" w:hAnsi="Times New Roman" w:eastAsia="方正仿宋_GBK" w:cs="方正仿宋_GBK"/>
                <w:color w:val="000000"/>
                <w:kern w:val="0"/>
                <w:sz w:val="18"/>
                <w:szCs w:val="18"/>
                <w:lang w:bidi="ar"/>
              </w:rPr>
              <w:t>全年</w:t>
            </w:r>
            <w:r>
              <w:rPr>
                <w:rFonts w:hint="eastAsia" w:ascii="Times New Roman" w:hAnsi="Times New Roman" w:eastAsia="方正仿宋_GBK" w:cs="方正仿宋_GBK"/>
                <w:color w:val="000000"/>
                <w:kern w:val="0"/>
                <w:sz w:val="18"/>
                <w:szCs w:val="18"/>
                <w:lang w:eastAsia="zh-CN" w:bidi="ar"/>
              </w:rPr>
              <w:t>执行数</w:t>
            </w:r>
          </w:p>
        </w:tc>
        <w:tc>
          <w:tcPr>
            <w:tcW w:w="886" w:type="dxa"/>
            <w:gridSpan w:val="2"/>
            <w:tcBorders>
              <w:top w:val="single" w:color="auto" w:sz="4" w:space="0"/>
              <w:left w:val="single" w:color="000000"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eastAsia="zh-CN" w:bidi="ar"/>
              </w:rPr>
            </w:pPr>
            <w:r>
              <w:rPr>
                <w:rFonts w:hint="eastAsia" w:ascii="Times New Roman" w:hAnsi="Times New Roman" w:eastAsia="方正仿宋_GBK" w:cs="方正仿宋_GBK"/>
                <w:color w:val="000000"/>
                <w:kern w:val="0"/>
                <w:sz w:val="18"/>
                <w:szCs w:val="18"/>
                <w:lang w:eastAsia="zh-CN" w:bidi="ar"/>
              </w:rPr>
              <w:t>执行率（</w:t>
            </w:r>
            <w:r>
              <w:rPr>
                <w:rFonts w:hint="eastAsia" w:ascii="Times New Roman" w:hAnsi="Times New Roman" w:eastAsia="方正仿宋_GBK" w:cs="方正仿宋_GBK"/>
                <w:color w:val="000000"/>
                <w:kern w:val="0"/>
                <w:sz w:val="18"/>
                <w:szCs w:val="18"/>
                <w:lang w:val="en-US" w:eastAsia="zh-CN" w:bidi="ar"/>
              </w:rPr>
              <w:t>%</w:t>
            </w:r>
            <w:r>
              <w:rPr>
                <w:rFonts w:hint="eastAsia" w:ascii="Times New Roman" w:hAnsi="Times New Roman" w:eastAsia="方正仿宋_GBK" w:cs="方正仿宋_GBK"/>
                <w:color w:val="000000"/>
                <w:kern w:val="0"/>
                <w:sz w:val="18"/>
                <w:szCs w:val="18"/>
                <w:lang w:eastAsia="zh-CN" w:bidi="ar"/>
              </w:rPr>
              <w:t>）</w:t>
            </w:r>
          </w:p>
        </w:tc>
        <w:tc>
          <w:tcPr>
            <w:tcW w:w="80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eastAsia="zh-CN" w:bidi="ar"/>
              </w:rPr>
            </w:pPr>
            <w:r>
              <w:rPr>
                <w:rFonts w:hint="eastAsia" w:ascii="Times New Roman" w:hAnsi="Times New Roman" w:eastAsia="方正仿宋_GBK" w:cs="方正仿宋_GBK"/>
                <w:color w:val="000000"/>
                <w:kern w:val="0"/>
                <w:sz w:val="18"/>
                <w:szCs w:val="18"/>
                <w:lang w:eastAsia="zh-CN" w:bidi="ar"/>
              </w:rPr>
              <w:t>执行率权重</w:t>
            </w:r>
          </w:p>
        </w:tc>
        <w:tc>
          <w:tcPr>
            <w:tcW w:w="963" w:type="dxa"/>
            <w:tcBorders>
              <w:top w:val="single" w:color="auto" w:sz="4" w:space="0"/>
              <w:left w:val="single" w:color="auto" w:sz="4" w:space="0"/>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eastAsia="zh-CN" w:bidi="ar"/>
              </w:rPr>
            </w:pPr>
            <w:r>
              <w:rPr>
                <w:rFonts w:hint="eastAsia" w:ascii="Times New Roman" w:hAnsi="Times New Roman" w:eastAsia="方正仿宋_GBK" w:cs="方正仿宋_GBK"/>
                <w:color w:val="000000"/>
                <w:kern w:val="0"/>
                <w:sz w:val="18"/>
                <w:szCs w:val="18"/>
                <w:lang w:eastAsia="zh-CN" w:bidi="ar"/>
              </w:rPr>
              <w:t>执行率得分（分）</w:t>
            </w:r>
          </w:p>
        </w:tc>
      </w:tr>
      <w:tr>
        <w:tblPrEx>
          <w:tblCellMar>
            <w:top w:w="0" w:type="dxa"/>
            <w:left w:w="108" w:type="dxa"/>
            <w:bottom w:w="0" w:type="dxa"/>
            <w:right w:w="108" w:type="dxa"/>
          </w:tblCellMar>
        </w:tblPrEx>
        <w:trPr>
          <w:trHeight w:val="164" w:hRule="atLeast"/>
          <w:jc w:val="center"/>
        </w:trPr>
        <w:tc>
          <w:tcPr>
            <w:tcW w:w="954"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eastAsia="zh-CN" w:bidi="ar"/>
              </w:rPr>
            </w:pPr>
            <w:r>
              <w:rPr>
                <w:rFonts w:hint="eastAsia" w:ascii="Times New Roman" w:hAnsi="Times New Roman" w:eastAsia="方正仿宋_GBK" w:cs="方正仿宋_GBK"/>
                <w:color w:val="000000"/>
                <w:kern w:val="0"/>
                <w:sz w:val="18"/>
                <w:szCs w:val="18"/>
                <w:lang w:eastAsia="zh-CN" w:bidi="ar"/>
              </w:rPr>
              <w:t>年度总金额</w:t>
            </w:r>
          </w:p>
        </w:tc>
        <w:tc>
          <w:tcPr>
            <w:tcW w:w="1818" w:type="dxa"/>
            <w:gridSpan w:val="3"/>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u w:val="none"/>
                <w:lang w:val="en-US" w:eastAsia="zh-CN" w:bidi="ar-SA"/>
              </w:rPr>
            </w:pPr>
            <w:r>
              <w:rPr>
                <w:rFonts w:hint="eastAsia" w:ascii="Times New Roman" w:hAnsi="Times New Roman" w:eastAsia="宋体" w:cs="宋体"/>
                <w:i w:val="0"/>
                <w:iCs w:val="0"/>
                <w:color w:val="000000"/>
                <w:kern w:val="0"/>
                <w:sz w:val="22"/>
                <w:szCs w:val="22"/>
                <w:u w:val="none"/>
                <w:lang w:val="en-US" w:eastAsia="zh-CN" w:bidi="ar"/>
              </w:rPr>
              <w:t xml:space="preserve">9,866,539.36 </w:t>
            </w:r>
          </w:p>
        </w:tc>
        <w:tc>
          <w:tcPr>
            <w:tcW w:w="2205" w:type="dxa"/>
            <w:gridSpan w:val="5"/>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u w:val="none"/>
                <w:lang w:val="en-US" w:eastAsia="zh-CN" w:bidi="ar-SA"/>
              </w:rPr>
            </w:pPr>
            <w:r>
              <w:rPr>
                <w:rFonts w:hint="eastAsia" w:ascii="Times New Roman" w:hAnsi="Times New Roman" w:eastAsia="宋体" w:cs="宋体"/>
                <w:i w:val="0"/>
                <w:iCs w:val="0"/>
                <w:color w:val="000000"/>
                <w:kern w:val="0"/>
                <w:sz w:val="22"/>
                <w:szCs w:val="22"/>
                <w:u w:val="none"/>
                <w:lang w:val="en-US" w:eastAsia="zh-CN" w:bidi="ar"/>
              </w:rPr>
              <w:t xml:space="preserve">16,774,648.34 </w:t>
            </w:r>
          </w:p>
        </w:tc>
        <w:tc>
          <w:tcPr>
            <w:tcW w:w="1905" w:type="dxa"/>
            <w:gridSpan w:val="5"/>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u w:val="none"/>
                <w:lang w:val="en-US" w:eastAsia="zh-CN" w:bidi="ar-SA"/>
              </w:rPr>
            </w:pPr>
            <w:r>
              <w:rPr>
                <w:rFonts w:hint="eastAsia" w:ascii="Times New Roman" w:hAnsi="Times New Roman" w:eastAsia="宋体" w:cs="宋体"/>
                <w:i w:val="0"/>
                <w:iCs w:val="0"/>
                <w:color w:val="000000"/>
                <w:kern w:val="0"/>
                <w:sz w:val="22"/>
                <w:szCs w:val="22"/>
                <w:u w:val="none"/>
                <w:lang w:val="en-US" w:eastAsia="zh-CN" w:bidi="ar"/>
              </w:rPr>
              <w:t xml:space="preserve">13,152,816.95 </w:t>
            </w:r>
          </w:p>
        </w:tc>
        <w:tc>
          <w:tcPr>
            <w:tcW w:w="886" w:type="dxa"/>
            <w:gridSpan w:val="2"/>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Times New Roman" w:hAnsi="Times New Roman" w:eastAsia="宋体" w:cs="宋体"/>
                <w:color w:val="000000"/>
                <w:sz w:val="20"/>
                <w:szCs w:val="20"/>
                <w:lang w:val="en-US" w:eastAsia="zh-CN"/>
              </w:rPr>
            </w:pPr>
            <w:r>
              <w:rPr>
                <w:rFonts w:hint="eastAsia" w:ascii="Times New Roman" w:hAnsi="Times New Roman" w:cs="宋体"/>
                <w:color w:val="000000"/>
                <w:sz w:val="20"/>
                <w:szCs w:val="20"/>
                <w:lang w:val="en-US" w:eastAsia="zh-CN"/>
              </w:rPr>
              <w:t>—</w:t>
            </w:r>
          </w:p>
        </w:tc>
        <w:tc>
          <w:tcPr>
            <w:tcW w:w="8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cs="宋体"/>
                <w:color w:val="000000"/>
                <w:sz w:val="20"/>
                <w:szCs w:val="20"/>
              </w:rPr>
            </w:pPr>
            <w:r>
              <w:rPr>
                <w:rFonts w:hint="eastAsia" w:ascii="Times New Roman" w:hAnsi="Times New Roman" w:cs="宋体"/>
                <w:color w:val="000000"/>
                <w:sz w:val="20"/>
                <w:szCs w:val="20"/>
                <w:lang w:eastAsia="zh-CN"/>
              </w:rPr>
              <w:t>—</w:t>
            </w:r>
          </w:p>
        </w:tc>
        <w:tc>
          <w:tcPr>
            <w:tcW w:w="963" w:type="dxa"/>
            <w:tcBorders>
              <w:top w:val="single" w:color="auto" w:sz="4" w:space="0"/>
              <w:left w:val="single" w:color="auto" w:sz="4" w:space="0"/>
              <w:bottom w:val="single" w:color="auto" w:sz="4" w:space="0"/>
              <w:right w:val="single" w:color="000000" w:sz="4" w:space="0"/>
            </w:tcBorders>
            <w:noWrap/>
            <w:vAlign w:val="center"/>
          </w:tcPr>
          <w:p>
            <w:pPr>
              <w:jc w:val="center"/>
              <w:rPr>
                <w:rFonts w:hint="eastAsia" w:ascii="Times New Roman" w:hAnsi="Times New Roman" w:eastAsia="宋体" w:cs="宋体"/>
                <w:color w:val="000000"/>
                <w:sz w:val="20"/>
                <w:szCs w:val="20"/>
                <w:lang w:eastAsia="zh-CN"/>
              </w:rPr>
            </w:pPr>
            <w:r>
              <w:rPr>
                <w:rFonts w:hint="eastAsia" w:ascii="Times New Roman" w:hAnsi="Times New Roman" w:cs="宋体"/>
                <w:color w:val="000000"/>
                <w:sz w:val="20"/>
                <w:szCs w:val="20"/>
                <w:lang w:eastAsia="zh-CN"/>
              </w:rPr>
              <w:t>—</w:t>
            </w:r>
          </w:p>
        </w:tc>
      </w:tr>
      <w:tr>
        <w:tblPrEx>
          <w:tblCellMar>
            <w:top w:w="0" w:type="dxa"/>
            <w:left w:w="108" w:type="dxa"/>
            <w:bottom w:w="0" w:type="dxa"/>
            <w:right w:w="108" w:type="dxa"/>
          </w:tblCellMar>
        </w:tblPrEx>
        <w:trPr>
          <w:trHeight w:val="158" w:hRule="atLeast"/>
          <w:jc w:val="center"/>
        </w:trPr>
        <w:tc>
          <w:tcPr>
            <w:tcW w:w="954"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eastAsia="zh-CN" w:bidi="ar"/>
              </w:rPr>
            </w:pPr>
            <w:r>
              <w:rPr>
                <w:rFonts w:hint="eastAsia" w:ascii="Times New Roman" w:hAnsi="Times New Roman" w:eastAsia="方正仿宋_GBK" w:cs="方正仿宋_GBK"/>
                <w:color w:val="000000"/>
                <w:kern w:val="0"/>
                <w:sz w:val="18"/>
                <w:szCs w:val="18"/>
                <w:lang w:eastAsia="zh-CN" w:bidi="ar"/>
              </w:rPr>
              <w:t>其中：财政拨款</w:t>
            </w:r>
          </w:p>
        </w:tc>
        <w:tc>
          <w:tcPr>
            <w:tcW w:w="1818" w:type="dxa"/>
            <w:gridSpan w:val="3"/>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u w:val="none"/>
                <w:lang w:val="en-US" w:eastAsia="zh-CN" w:bidi="ar-SA"/>
              </w:rPr>
            </w:pPr>
            <w:r>
              <w:rPr>
                <w:rFonts w:hint="eastAsia" w:ascii="Times New Roman" w:hAnsi="Times New Roman" w:eastAsia="宋体" w:cs="宋体"/>
                <w:i w:val="0"/>
                <w:iCs w:val="0"/>
                <w:color w:val="000000"/>
                <w:kern w:val="0"/>
                <w:sz w:val="22"/>
                <w:szCs w:val="22"/>
                <w:u w:val="none"/>
                <w:lang w:val="en-US" w:eastAsia="zh-CN" w:bidi="ar"/>
              </w:rPr>
              <w:t xml:space="preserve">9,866,539.36 </w:t>
            </w:r>
          </w:p>
        </w:tc>
        <w:tc>
          <w:tcPr>
            <w:tcW w:w="2205" w:type="dxa"/>
            <w:gridSpan w:val="5"/>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u w:val="none"/>
                <w:lang w:val="en-US" w:eastAsia="zh-CN" w:bidi="ar-SA"/>
              </w:rPr>
            </w:pPr>
            <w:r>
              <w:rPr>
                <w:rFonts w:hint="eastAsia" w:ascii="Times New Roman" w:hAnsi="Times New Roman" w:eastAsia="宋体" w:cs="宋体"/>
                <w:i w:val="0"/>
                <w:iCs w:val="0"/>
                <w:color w:val="000000"/>
                <w:kern w:val="0"/>
                <w:sz w:val="22"/>
                <w:szCs w:val="22"/>
                <w:u w:val="none"/>
                <w:lang w:val="en-US" w:eastAsia="zh-CN" w:bidi="ar"/>
              </w:rPr>
              <w:t xml:space="preserve">15,938,131.73 </w:t>
            </w:r>
          </w:p>
        </w:tc>
        <w:tc>
          <w:tcPr>
            <w:tcW w:w="1905" w:type="dxa"/>
            <w:gridSpan w:val="5"/>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u w:val="none"/>
                <w:lang w:val="en-US" w:eastAsia="zh-CN" w:bidi="ar-SA"/>
              </w:rPr>
            </w:pPr>
            <w:r>
              <w:rPr>
                <w:rFonts w:hint="eastAsia" w:ascii="Times New Roman" w:hAnsi="Times New Roman" w:eastAsia="宋体" w:cs="宋体"/>
                <w:i w:val="0"/>
                <w:iCs w:val="0"/>
                <w:color w:val="000000"/>
                <w:kern w:val="0"/>
                <w:sz w:val="22"/>
                <w:szCs w:val="22"/>
                <w:u w:val="none"/>
                <w:lang w:val="en-US" w:eastAsia="zh-CN" w:bidi="ar"/>
              </w:rPr>
              <w:t xml:space="preserve">12,393,783.71 </w:t>
            </w:r>
          </w:p>
        </w:tc>
        <w:tc>
          <w:tcPr>
            <w:tcW w:w="886" w:type="dxa"/>
            <w:gridSpan w:val="2"/>
            <w:tcBorders>
              <w:top w:val="single" w:color="auto" w:sz="4" w:space="0"/>
              <w:left w:val="single" w:color="000000" w:sz="4" w:space="0"/>
              <w:bottom w:val="single" w:color="auto" w:sz="4" w:space="0"/>
              <w:right w:val="single" w:color="auto" w:sz="4" w:space="0"/>
            </w:tcBorders>
            <w:noWrap/>
            <w:vAlign w:val="center"/>
          </w:tcPr>
          <w:p>
            <w:pPr>
              <w:rPr>
                <w:rFonts w:hint="default" w:ascii="Times New Roman" w:hAnsi="Times New Roman" w:eastAsia="宋体" w:cs="宋体"/>
                <w:color w:val="000000"/>
                <w:sz w:val="20"/>
                <w:szCs w:val="20"/>
                <w:lang w:val="en-US" w:eastAsia="zh-CN"/>
              </w:rPr>
            </w:pPr>
            <w:r>
              <w:rPr>
                <w:rFonts w:hint="eastAsia" w:ascii="Times New Roman" w:hAnsi="Times New Roman" w:cs="宋体"/>
                <w:color w:val="000000"/>
                <w:sz w:val="20"/>
                <w:szCs w:val="20"/>
                <w:lang w:val="en-US" w:eastAsia="zh-CN"/>
              </w:rPr>
              <w:t>77.76</w:t>
            </w:r>
          </w:p>
        </w:tc>
        <w:tc>
          <w:tcPr>
            <w:tcW w:w="809" w:type="dxa"/>
            <w:gridSpan w:val="2"/>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宋体"/>
                <w:color w:val="000000"/>
                <w:sz w:val="20"/>
                <w:szCs w:val="20"/>
                <w:lang w:val="en-US" w:eastAsia="zh-CN"/>
              </w:rPr>
            </w:pPr>
            <w:r>
              <w:rPr>
                <w:rFonts w:hint="eastAsia" w:ascii="Times New Roman" w:hAnsi="Times New Roman" w:cs="宋体"/>
                <w:color w:val="000000"/>
                <w:sz w:val="20"/>
                <w:szCs w:val="20"/>
                <w:lang w:val="en-US" w:eastAsia="zh-CN"/>
              </w:rPr>
              <w:t>10</w:t>
            </w:r>
          </w:p>
        </w:tc>
        <w:tc>
          <w:tcPr>
            <w:tcW w:w="963" w:type="dxa"/>
            <w:tcBorders>
              <w:top w:val="single" w:color="auto" w:sz="4" w:space="0"/>
              <w:left w:val="single" w:color="auto" w:sz="4" w:space="0"/>
              <w:bottom w:val="single" w:color="auto" w:sz="4" w:space="0"/>
              <w:right w:val="single" w:color="000000" w:sz="4" w:space="0"/>
            </w:tcBorders>
            <w:noWrap/>
            <w:vAlign w:val="center"/>
          </w:tcPr>
          <w:p>
            <w:pPr>
              <w:rPr>
                <w:rFonts w:hint="default" w:ascii="Times New Roman" w:hAnsi="Times New Roman" w:eastAsia="宋体" w:cs="宋体"/>
                <w:color w:val="000000"/>
                <w:sz w:val="20"/>
                <w:szCs w:val="20"/>
                <w:lang w:val="en-US" w:eastAsia="zh-CN"/>
              </w:rPr>
            </w:pPr>
            <w:r>
              <w:rPr>
                <w:rFonts w:hint="eastAsia" w:ascii="Times New Roman" w:hAnsi="Times New Roman" w:cs="宋体"/>
                <w:color w:val="000000"/>
                <w:sz w:val="20"/>
                <w:szCs w:val="20"/>
                <w:lang w:val="en-US" w:eastAsia="zh-CN"/>
              </w:rPr>
              <w:t>7.77</w:t>
            </w:r>
          </w:p>
        </w:tc>
      </w:tr>
      <w:tr>
        <w:tblPrEx>
          <w:tblCellMar>
            <w:top w:w="0" w:type="dxa"/>
            <w:left w:w="108" w:type="dxa"/>
            <w:bottom w:w="0" w:type="dxa"/>
            <w:right w:w="108" w:type="dxa"/>
          </w:tblCellMar>
        </w:tblPrEx>
        <w:trPr>
          <w:trHeight w:val="171" w:hRule="atLeast"/>
          <w:jc w:val="center"/>
        </w:trPr>
        <w:tc>
          <w:tcPr>
            <w:tcW w:w="954"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eastAsia="zh-CN" w:bidi="ar"/>
              </w:rPr>
            </w:pPr>
            <w:r>
              <w:rPr>
                <w:rFonts w:hint="eastAsia" w:ascii="Times New Roman" w:hAnsi="Times New Roman" w:eastAsia="方正仿宋_GBK" w:cs="方正仿宋_GBK"/>
                <w:color w:val="000000"/>
                <w:kern w:val="0"/>
                <w:sz w:val="18"/>
                <w:szCs w:val="18"/>
                <w:lang w:eastAsia="zh-CN" w:bidi="ar"/>
              </w:rPr>
              <w:t>一般公共预算</w:t>
            </w:r>
          </w:p>
        </w:tc>
        <w:tc>
          <w:tcPr>
            <w:tcW w:w="1818" w:type="dxa"/>
            <w:gridSpan w:val="3"/>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u w:val="none"/>
                <w:lang w:val="en-US" w:eastAsia="zh-CN" w:bidi="ar-SA"/>
              </w:rPr>
            </w:pPr>
            <w:r>
              <w:rPr>
                <w:rFonts w:hint="eastAsia" w:ascii="Times New Roman" w:hAnsi="Times New Roman" w:eastAsia="宋体" w:cs="宋体"/>
                <w:i w:val="0"/>
                <w:iCs w:val="0"/>
                <w:color w:val="000000"/>
                <w:kern w:val="0"/>
                <w:sz w:val="22"/>
                <w:szCs w:val="22"/>
                <w:u w:val="none"/>
                <w:lang w:val="en-US" w:eastAsia="zh-CN" w:bidi="ar"/>
              </w:rPr>
              <w:t xml:space="preserve">9,866,539.36 </w:t>
            </w:r>
          </w:p>
        </w:tc>
        <w:tc>
          <w:tcPr>
            <w:tcW w:w="2205" w:type="dxa"/>
            <w:gridSpan w:val="5"/>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u w:val="none"/>
                <w:lang w:val="en-US" w:eastAsia="zh-CN" w:bidi="ar-SA"/>
              </w:rPr>
            </w:pPr>
            <w:r>
              <w:rPr>
                <w:rFonts w:hint="eastAsia" w:ascii="Times New Roman" w:hAnsi="Times New Roman" w:eastAsia="宋体" w:cs="宋体"/>
                <w:i w:val="0"/>
                <w:iCs w:val="0"/>
                <w:color w:val="000000"/>
                <w:kern w:val="0"/>
                <w:sz w:val="22"/>
                <w:szCs w:val="22"/>
                <w:u w:val="none"/>
                <w:lang w:val="en-US" w:eastAsia="zh-CN" w:bidi="ar"/>
              </w:rPr>
              <w:t xml:space="preserve">15,938,131.73 </w:t>
            </w:r>
          </w:p>
        </w:tc>
        <w:tc>
          <w:tcPr>
            <w:tcW w:w="1905" w:type="dxa"/>
            <w:gridSpan w:val="5"/>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u w:val="none"/>
                <w:lang w:val="en-US" w:eastAsia="zh-CN" w:bidi="ar-SA"/>
              </w:rPr>
            </w:pPr>
            <w:r>
              <w:rPr>
                <w:rFonts w:hint="eastAsia" w:ascii="Times New Roman" w:hAnsi="Times New Roman" w:eastAsia="宋体" w:cs="宋体"/>
                <w:i w:val="0"/>
                <w:iCs w:val="0"/>
                <w:color w:val="000000"/>
                <w:kern w:val="0"/>
                <w:sz w:val="22"/>
                <w:szCs w:val="22"/>
                <w:u w:val="none"/>
                <w:lang w:val="en-US" w:eastAsia="zh-CN" w:bidi="ar"/>
              </w:rPr>
              <w:t xml:space="preserve">12,393,783.71 </w:t>
            </w:r>
          </w:p>
        </w:tc>
        <w:tc>
          <w:tcPr>
            <w:tcW w:w="886" w:type="dxa"/>
            <w:gridSpan w:val="2"/>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Times New Roman" w:hAnsi="Times New Roman" w:eastAsia="宋体" w:cs="宋体"/>
                <w:color w:val="000000"/>
                <w:sz w:val="20"/>
                <w:szCs w:val="20"/>
                <w:lang w:eastAsia="zh-CN"/>
              </w:rPr>
            </w:pPr>
            <w:r>
              <w:rPr>
                <w:rFonts w:hint="eastAsia" w:ascii="Times New Roman" w:hAnsi="Times New Roman" w:cs="宋体"/>
                <w:color w:val="000000"/>
                <w:sz w:val="20"/>
                <w:szCs w:val="20"/>
                <w:lang w:eastAsia="zh-CN"/>
              </w:rPr>
              <w:t>—</w:t>
            </w:r>
          </w:p>
        </w:tc>
        <w:tc>
          <w:tcPr>
            <w:tcW w:w="8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cs="宋体"/>
                <w:color w:val="000000"/>
                <w:sz w:val="20"/>
                <w:szCs w:val="20"/>
              </w:rPr>
            </w:pPr>
            <w:r>
              <w:rPr>
                <w:rFonts w:hint="eastAsia" w:ascii="Times New Roman" w:hAnsi="Times New Roman" w:cs="宋体"/>
                <w:color w:val="000000"/>
                <w:sz w:val="20"/>
                <w:szCs w:val="20"/>
                <w:lang w:eastAsia="zh-CN"/>
              </w:rPr>
              <w:t>—</w:t>
            </w:r>
          </w:p>
        </w:tc>
        <w:tc>
          <w:tcPr>
            <w:tcW w:w="963" w:type="dxa"/>
            <w:tcBorders>
              <w:top w:val="single" w:color="auto" w:sz="4" w:space="0"/>
              <w:left w:val="single" w:color="auto" w:sz="4" w:space="0"/>
              <w:bottom w:val="single" w:color="auto" w:sz="4" w:space="0"/>
              <w:right w:val="single" w:color="000000" w:sz="4" w:space="0"/>
            </w:tcBorders>
            <w:noWrap/>
            <w:vAlign w:val="center"/>
          </w:tcPr>
          <w:p>
            <w:pPr>
              <w:jc w:val="center"/>
              <w:rPr>
                <w:rFonts w:hint="eastAsia" w:ascii="Times New Roman" w:hAnsi="Times New Roman" w:eastAsia="宋体" w:cs="宋体"/>
                <w:color w:val="000000"/>
                <w:sz w:val="20"/>
                <w:szCs w:val="20"/>
                <w:lang w:eastAsia="zh-CN"/>
              </w:rPr>
            </w:pPr>
            <w:r>
              <w:rPr>
                <w:rFonts w:hint="eastAsia" w:ascii="Times New Roman" w:hAnsi="Times New Roman" w:cs="宋体"/>
                <w:color w:val="000000"/>
                <w:sz w:val="20"/>
                <w:szCs w:val="20"/>
                <w:lang w:eastAsia="zh-CN"/>
              </w:rPr>
              <w:t>—</w:t>
            </w:r>
          </w:p>
        </w:tc>
      </w:tr>
      <w:tr>
        <w:tblPrEx>
          <w:tblCellMar>
            <w:top w:w="0" w:type="dxa"/>
            <w:left w:w="108" w:type="dxa"/>
            <w:bottom w:w="0" w:type="dxa"/>
            <w:right w:w="108" w:type="dxa"/>
          </w:tblCellMar>
        </w:tblPrEx>
        <w:trPr>
          <w:trHeight w:val="450" w:hRule="atLeast"/>
          <w:jc w:val="center"/>
        </w:trPr>
        <w:tc>
          <w:tcPr>
            <w:tcW w:w="582"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kern w:val="0"/>
                <w:sz w:val="18"/>
                <w:szCs w:val="18"/>
                <w:lang w:bidi="ar"/>
              </w:rPr>
              <w:t>当年绩效</w:t>
            </w:r>
            <w:r>
              <w:rPr>
                <w:rFonts w:hint="eastAsia" w:ascii="Times New Roman" w:hAnsi="Times New Roman" w:eastAsia="方正仿宋_GBK" w:cs="方正仿宋_GBK"/>
                <w:color w:val="000000"/>
                <w:kern w:val="0"/>
                <w:sz w:val="18"/>
                <w:szCs w:val="18"/>
                <w:lang w:bidi="ar"/>
              </w:rPr>
              <w:br w:type="textWrapping"/>
            </w:r>
            <w:r>
              <w:rPr>
                <w:rFonts w:hint="eastAsia" w:ascii="Times New Roman" w:hAnsi="Times New Roman" w:eastAsia="方正仿宋_GBK" w:cs="方正仿宋_GBK"/>
                <w:color w:val="000000"/>
                <w:kern w:val="0"/>
                <w:sz w:val="18"/>
                <w:szCs w:val="18"/>
                <w:lang w:bidi="ar"/>
              </w:rPr>
              <w:t>目标</w:t>
            </w:r>
          </w:p>
        </w:tc>
        <w:tc>
          <w:tcPr>
            <w:tcW w:w="2970" w:type="dxa"/>
            <w:gridSpan w:val="6"/>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kern w:val="0"/>
                <w:sz w:val="18"/>
                <w:szCs w:val="18"/>
                <w:lang w:bidi="ar"/>
              </w:rPr>
              <w:t>年初绩效目标</w:t>
            </w:r>
          </w:p>
        </w:tc>
        <w:tc>
          <w:tcPr>
            <w:tcW w:w="3000" w:type="dxa"/>
            <w:gridSpan w:val="7"/>
            <w:tcBorders>
              <w:top w:val="single" w:color="auto"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bidi="ar"/>
              </w:rPr>
            </w:pPr>
            <w:r>
              <w:rPr>
                <w:rFonts w:hint="eastAsia" w:ascii="Times New Roman" w:hAnsi="Times New Roman" w:eastAsia="方正仿宋_GBK" w:cs="方正仿宋_GBK"/>
                <w:color w:val="000000"/>
                <w:kern w:val="0"/>
                <w:sz w:val="18"/>
                <w:szCs w:val="18"/>
                <w:lang w:bidi="ar"/>
              </w:rPr>
              <w:t>全年（调整）绩效目标</w:t>
            </w:r>
          </w:p>
        </w:tc>
        <w:tc>
          <w:tcPr>
            <w:tcW w:w="2988" w:type="dxa"/>
            <w:gridSpan w:val="6"/>
            <w:tcBorders>
              <w:top w:val="single" w:color="auto"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bidi="ar"/>
              </w:rPr>
            </w:pPr>
            <w:r>
              <w:rPr>
                <w:rFonts w:hint="eastAsia" w:ascii="Times New Roman" w:hAnsi="Times New Roman" w:eastAsia="方正仿宋_GBK" w:cs="方正仿宋_GBK"/>
                <w:color w:val="000000"/>
                <w:kern w:val="0"/>
                <w:sz w:val="18"/>
                <w:szCs w:val="18"/>
                <w:lang w:bidi="ar"/>
              </w:rPr>
              <w:t>全年目标实际完成情况</w:t>
            </w:r>
          </w:p>
        </w:tc>
      </w:tr>
      <w:tr>
        <w:tblPrEx>
          <w:tblCellMar>
            <w:top w:w="0" w:type="dxa"/>
            <w:left w:w="108" w:type="dxa"/>
            <w:bottom w:w="0" w:type="dxa"/>
            <w:right w:w="108" w:type="dxa"/>
          </w:tblCellMar>
        </w:tblPrEx>
        <w:trPr>
          <w:trHeight w:val="1290"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color w:val="000000"/>
                <w:sz w:val="18"/>
                <w:szCs w:val="18"/>
              </w:rPr>
            </w:pPr>
          </w:p>
        </w:tc>
        <w:tc>
          <w:tcPr>
            <w:tcW w:w="2970" w:type="dxa"/>
            <w:gridSpan w:val="6"/>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贯彻落实全市大数据、人工智能、信息化相关政策法规和相关地方行业技术规范和标准。;负责研究拟订全区大数据、人工智能、信息化发展战略，编制全区大数据、人工智能、信息化发展规划和年度计划。;拟定相关政策措施和评价考核体系并组织实施。;负责数据资源建设、管理，促进大数据政用、民用、商用。;负责全区大数据应用发展管理。;负责推进全区信息化应用工作。;负责协调全区信息基础设施建设。;负责推动大数据、人工智能、信息化领域对外交流合作。;负责全区数字经济发展统计;负责推动促进线上业态、线上服务、线上管理快速发展;负责推动平台经济发展;招商引资，数字经济市场主体培育。;完成区委和区政府交办的其他任务;</w:t>
            </w:r>
          </w:p>
        </w:tc>
        <w:tc>
          <w:tcPr>
            <w:tcW w:w="3000" w:type="dxa"/>
            <w:gridSpan w:val="7"/>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贯彻落实全市大数据、人工智能、信息化相关政策法规和相关地方行业技术规范和标准。负责研究拟订全区大数据、人工智能、信息化发展战略，编制全区大数据、人工智能、信息化发展规划和年度计划。拟定相关政策措施和评价考核体系并组织实施。负责数据资源建设、管理，促进大数据政用、民用、商用。负责全区大数据应用发展管理。负责推进全区信息化应用工作。负责协调全区信息基础设施建设。负责推动大数据、人工智能、信息化领域对外交流合作。负责全区数字经济发展统计;负责推动促进线上业态、线上服务、线上管理快速发展;负责推动平台经济发展;招商引资，数字经济市场主体培育。完成区委和区政府交办的其他任务。</w:t>
            </w:r>
          </w:p>
        </w:tc>
        <w:tc>
          <w:tcPr>
            <w:tcW w:w="2988" w:type="dxa"/>
            <w:gridSpan w:val="6"/>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sz w:val="18"/>
                <w:szCs w:val="18"/>
              </w:rPr>
              <w:t>贯彻落实全市大数据、人工智能、信息化相关政策法规和相关地方行业技术规范和标准。负责研究拟订全区大数据、人工智能、信息化发展战略，编制全区大数据、人工智能、信息化发展规划和年度计划。拟定相关政策措施和评价考核体系并组织实施。;负责数据资源建设、管理，促进大数据政用、民用、商用。负责全区大数据应用发展管理。;负责推进全区信息化应用工作。负责协调全区信息基础设施建设。负责推动大数据、人工智能、信息化领域对外交流合作。负责全区数字经济发展统计;负责推动促进线上业态、线上服务、线上管理快速发展;负责推动平台经济发展;招商引资，数字经济市场主体培育。完成区委和区政府交办的其他任务。</w:t>
            </w:r>
          </w:p>
        </w:tc>
      </w:tr>
      <w:tr>
        <w:tblPrEx>
          <w:tblCellMar>
            <w:top w:w="0" w:type="dxa"/>
            <w:left w:w="108" w:type="dxa"/>
            <w:bottom w:w="0" w:type="dxa"/>
            <w:right w:w="108" w:type="dxa"/>
          </w:tblCellMar>
        </w:tblPrEx>
        <w:trPr>
          <w:trHeight w:val="879"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center"/>
              <w:textAlignment w:val="center"/>
              <w:rPr>
                <w:rFonts w:hint="eastAsia" w:ascii="Times New Roman" w:hAnsi="Times New Roman" w:eastAsia="方正仿宋_GBK" w:cs="方正仿宋_GBK"/>
                <w:color w:val="000000"/>
                <w:sz w:val="18"/>
                <w:szCs w:val="18"/>
              </w:rPr>
            </w:pPr>
            <w:r>
              <w:rPr>
                <w:rFonts w:hint="eastAsia" w:ascii="Times New Roman" w:hAnsi="Times New Roman" w:eastAsia="方正仿宋_GBK" w:cs="方正仿宋_GBK"/>
                <w:color w:val="000000"/>
                <w:kern w:val="0"/>
                <w:sz w:val="18"/>
                <w:szCs w:val="18"/>
                <w:lang w:bidi="ar"/>
              </w:rPr>
              <w:t>绩效指标</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sz w:val="15"/>
                <w:szCs w:val="15"/>
              </w:rPr>
            </w:pPr>
            <w:r>
              <w:rPr>
                <w:rFonts w:hint="eastAsia" w:ascii="Times New Roman" w:hAnsi="Times New Roman" w:eastAsia="方正仿宋_GBK" w:cs="方正仿宋_GBK"/>
                <w:color w:val="000000"/>
                <w:kern w:val="0"/>
                <w:sz w:val="15"/>
                <w:szCs w:val="15"/>
                <w:lang w:bidi="ar"/>
              </w:rPr>
              <w:t>指标名称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sz w:val="15"/>
                <w:szCs w:val="15"/>
              </w:rPr>
            </w:pPr>
            <w:r>
              <w:rPr>
                <w:rFonts w:hint="eastAsia" w:ascii="Times New Roman" w:hAnsi="Times New Roman" w:eastAsia="方正仿宋_GBK" w:cs="方正仿宋_GBK"/>
                <w:color w:val="000000"/>
                <w:kern w:val="0"/>
                <w:sz w:val="15"/>
                <w:szCs w:val="15"/>
                <w:lang w:bidi="ar"/>
              </w:rPr>
              <w:t>计量</w:t>
            </w:r>
            <w:r>
              <w:rPr>
                <w:rFonts w:hint="eastAsia" w:ascii="Times New Roman" w:hAnsi="Times New Roman" w:eastAsia="方正仿宋_GBK" w:cs="方正仿宋_GBK"/>
                <w:color w:val="000000"/>
                <w:kern w:val="0"/>
                <w:sz w:val="15"/>
                <w:szCs w:val="15"/>
                <w:lang w:bidi="ar"/>
              </w:rPr>
              <w:br w:type="textWrapping"/>
            </w:r>
            <w:r>
              <w:rPr>
                <w:rFonts w:hint="eastAsia" w:ascii="Times New Roman" w:hAnsi="Times New Roman" w:eastAsia="方正仿宋_GBK" w:cs="方正仿宋_GBK"/>
                <w:color w:val="000000"/>
                <w:kern w:val="0"/>
                <w:sz w:val="15"/>
                <w:szCs w:val="15"/>
                <w:lang w:bidi="ar"/>
              </w:rPr>
              <w:t>单位</w:t>
            </w:r>
          </w:p>
        </w:tc>
        <w:tc>
          <w:tcPr>
            <w:tcW w:w="63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sz w:val="15"/>
                <w:szCs w:val="15"/>
              </w:rPr>
            </w:pPr>
            <w:r>
              <w:rPr>
                <w:rFonts w:hint="eastAsia" w:ascii="Times New Roman" w:hAnsi="Times New Roman" w:eastAsia="方正仿宋_GBK" w:cs="方正仿宋_GBK"/>
                <w:color w:val="000000"/>
                <w:kern w:val="0"/>
                <w:sz w:val="15"/>
                <w:szCs w:val="15"/>
                <w:lang w:bidi="ar"/>
              </w:rPr>
              <w:t>指标</w:t>
            </w:r>
            <w:r>
              <w:rPr>
                <w:rFonts w:hint="eastAsia" w:ascii="Times New Roman" w:hAnsi="Times New Roman" w:eastAsia="方正仿宋_GBK" w:cs="方正仿宋_GBK"/>
                <w:color w:val="000000"/>
                <w:kern w:val="0"/>
                <w:sz w:val="15"/>
                <w:szCs w:val="15"/>
                <w:lang w:bidi="ar"/>
              </w:rPr>
              <w:br w:type="textWrapping"/>
            </w:r>
            <w:r>
              <w:rPr>
                <w:rFonts w:hint="eastAsia" w:ascii="Times New Roman" w:hAnsi="Times New Roman" w:eastAsia="方正仿宋_GBK" w:cs="方正仿宋_GBK"/>
                <w:color w:val="000000"/>
                <w:kern w:val="0"/>
                <w:sz w:val="15"/>
                <w:szCs w:val="15"/>
                <w:lang w:bidi="ar"/>
              </w:rPr>
              <w:t>性质</w:t>
            </w:r>
          </w:p>
        </w:tc>
        <w:tc>
          <w:tcPr>
            <w:tcW w:w="900" w:type="dxa"/>
            <w:gridSpan w:val="3"/>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sz w:val="15"/>
                <w:szCs w:val="15"/>
              </w:rPr>
            </w:pPr>
            <w:r>
              <w:rPr>
                <w:rFonts w:hint="eastAsia" w:ascii="Times New Roman" w:hAnsi="Times New Roman" w:eastAsia="方正仿宋_GBK" w:cs="方正仿宋_GBK"/>
                <w:color w:val="000000"/>
                <w:kern w:val="0"/>
                <w:sz w:val="15"/>
                <w:szCs w:val="15"/>
                <w:lang w:bidi="ar"/>
              </w:rPr>
              <w:t>指标值</w:t>
            </w:r>
          </w:p>
        </w:tc>
        <w:tc>
          <w:tcPr>
            <w:tcW w:w="840"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sz w:val="15"/>
                <w:szCs w:val="15"/>
              </w:rPr>
            </w:pPr>
            <w:r>
              <w:rPr>
                <w:rFonts w:hint="eastAsia" w:ascii="Times New Roman" w:hAnsi="Times New Roman" w:eastAsia="方正仿宋_GBK" w:cs="方正仿宋_GBK"/>
                <w:color w:val="000000"/>
                <w:kern w:val="0"/>
                <w:sz w:val="15"/>
                <w:szCs w:val="15"/>
                <w:lang w:bidi="ar"/>
              </w:rPr>
              <w:t>全年</w:t>
            </w:r>
            <w:r>
              <w:rPr>
                <w:rFonts w:hint="eastAsia" w:ascii="Times New Roman" w:hAnsi="Times New Roman" w:eastAsia="方正仿宋_GBK" w:cs="方正仿宋_GBK"/>
                <w:color w:val="000000"/>
                <w:kern w:val="0"/>
                <w:sz w:val="15"/>
                <w:szCs w:val="15"/>
                <w:lang w:bidi="ar"/>
              </w:rPr>
              <w:br w:type="textWrapping"/>
            </w:r>
            <w:r>
              <w:rPr>
                <w:rFonts w:hint="eastAsia" w:ascii="Times New Roman" w:hAnsi="Times New Roman" w:eastAsia="方正仿宋_GBK" w:cs="方正仿宋_GBK"/>
                <w:color w:val="000000"/>
                <w:kern w:val="0"/>
                <w:sz w:val="15"/>
                <w:szCs w:val="15"/>
                <w:lang w:bidi="ar"/>
              </w:rPr>
              <w:t>完成值</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5"/>
                <w:szCs w:val="15"/>
                <w:lang w:eastAsia="zh-CN" w:bidi="ar"/>
              </w:rPr>
            </w:pPr>
            <w:r>
              <w:rPr>
                <w:rFonts w:hint="eastAsia" w:ascii="Times New Roman" w:hAnsi="Times New Roman" w:eastAsia="方正仿宋_GBK" w:cs="方正仿宋_GBK"/>
                <w:color w:val="000000"/>
                <w:kern w:val="0"/>
                <w:sz w:val="15"/>
                <w:szCs w:val="15"/>
                <w:lang w:eastAsia="zh-CN" w:bidi="ar"/>
              </w:rPr>
              <w:t>偏离度（</w:t>
            </w:r>
            <w:r>
              <w:rPr>
                <w:rFonts w:hint="eastAsia" w:ascii="Times New Roman" w:hAnsi="Times New Roman" w:eastAsia="方正仿宋_GBK" w:cs="方正仿宋_GBK"/>
                <w:color w:val="000000"/>
                <w:kern w:val="0"/>
                <w:sz w:val="15"/>
                <w:szCs w:val="15"/>
                <w:lang w:val="en-US" w:eastAsia="zh-CN" w:bidi="ar"/>
              </w:rPr>
              <w:t>%</w:t>
            </w:r>
            <w:r>
              <w:rPr>
                <w:rFonts w:hint="eastAsia" w:ascii="Times New Roman" w:hAnsi="Times New Roman" w:eastAsia="方正仿宋_GBK" w:cs="方正仿宋_GBK"/>
                <w:color w:val="000000"/>
                <w:kern w:val="0"/>
                <w:sz w:val="15"/>
                <w:szCs w:val="15"/>
                <w:lang w:eastAsia="zh-CN" w:bidi="ar"/>
              </w:rPr>
              <w:t>）</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5"/>
                <w:szCs w:val="15"/>
                <w:lang w:eastAsia="zh-CN" w:bidi="ar"/>
              </w:rPr>
            </w:pPr>
            <w:r>
              <w:rPr>
                <w:rFonts w:hint="eastAsia" w:ascii="Times New Roman" w:hAnsi="Times New Roman" w:eastAsia="方正仿宋_GBK" w:cs="方正仿宋_GBK"/>
                <w:color w:val="000000"/>
                <w:kern w:val="0"/>
                <w:sz w:val="15"/>
                <w:szCs w:val="15"/>
                <w:lang w:eastAsia="zh-CN" w:bidi="ar"/>
              </w:rPr>
              <w:t>等分系数（</w:t>
            </w:r>
            <w:r>
              <w:rPr>
                <w:rFonts w:hint="eastAsia" w:ascii="Times New Roman" w:hAnsi="Times New Roman" w:eastAsia="方正仿宋_GBK" w:cs="方正仿宋_GBK"/>
                <w:color w:val="000000"/>
                <w:kern w:val="0"/>
                <w:sz w:val="15"/>
                <w:szCs w:val="15"/>
                <w:lang w:val="en-US" w:eastAsia="zh-CN" w:bidi="ar"/>
              </w:rPr>
              <w:t>%</w:t>
            </w:r>
            <w:r>
              <w:rPr>
                <w:rFonts w:hint="eastAsia" w:ascii="Times New Roman" w:hAnsi="Times New Roman" w:eastAsia="方正仿宋_GBK" w:cs="方正仿宋_GBK"/>
                <w:color w:val="000000"/>
                <w:kern w:val="0"/>
                <w:sz w:val="15"/>
                <w:szCs w:val="15"/>
                <w:lang w:eastAsia="zh-CN" w:bidi="ar"/>
              </w:rPr>
              <w:t>）</w:t>
            </w:r>
          </w:p>
        </w:tc>
        <w:tc>
          <w:tcPr>
            <w:tcW w:w="855" w:type="dxa"/>
            <w:gridSpan w:val="3"/>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5"/>
                <w:szCs w:val="15"/>
                <w:lang w:bidi="ar"/>
              </w:rPr>
            </w:pPr>
            <w:r>
              <w:rPr>
                <w:rFonts w:hint="eastAsia" w:ascii="Times New Roman" w:hAnsi="Times New Roman" w:eastAsia="方正仿宋_GBK" w:cs="方正仿宋_GBK"/>
                <w:color w:val="000000"/>
                <w:kern w:val="0"/>
                <w:sz w:val="15"/>
                <w:szCs w:val="15"/>
                <w:lang w:bidi="ar"/>
              </w:rPr>
              <w:t>指标权重</w:t>
            </w:r>
            <w:r>
              <w:rPr>
                <w:rFonts w:hint="eastAsia" w:ascii="Times New Roman" w:hAnsi="Times New Roman" w:eastAsia="方正仿宋_GBK" w:cs="方正仿宋_GBK"/>
                <w:color w:val="000000"/>
                <w:kern w:val="0"/>
                <w:sz w:val="15"/>
                <w:szCs w:val="15"/>
                <w:lang w:bidi="ar"/>
              </w:rPr>
              <w:br w:type="textWrapping"/>
            </w:r>
            <w:r>
              <w:rPr>
                <w:rFonts w:hint="eastAsia" w:ascii="Times New Roman" w:hAnsi="Times New Roman" w:eastAsia="方正仿宋_GBK" w:cs="方正仿宋_GBK"/>
                <w:color w:val="000000"/>
                <w:kern w:val="0"/>
                <w:sz w:val="15"/>
                <w:szCs w:val="15"/>
                <w:lang w:bidi="ar"/>
              </w:rPr>
              <w:t>（分）</w:t>
            </w:r>
          </w:p>
        </w:tc>
        <w:tc>
          <w:tcPr>
            <w:tcW w:w="900"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sz w:val="15"/>
                <w:szCs w:val="15"/>
              </w:rPr>
            </w:pPr>
            <w:r>
              <w:rPr>
                <w:rFonts w:hint="eastAsia" w:ascii="Times New Roman" w:hAnsi="Times New Roman" w:eastAsia="方正仿宋_GBK" w:cs="方正仿宋_GBK"/>
                <w:color w:val="000000"/>
                <w:kern w:val="0"/>
                <w:sz w:val="15"/>
                <w:szCs w:val="15"/>
                <w:lang w:bidi="ar"/>
              </w:rPr>
              <w:t>指标得分</w:t>
            </w:r>
            <w:r>
              <w:rPr>
                <w:rFonts w:hint="eastAsia" w:ascii="Times New Roman" w:hAnsi="Times New Roman" w:eastAsia="方正仿宋_GBK" w:cs="方正仿宋_GBK"/>
                <w:color w:val="000000"/>
                <w:kern w:val="0"/>
                <w:sz w:val="15"/>
                <w:szCs w:val="15"/>
                <w:lang w:bidi="ar"/>
              </w:rPr>
              <w:br w:type="textWrapping"/>
            </w:r>
            <w:r>
              <w:rPr>
                <w:rFonts w:hint="eastAsia" w:ascii="Times New Roman" w:hAnsi="Times New Roman" w:eastAsia="方正仿宋_GBK" w:cs="方正仿宋_GBK"/>
                <w:color w:val="000000"/>
                <w:kern w:val="0"/>
                <w:sz w:val="15"/>
                <w:szCs w:val="15"/>
                <w:lang w:bidi="ar"/>
              </w:rPr>
              <w:t>（分）</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sz w:val="15"/>
                <w:szCs w:val="15"/>
              </w:rPr>
            </w:pPr>
            <w:r>
              <w:rPr>
                <w:rFonts w:hint="eastAsia" w:ascii="Times New Roman" w:hAnsi="Times New Roman" w:eastAsia="方正仿宋_GBK" w:cs="方正仿宋_GBK"/>
                <w:color w:val="000000"/>
                <w:kern w:val="0"/>
                <w:sz w:val="15"/>
                <w:szCs w:val="15"/>
                <w:lang w:bidi="ar"/>
              </w:rPr>
              <w:t>说明</w:t>
            </w:r>
          </w:p>
        </w:tc>
      </w:tr>
      <w:tr>
        <w:tblPrEx>
          <w:tblCellMar>
            <w:top w:w="0" w:type="dxa"/>
            <w:left w:w="108" w:type="dxa"/>
            <w:bottom w:w="0" w:type="dxa"/>
            <w:right w:w="108" w:type="dxa"/>
          </w:tblCellMar>
        </w:tblPrEx>
        <w:trPr>
          <w:trHeight w:val="64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imes New Roman" w:hAnsi="Times New Roman" w:eastAsia="方正仿宋_GBK" w:cs="方正仿宋_GBK"/>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开展数据治理</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条</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5000000</w:t>
            </w:r>
          </w:p>
        </w:tc>
        <w:tc>
          <w:tcPr>
            <w:tcW w:w="84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5000000</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0</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90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64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imes New Roman" w:hAnsi="Times New Roman" w:eastAsia="方正仿宋_GBK" w:cs="方正仿宋_GBK"/>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审核全区政务信息化项目</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个</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20</w:t>
            </w:r>
          </w:p>
        </w:tc>
        <w:tc>
          <w:tcPr>
            <w:tcW w:w="84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47</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135</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15</w:t>
            </w:r>
          </w:p>
        </w:tc>
        <w:tc>
          <w:tcPr>
            <w:tcW w:w="90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15</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实际审核47件</w:t>
            </w:r>
          </w:p>
        </w:tc>
      </w:tr>
      <w:tr>
        <w:tblPrEx>
          <w:tblCellMar>
            <w:top w:w="0" w:type="dxa"/>
            <w:left w:w="108" w:type="dxa"/>
            <w:bottom w:w="0" w:type="dxa"/>
            <w:right w:w="108" w:type="dxa"/>
          </w:tblCellMar>
        </w:tblPrEx>
        <w:trPr>
          <w:trHeight w:val="64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imes New Roman" w:hAnsi="Times New Roman" w:eastAsia="方正仿宋_GBK" w:cs="方正仿宋_GBK"/>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引入互联网平台企业</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个</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w:t>
            </w:r>
          </w:p>
        </w:tc>
        <w:tc>
          <w:tcPr>
            <w:tcW w:w="84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0</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90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64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imes New Roman" w:hAnsi="Times New Roman" w:eastAsia="方正仿宋_GBK" w:cs="方正仿宋_GBK"/>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有效运维信息化系统</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个</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w:t>
            </w:r>
          </w:p>
        </w:tc>
        <w:tc>
          <w:tcPr>
            <w:tcW w:w="84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4</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33.33</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90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实际运维4个</w:t>
            </w:r>
          </w:p>
        </w:tc>
      </w:tr>
      <w:tr>
        <w:tblPrEx>
          <w:tblCellMar>
            <w:top w:w="0" w:type="dxa"/>
            <w:left w:w="108" w:type="dxa"/>
            <w:bottom w:w="0" w:type="dxa"/>
            <w:right w:w="108" w:type="dxa"/>
          </w:tblCellMar>
        </w:tblPrEx>
        <w:trPr>
          <w:trHeight w:val="64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imes New Roman" w:hAnsi="Times New Roman" w:eastAsia="方正仿宋_GBK" w:cs="方正仿宋_GBK"/>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部门预决算公开率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4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0</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90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64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imes New Roman" w:hAnsi="Times New Roman" w:eastAsia="方正仿宋_GBK" w:cs="方正仿宋_GBK"/>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年度电信普遍服务完工率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95</w:t>
            </w:r>
          </w:p>
        </w:tc>
        <w:tc>
          <w:tcPr>
            <w:tcW w:w="84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5.26</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90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64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imes New Roman" w:hAnsi="Times New Roman" w:eastAsia="方正仿宋_GBK" w:cs="方正仿宋_GBK"/>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数字经济年度增速</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15</w:t>
            </w:r>
          </w:p>
        </w:tc>
        <w:tc>
          <w:tcPr>
            <w:tcW w:w="84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22.9</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52.67</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15</w:t>
            </w:r>
          </w:p>
        </w:tc>
        <w:tc>
          <w:tcPr>
            <w:tcW w:w="90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15</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实际增速22.9%</w:t>
            </w:r>
          </w:p>
        </w:tc>
      </w:tr>
      <w:tr>
        <w:tblPrEx>
          <w:tblCellMar>
            <w:top w:w="0" w:type="dxa"/>
            <w:left w:w="108" w:type="dxa"/>
            <w:bottom w:w="0" w:type="dxa"/>
            <w:right w:w="108" w:type="dxa"/>
          </w:tblCellMar>
        </w:tblPrEx>
        <w:trPr>
          <w:trHeight w:val="64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imes New Roman" w:hAnsi="Times New Roman" w:eastAsia="方正仿宋_GBK" w:cs="方正仿宋_GBK"/>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限上市场主体培育</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个</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w:t>
            </w:r>
          </w:p>
        </w:tc>
        <w:tc>
          <w:tcPr>
            <w:tcW w:w="84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150</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90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实际培育5个</w:t>
            </w:r>
          </w:p>
        </w:tc>
      </w:tr>
      <w:tr>
        <w:tblPrEx>
          <w:tblCellMar>
            <w:top w:w="0" w:type="dxa"/>
            <w:left w:w="108" w:type="dxa"/>
            <w:bottom w:w="0" w:type="dxa"/>
            <w:right w:w="108" w:type="dxa"/>
          </w:tblCellMar>
        </w:tblPrEx>
        <w:trPr>
          <w:trHeight w:val="64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imes New Roman" w:hAnsi="Times New Roman" w:eastAsia="方正仿宋_GBK" w:cs="方正仿宋_GBK"/>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机关政务协同办公使用率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90</w:t>
            </w:r>
          </w:p>
        </w:tc>
        <w:tc>
          <w:tcPr>
            <w:tcW w:w="84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11.11</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90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64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imes New Roman" w:hAnsi="Times New Roman" w:eastAsia="方正仿宋_GBK" w:cs="方正仿宋_GBK"/>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农村通信有效信号覆盖率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98</w:t>
            </w:r>
          </w:p>
        </w:tc>
        <w:tc>
          <w:tcPr>
            <w:tcW w:w="84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98</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0</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90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64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imes New Roman" w:hAnsi="Times New Roman" w:eastAsia="方正仿宋_GBK" w:cs="方正仿宋_GBK"/>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数据驱动智慧医疗服务提升满意度</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90</w:t>
            </w:r>
          </w:p>
        </w:tc>
        <w:tc>
          <w:tcPr>
            <w:tcW w:w="84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95</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5.56</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90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648"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Times New Roman" w:hAnsi="Times New Roman" w:eastAsia="方正仿宋_GBK" w:cs="方正仿宋_GBK"/>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信息化项目预算审减率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9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84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66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0</w:t>
            </w:r>
          </w:p>
        </w:tc>
        <w:tc>
          <w:tcPr>
            <w:tcW w:w="7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8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900"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1293"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648" w:hRule="atLeast"/>
          <w:jc w:val="center"/>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color w:val="000000"/>
                <w:sz w:val="18"/>
                <w:szCs w:val="18"/>
                <w:lang w:eastAsia="zh-CN"/>
              </w:rPr>
            </w:pPr>
            <w:r>
              <w:rPr>
                <w:rFonts w:hint="eastAsia" w:ascii="Times New Roman" w:hAnsi="Times New Roman" w:eastAsia="方正仿宋_GBK" w:cs="方正仿宋_GBK"/>
                <w:color w:val="000000"/>
                <w:sz w:val="18"/>
                <w:szCs w:val="18"/>
                <w:lang w:eastAsia="zh-CN"/>
              </w:rPr>
              <w:t>总体说明</w:t>
            </w:r>
          </w:p>
        </w:tc>
        <w:tc>
          <w:tcPr>
            <w:tcW w:w="8958" w:type="dxa"/>
            <w:gridSpan w:val="19"/>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cs="宋体"/>
                <w:color w:val="000000"/>
                <w:sz w:val="20"/>
                <w:szCs w:val="20"/>
              </w:rPr>
            </w:pPr>
          </w:p>
        </w:tc>
      </w:tr>
    </w:tbl>
    <w:p>
      <w:pPr>
        <w:rPr>
          <w:rFonts w:ascii="Times New Roman" w:hAnsi="Times New Roman"/>
        </w:rPr>
      </w:pPr>
    </w:p>
    <w:tbl>
      <w:tblPr>
        <w:tblStyle w:val="7"/>
        <w:tblW w:w="8863" w:type="dxa"/>
        <w:tblInd w:w="93" w:type="dxa"/>
        <w:tblLayout w:type="fixed"/>
        <w:tblCellMar>
          <w:top w:w="0" w:type="dxa"/>
          <w:left w:w="108" w:type="dxa"/>
          <w:bottom w:w="0" w:type="dxa"/>
          <w:right w:w="108" w:type="dxa"/>
        </w:tblCellMar>
      </w:tblPr>
      <w:tblGrid>
        <w:gridCol w:w="600"/>
        <w:gridCol w:w="750"/>
        <w:gridCol w:w="838"/>
        <w:gridCol w:w="780"/>
        <w:gridCol w:w="692"/>
        <w:gridCol w:w="690"/>
        <w:gridCol w:w="705"/>
        <w:gridCol w:w="945"/>
        <w:gridCol w:w="780"/>
        <w:gridCol w:w="1393"/>
        <w:gridCol w:w="690"/>
      </w:tblGrid>
      <w:tr>
        <w:tblPrEx>
          <w:tblCellMar>
            <w:top w:w="0" w:type="dxa"/>
            <w:left w:w="108" w:type="dxa"/>
            <w:bottom w:w="0" w:type="dxa"/>
            <w:right w:w="108" w:type="dxa"/>
          </w:tblCellMar>
        </w:tblPrEx>
        <w:trPr>
          <w:trHeight w:val="780" w:hRule="atLeast"/>
        </w:trPr>
        <w:tc>
          <w:tcPr>
            <w:tcW w:w="8863" w:type="dxa"/>
            <w:gridSpan w:val="11"/>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小标宋_GBK" w:cs="方正小标宋_GBK"/>
                <w:color w:val="000000"/>
                <w:kern w:val="0"/>
                <w:sz w:val="36"/>
                <w:szCs w:val="36"/>
                <w:lang w:eastAsia="zh-CN" w:bidi="ar"/>
              </w:rPr>
            </w:pPr>
            <w:r>
              <w:rPr>
                <w:rFonts w:hint="eastAsia" w:ascii="Times New Roman" w:hAnsi="Times New Roman" w:eastAsia="方正小标宋_GBK" w:cs="方正小标宋_GBK"/>
                <w:color w:val="000000"/>
                <w:kern w:val="0"/>
                <w:sz w:val="36"/>
                <w:szCs w:val="36"/>
                <w:lang w:eastAsia="zh-CN" w:bidi="ar"/>
              </w:rPr>
              <w:t>重庆市万州区大数据应用发展管理局</w:t>
            </w:r>
          </w:p>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36"/>
                <w:szCs w:val="36"/>
                <w:lang w:bidi="ar"/>
              </w:rPr>
              <w:t>202</w:t>
            </w:r>
            <w:r>
              <w:rPr>
                <w:rFonts w:hint="eastAsia" w:ascii="Times New Roman" w:hAnsi="Times New Roman" w:eastAsia="方正小标宋_GBK" w:cs="方正小标宋_GBK"/>
                <w:color w:val="000000"/>
                <w:kern w:val="0"/>
                <w:sz w:val="36"/>
                <w:szCs w:val="36"/>
                <w:lang w:val="en-US" w:eastAsia="zh-CN" w:bidi="ar"/>
              </w:rPr>
              <w:t>3</w:t>
            </w:r>
            <w:r>
              <w:rPr>
                <w:rFonts w:hint="eastAsia" w:ascii="Times New Roman" w:hAnsi="Times New Roman" w:eastAsia="方正小标宋_GBK" w:cs="方正小标宋_GBK"/>
                <w:color w:val="000000"/>
                <w:kern w:val="0"/>
                <w:sz w:val="36"/>
                <w:szCs w:val="36"/>
                <w:lang w:bidi="ar"/>
              </w:rPr>
              <w:t>年度</w:t>
            </w:r>
            <w:r>
              <w:rPr>
                <w:rFonts w:hint="eastAsia" w:ascii="Times New Roman" w:hAnsi="Times New Roman" w:eastAsia="方正小标宋_GBK" w:cs="方正小标宋_GBK"/>
                <w:color w:val="000000"/>
                <w:kern w:val="0"/>
                <w:sz w:val="36"/>
                <w:szCs w:val="36"/>
                <w:lang w:eastAsia="zh-CN" w:bidi="ar"/>
              </w:rPr>
              <w:t>一般性</w:t>
            </w:r>
            <w:r>
              <w:rPr>
                <w:rFonts w:hint="eastAsia" w:ascii="Times New Roman" w:hAnsi="Times New Roman" w:eastAsia="方正小标宋_GBK" w:cs="方正小标宋_GBK"/>
                <w:color w:val="000000"/>
                <w:kern w:val="0"/>
                <w:sz w:val="36"/>
                <w:szCs w:val="36"/>
                <w:lang w:bidi="ar"/>
              </w:rPr>
              <w:t>项目支出绩效自评表</w:t>
            </w:r>
          </w:p>
        </w:tc>
      </w:tr>
      <w:tr>
        <w:tblPrEx>
          <w:tblCellMar>
            <w:top w:w="0" w:type="dxa"/>
            <w:left w:w="108" w:type="dxa"/>
            <w:bottom w:w="0" w:type="dxa"/>
            <w:right w:w="108" w:type="dxa"/>
          </w:tblCellMar>
        </w:tblPrEx>
        <w:trPr>
          <w:trHeight w:val="600" w:hRule="atLeast"/>
        </w:trPr>
        <w:tc>
          <w:tcPr>
            <w:tcW w:w="600"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序号</w:t>
            </w:r>
          </w:p>
        </w:tc>
        <w:tc>
          <w:tcPr>
            <w:tcW w:w="75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项目名称</w:t>
            </w:r>
          </w:p>
        </w:tc>
        <w:tc>
          <w:tcPr>
            <w:tcW w:w="838"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指标名称</w:t>
            </w:r>
          </w:p>
        </w:tc>
        <w:tc>
          <w:tcPr>
            <w:tcW w:w="78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指标</w:t>
            </w:r>
            <w:r>
              <w:rPr>
                <w:rFonts w:hint="eastAsia" w:ascii="Times New Roman" w:hAnsi="Times New Roman" w:eastAsia="方正黑体_GBK" w:cs="方正黑体_GBK"/>
                <w:b w:val="0"/>
                <w:bCs w:val="0"/>
                <w:color w:val="000000"/>
                <w:kern w:val="0"/>
                <w:sz w:val="22"/>
                <w:lang w:bidi="ar"/>
              </w:rPr>
              <w:t>性质</w:t>
            </w:r>
          </w:p>
        </w:tc>
        <w:tc>
          <w:tcPr>
            <w:tcW w:w="69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指标值</w:t>
            </w:r>
          </w:p>
        </w:tc>
        <w:tc>
          <w:tcPr>
            <w:tcW w:w="69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计量单位</w:t>
            </w:r>
          </w:p>
        </w:tc>
        <w:tc>
          <w:tcPr>
            <w:tcW w:w="70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指标权重</w:t>
            </w:r>
          </w:p>
        </w:tc>
        <w:tc>
          <w:tcPr>
            <w:tcW w:w="94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全年完成值</w:t>
            </w:r>
          </w:p>
        </w:tc>
        <w:tc>
          <w:tcPr>
            <w:tcW w:w="78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指标得分</w:t>
            </w:r>
          </w:p>
        </w:tc>
        <w:tc>
          <w:tcPr>
            <w:tcW w:w="1393"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说明</w:t>
            </w:r>
          </w:p>
        </w:tc>
        <w:tc>
          <w:tcPr>
            <w:tcW w:w="69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22"/>
              </w:rPr>
            </w:pPr>
            <w:r>
              <w:rPr>
                <w:rFonts w:hint="eastAsia" w:ascii="Times New Roman" w:hAnsi="Times New Roman" w:eastAsia="方正黑体_GBK" w:cs="方正黑体_GBK"/>
                <w:color w:val="000000"/>
                <w:kern w:val="0"/>
                <w:sz w:val="22"/>
                <w:lang w:bidi="ar"/>
              </w:rPr>
              <w:t>自评得分</w:t>
            </w:r>
          </w:p>
        </w:tc>
      </w:tr>
      <w:tr>
        <w:tblPrEx>
          <w:tblCellMar>
            <w:top w:w="0" w:type="dxa"/>
            <w:left w:w="108" w:type="dxa"/>
            <w:bottom w:w="0" w:type="dxa"/>
            <w:right w:w="108" w:type="dxa"/>
          </w:tblCellMar>
        </w:tblPrEx>
        <w:trPr>
          <w:trHeight w:val="432" w:hRule="atLeast"/>
        </w:trPr>
        <w:tc>
          <w:tcPr>
            <w:tcW w:w="600" w:type="dxa"/>
            <w:vMerge w:val="restart"/>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Times New Roman" w:hAnsi="Times New Roman"/>
                <w:color w:val="000000"/>
                <w:sz w:val="22"/>
              </w:rPr>
            </w:pPr>
            <w:r>
              <w:rPr>
                <w:rFonts w:hint="eastAsia" w:ascii="Times New Roman" w:hAnsi="Times New Roman" w:eastAsia="方正仿宋_GBK" w:cs="方正仿宋_GBK"/>
                <w:color w:val="000000"/>
                <w:kern w:val="0"/>
                <w:sz w:val="18"/>
                <w:szCs w:val="18"/>
                <w:lang w:val="en-US" w:eastAsia="zh-CN" w:bidi="ar"/>
              </w:rPr>
              <w:t>1</w:t>
            </w:r>
          </w:p>
        </w:tc>
        <w:tc>
          <w:tcPr>
            <w:tcW w:w="750" w:type="dxa"/>
            <w:vMerge w:val="restar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迁移上云信息系统回迁资金</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年度预算执行率</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c>
          <w:tcPr>
            <w:tcW w:w="69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Times New Roman" w:hAnsi="Times New Roman"/>
                <w:color w:val="000000"/>
                <w:sz w:val="22"/>
              </w:rPr>
            </w:pPr>
          </w:p>
        </w:tc>
        <w:tc>
          <w:tcPr>
            <w:tcW w:w="750" w:type="dxa"/>
            <w:vMerge w:val="continue"/>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信息系统回迁数量</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cs="宋体"/>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Times New Roman" w:hAnsi="Times New Roman"/>
                <w:color w:val="000000"/>
                <w:sz w:val="22"/>
              </w:rPr>
            </w:pPr>
          </w:p>
        </w:tc>
        <w:tc>
          <w:tcPr>
            <w:tcW w:w="750" w:type="dxa"/>
            <w:vMerge w:val="continue"/>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系统平稳运行</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360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天</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365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cs="宋体"/>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ascii="Times New Roman" w:hAnsi="Times New Roman"/>
                <w:color w:val="000000"/>
                <w:sz w:val="22"/>
              </w:rPr>
            </w:pPr>
          </w:p>
        </w:tc>
        <w:tc>
          <w:tcPr>
            <w:tcW w:w="750" w:type="dxa"/>
            <w:vMerge w:val="continue"/>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用户满意度</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96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18"/>
                <w:szCs w:val="18"/>
                <w:lang w:val="en-US" w:eastAsia="zh-CN" w:bidi="ar"/>
              </w:rPr>
            </w:pPr>
          </w:p>
        </w:tc>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cs="宋体"/>
                <w:color w:val="000000"/>
                <w:sz w:val="22"/>
              </w:rPr>
            </w:pPr>
          </w:p>
        </w:tc>
      </w:tr>
      <w:tr>
        <w:tblPrEx>
          <w:tblCellMar>
            <w:top w:w="0" w:type="dxa"/>
            <w:left w:w="108" w:type="dxa"/>
            <w:bottom w:w="0" w:type="dxa"/>
            <w:right w:w="108" w:type="dxa"/>
          </w:tblCellMar>
        </w:tblPrEx>
        <w:trPr>
          <w:trHeight w:val="432" w:hRule="atLeast"/>
        </w:trPr>
        <w:tc>
          <w:tcPr>
            <w:tcW w:w="600" w:type="dxa"/>
            <w:vMerge w:val="restart"/>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全区政务信息化项目管理专项工作经费</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年度预算执行率</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69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100</w:t>
            </w: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审批件数</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件</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47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2023年实际审批47件</w:t>
            </w:r>
          </w:p>
        </w:tc>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审批周期</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14</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天</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及时办结率</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96</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财政资金节约率</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30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r>
      <w:tr>
        <w:tblPrEx>
          <w:tblCellMar>
            <w:top w:w="0" w:type="dxa"/>
            <w:left w:w="108" w:type="dxa"/>
            <w:bottom w:w="0" w:type="dxa"/>
            <w:right w:w="108" w:type="dxa"/>
          </w:tblCellMar>
        </w:tblPrEx>
        <w:trPr>
          <w:trHeight w:val="432" w:hRule="atLeast"/>
        </w:trPr>
        <w:tc>
          <w:tcPr>
            <w:tcW w:w="600" w:type="dxa"/>
            <w:vMerge w:val="continue"/>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投诉率</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6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10</w:t>
            </w:r>
          </w:p>
        </w:tc>
        <w:tc>
          <w:tcPr>
            <w:tcW w:w="13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r>
              <w:rPr>
                <w:rFonts w:hint="eastAsia" w:ascii="Times New Roman" w:hAnsi="Times New Roman" w:eastAsia="方正仿宋_GBK" w:cs="方正仿宋_GBK"/>
                <w:color w:val="000000"/>
                <w:kern w:val="0"/>
                <w:sz w:val="18"/>
                <w:szCs w:val="18"/>
                <w:lang w:val="en-US" w:eastAsia="zh-CN" w:bidi="ar"/>
              </w:rPr>
              <w:t>2023年未收到投诉</w:t>
            </w:r>
          </w:p>
        </w:tc>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Times New Roman" w:hAnsi="Times New Roman" w:eastAsia="方正仿宋_GBK" w:cs="方正仿宋_GBK"/>
                <w:color w:val="000000"/>
                <w:kern w:val="0"/>
                <w:sz w:val="18"/>
                <w:szCs w:val="18"/>
                <w:lang w:val="en-US" w:eastAsia="zh-CN" w:bidi="ar"/>
              </w:rPr>
            </w:pPr>
          </w:p>
        </w:tc>
      </w:tr>
    </w:tbl>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w:t>
      </w:r>
      <w:r>
        <w:rPr>
          <w:rFonts w:hint="eastAsia" w:ascii="Times New Roman" w:hAnsi="Times New Roman" w:eastAsia="楷体" w:cs="楷体"/>
          <w:b w:val="0"/>
          <w:bCs w:val="0"/>
          <w:sz w:val="32"/>
          <w:szCs w:val="32"/>
          <w:shd w:val="clear" w:color="auto" w:fill="FFFFFF"/>
          <w:lang w:eastAsia="zh-CN"/>
        </w:rPr>
        <w:t>三</w:t>
      </w:r>
      <w:r>
        <w:rPr>
          <w:rFonts w:hint="eastAsia" w:ascii="Times New Roman" w:hAnsi="Times New Roman" w:eastAsia="楷体" w:cs="楷体"/>
          <w:b w:val="0"/>
          <w:bCs w:val="0"/>
          <w:sz w:val="32"/>
          <w:szCs w:val="32"/>
          <w:shd w:val="clear" w:color="auto" w:fill="FFFFFF"/>
        </w:rPr>
        <w:t>）部门绩效评价情况</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我部门未组织开展绩效评价。</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Times New Roman" w:hAnsi="Times New Roman" w:eastAsia="楷体" w:cs="楷体"/>
          <w:b w:val="0"/>
          <w:bCs w:val="0"/>
          <w:sz w:val="32"/>
          <w:szCs w:val="32"/>
          <w:shd w:val="clear" w:color="auto" w:fill="FFFFFF"/>
        </w:rPr>
      </w:pPr>
      <w:r>
        <w:rPr>
          <w:rFonts w:hint="eastAsia" w:ascii="Times New Roman" w:hAnsi="Times New Roman" w:eastAsia="楷体" w:cs="楷体"/>
          <w:b w:val="0"/>
          <w:bCs w:val="0"/>
          <w:sz w:val="32"/>
          <w:szCs w:val="32"/>
          <w:shd w:val="clear" w:color="auto" w:fill="FFFFFF"/>
        </w:rPr>
        <w:t>（</w:t>
      </w:r>
      <w:r>
        <w:rPr>
          <w:rFonts w:hint="eastAsia" w:ascii="Times New Roman" w:hAnsi="Times New Roman" w:eastAsia="楷体" w:cs="楷体"/>
          <w:b w:val="0"/>
          <w:bCs w:val="0"/>
          <w:sz w:val="32"/>
          <w:szCs w:val="32"/>
          <w:shd w:val="clear" w:color="auto" w:fill="FFFFFF"/>
          <w:lang w:eastAsia="zh-CN"/>
        </w:rPr>
        <w:t>四</w:t>
      </w:r>
      <w:r>
        <w:rPr>
          <w:rFonts w:hint="eastAsia" w:ascii="Times New Roman" w:hAnsi="Times New Roman" w:eastAsia="楷体" w:cs="楷体"/>
          <w:b w:val="0"/>
          <w:bCs w:val="0"/>
          <w:sz w:val="32"/>
          <w:szCs w:val="32"/>
          <w:shd w:val="clear" w:color="auto" w:fill="FFFFFF"/>
        </w:rPr>
        <w:t>）财政绩效评价情况</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lang w:eastAsia="zh-CN"/>
        </w:rPr>
        <w:t>区财政局未委托第三方对我部门开展绩效评价。</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方正仿宋_GBK" w:cs="方正仿宋_GBK"/>
          <w:b w:val="0"/>
          <w:bCs w:val="0"/>
          <w:sz w:val="32"/>
          <w:szCs w:val="32"/>
          <w:shd w:val="clear" w:color="auto" w:fill="FFFFFF"/>
        </w:rPr>
      </w:pPr>
      <w:r>
        <w:rPr>
          <w:rStyle w:val="10"/>
          <w:rFonts w:ascii="Times New Roman" w:hAnsi="Times New Roman" w:eastAsia="黑体" w:cs="黑体"/>
          <w:b w:val="0"/>
          <w:bCs w:val="0"/>
          <w:sz w:val="32"/>
          <w:szCs w:val="32"/>
          <w:shd w:val="clear" w:color="auto" w:fill="FFFFFF"/>
        </w:rPr>
        <w:t>六、专业名词解释</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楷体" w:cs="楷体"/>
          <w:b w:val="0"/>
          <w:bCs w:val="0"/>
          <w:sz w:val="32"/>
          <w:szCs w:val="32"/>
          <w:shd w:val="clear" w:color="auto" w:fill="FFFFFF"/>
        </w:rPr>
        <w:t>（一）财政拨款收入：</w:t>
      </w:r>
      <w:r>
        <w:rPr>
          <w:rFonts w:ascii="Times New Roman" w:hAnsi="Times New Roman" w:eastAsia="方正仿宋_GBK" w:cs="方正仿宋_GBK"/>
          <w:b w:val="0"/>
          <w:bCs w:val="0"/>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（二）事业收入</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（三）经营收入</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（四）其他收入</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指单位取得的除“财政拨款收入”、“事</w:t>
      </w:r>
      <w:r>
        <w:rPr>
          <w:rFonts w:ascii="Times New Roman" w:hAnsi="Times New Roman" w:eastAsia="方正仿宋_GBK" w:cs="方正仿宋_GBK"/>
          <w:sz w:val="32"/>
          <w:szCs w:val="32"/>
          <w:shd w:val="clear" w:color="auto" w:fill="FFFFFF"/>
        </w:rPr>
        <w:t>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w:t>
      </w:r>
      <w:r>
        <w:rPr>
          <w:rFonts w:ascii="Times New Roman" w:hAnsi="Times New Roman" w:eastAsia="方正仿宋_GBK" w:cs="方正仿宋_GBK"/>
          <w:b w:val="0"/>
          <w:bCs w:val="0"/>
          <w:sz w:val="32"/>
          <w:szCs w:val="32"/>
          <w:shd w:val="clear" w:color="auto" w:fill="FFFFFF"/>
        </w:rPr>
        <w:t>行政单位收到的财政专户管理资金反映在本项内。</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（五）使用非财政拨款结余</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（六）年初结转和结余</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指单位上年结转本年使用的基本支出结转、项目支出结转和结余、经营结余。</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（七）结余分配</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（八）年末结转和结余</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指单位结转下年的基本支出结转、项目支出结转和结余、经营结余。</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10"/>
          <w:rFonts w:ascii="Times New Roman" w:hAnsi="Times New Roman" w:eastAsia="楷体" w:cs="楷体"/>
          <w:b w:val="0"/>
          <w:bCs w:val="0"/>
          <w:sz w:val="32"/>
          <w:szCs w:val="32"/>
          <w:shd w:val="clear" w:color="auto" w:fill="FFFFFF"/>
        </w:rPr>
        <w:t>（九）基本支出</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楷体" w:cs="楷体"/>
          <w:b w:val="0"/>
          <w:bCs w:val="0"/>
          <w:sz w:val="32"/>
          <w:szCs w:val="32"/>
          <w:shd w:val="clear" w:color="auto" w:fill="FFFFFF"/>
        </w:rPr>
        <w:t>（十）项目支出</w:t>
      </w:r>
      <w:r>
        <w:rPr>
          <w:rFonts w:ascii="Times New Roman" w:hAnsi="Times New Roman" w:eastAsia="楷体" w:cs="楷体"/>
          <w:b w:val="0"/>
          <w:bCs w:val="0"/>
          <w:sz w:val="32"/>
          <w:szCs w:val="32"/>
          <w:shd w:val="clear" w:color="auto" w:fill="FFFFFF"/>
        </w:rPr>
        <w:t>：</w:t>
      </w:r>
      <w:r>
        <w:rPr>
          <w:rFonts w:ascii="Times New Roman" w:hAnsi="Times New Roman" w:eastAsia="方正仿宋_GBK" w:cs="方正仿宋_GBK"/>
          <w:b w:val="0"/>
          <w:bCs w:val="0"/>
          <w:sz w:val="32"/>
          <w:szCs w:val="32"/>
          <w:shd w:val="clear" w:color="auto" w:fill="FFFFFF"/>
        </w:rPr>
        <w:t>指在基本支出之外为完成特定行政任务和</w:t>
      </w:r>
      <w:r>
        <w:rPr>
          <w:rFonts w:ascii="Times New Roman" w:hAnsi="Times New Roman" w:eastAsia="方正仿宋_GBK" w:cs="方正仿宋_GBK"/>
          <w:sz w:val="32"/>
          <w:szCs w:val="32"/>
          <w:shd w:val="clear" w:color="auto" w:fill="FFFFFF"/>
        </w:rPr>
        <w:t>事业发展目标所发生的支出。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rPr>
      </w:pPr>
      <w:r>
        <w:rPr>
          <w:rStyle w:val="10"/>
          <w:rFonts w:ascii="Times New Roman" w:hAnsi="Times New Roman" w:eastAsia="楷体" w:cs="楷体"/>
          <w:b w:val="0"/>
          <w:bCs/>
          <w:sz w:val="32"/>
          <w:szCs w:val="32"/>
          <w:shd w:val="clear" w:color="auto" w:fill="FFFFFF"/>
        </w:rPr>
        <w:t>（十一）经营支出</w:t>
      </w:r>
      <w:r>
        <w:rPr>
          <w:rFonts w:ascii="Times New Roman" w:hAnsi="Times New Roman" w:eastAsia="楷体" w:cs="楷体"/>
          <w:b w:val="0"/>
          <w:bCs/>
          <w:sz w:val="32"/>
          <w:szCs w:val="32"/>
          <w:shd w:val="clear" w:color="auto" w:fill="FFFFFF"/>
        </w:rPr>
        <w:t>：</w:t>
      </w:r>
      <w:r>
        <w:rPr>
          <w:rFonts w:ascii="Times New Roman" w:hAnsi="Times New Roman" w:eastAsia="方正仿宋_GBK" w:cs="方正仿宋_GBK"/>
          <w:b w:val="0"/>
          <w:bCs/>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rPr>
      </w:pPr>
      <w:r>
        <w:rPr>
          <w:rStyle w:val="10"/>
          <w:rFonts w:ascii="Times New Roman" w:hAnsi="Times New Roman" w:eastAsia="楷体" w:cs="楷体"/>
          <w:b w:val="0"/>
          <w:bCs/>
          <w:sz w:val="32"/>
          <w:szCs w:val="32"/>
          <w:shd w:val="clear" w:color="auto" w:fill="FFFFFF"/>
        </w:rPr>
        <w:t>（十二）“三公”经费</w:t>
      </w:r>
      <w:r>
        <w:rPr>
          <w:rFonts w:ascii="Times New Roman" w:hAnsi="Times New Roman" w:eastAsia="楷体" w:cs="楷体"/>
          <w:b w:val="0"/>
          <w:bCs/>
          <w:sz w:val="32"/>
          <w:szCs w:val="32"/>
          <w:shd w:val="clear" w:color="auto" w:fill="FFFFFF"/>
        </w:rPr>
        <w:t>：</w:t>
      </w:r>
      <w:r>
        <w:rPr>
          <w:rFonts w:ascii="Times New Roman" w:hAnsi="Times New Roman" w:eastAsia="方正仿宋_GBK" w:cs="方正仿宋_GBK"/>
          <w:b w:val="0"/>
          <w:bCs/>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楷体" w:cs="楷体"/>
          <w:b w:val="0"/>
          <w:bCs/>
          <w:sz w:val="32"/>
          <w:szCs w:val="32"/>
          <w:shd w:val="clear" w:color="auto" w:fill="FFFFFF"/>
        </w:rPr>
        <w:t>（十三）机关运行经费</w:t>
      </w:r>
      <w:r>
        <w:rPr>
          <w:rFonts w:ascii="Times New Roman" w:hAnsi="Times New Roman" w:eastAsia="楷体" w:cs="楷体"/>
          <w:b w:val="0"/>
          <w:bCs/>
          <w:sz w:val="32"/>
          <w:szCs w:val="32"/>
          <w:shd w:val="clear" w:color="auto" w:fill="FFFFFF"/>
        </w:rPr>
        <w:t>：</w:t>
      </w:r>
      <w:r>
        <w:rPr>
          <w:rFonts w:ascii="Times New Roman" w:hAnsi="Times New Roman" w:eastAsia="方正仿宋_GBK" w:cs="方正仿宋_GBK"/>
          <w:b w:val="0"/>
          <w:bCs/>
          <w:sz w:val="32"/>
          <w:szCs w:val="32"/>
          <w:shd w:val="clear" w:color="auto" w:fill="FFFFFF"/>
        </w:rPr>
        <w:t>为保障行政单位（含参照公务员法</w:t>
      </w:r>
      <w:r>
        <w:rPr>
          <w:rFonts w:ascii="Times New Roman" w:hAnsi="Times New Roman" w:eastAsia="方正仿宋_GBK" w:cs="方正仿宋_GBK"/>
          <w:sz w:val="32"/>
          <w:szCs w:val="32"/>
          <w:shd w:val="clear" w:color="auto" w:fill="FFFFFF"/>
        </w:rPr>
        <w:t>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rPr>
      </w:pPr>
      <w:r>
        <w:rPr>
          <w:rStyle w:val="10"/>
          <w:rFonts w:ascii="Times New Roman" w:hAnsi="Times New Roman" w:eastAsia="楷体" w:cs="楷体"/>
          <w:b w:val="0"/>
          <w:bCs/>
          <w:sz w:val="32"/>
          <w:szCs w:val="32"/>
          <w:shd w:val="clear" w:color="auto" w:fill="FFFFFF"/>
        </w:rPr>
        <w:t>（十四）工资福利支出（支出经济分类科目类级）</w:t>
      </w:r>
      <w:r>
        <w:rPr>
          <w:rFonts w:ascii="Times New Roman" w:hAnsi="Times New Roman" w:eastAsia="楷体" w:cs="楷体"/>
          <w:b w:val="0"/>
          <w:bCs/>
          <w:sz w:val="32"/>
          <w:szCs w:val="32"/>
          <w:shd w:val="clear" w:color="auto" w:fill="FFFFFF"/>
        </w:rPr>
        <w:t>：</w:t>
      </w:r>
      <w:r>
        <w:rPr>
          <w:rFonts w:ascii="Times New Roman" w:hAnsi="Times New Roman" w:eastAsia="方正仿宋_GBK" w:cs="方正仿宋_GBK"/>
          <w:b w:val="0"/>
          <w:bCs/>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sz w:val="32"/>
          <w:szCs w:val="32"/>
        </w:rPr>
      </w:pPr>
      <w:r>
        <w:rPr>
          <w:rStyle w:val="10"/>
          <w:rFonts w:ascii="Times New Roman" w:hAnsi="Times New Roman" w:eastAsia="楷体" w:cs="楷体"/>
          <w:b w:val="0"/>
          <w:bCs/>
          <w:sz w:val="32"/>
          <w:szCs w:val="32"/>
          <w:shd w:val="clear" w:color="auto" w:fill="FFFFFF"/>
        </w:rPr>
        <w:t>（十五）商品和服务支出（支出经济分类科目类级）</w:t>
      </w:r>
      <w:r>
        <w:rPr>
          <w:rFonts w:ascii="Times New Roman" w:hAnsi="Times New Roman" w:eastAsia="楷体" w:cs="楷体"/>
          <w:b w:val="0"/>
          <w:bCs/>
          <w:sz w:val="32"/>
          <w:szCs w:val="32"/>
          <w:shd w:val="clear" w:color="auto" w:fill="FFFFFF"/>
        </w:rPr>
        <w:t>：</w:t>
      </w:r>
      <w:r>
        <w:rPr>
          <w:rFonts w:ascii="Times New Roman" w:hAnsi="Times New Roman" w:eastAsia="方正仿宋_GBK" w:cs="方正仿宋_GBK"/>
          <w:b w:val="0"/>
          <w:bCs/>
          <w:sz w:val="32"/>
          <w:szCs w:val="32"/>
          <w:shd w:val="clear" w:color="auto" w:fill="FFFFFF"/>
        </w:rPr>
        <w:t>反映单位购买商品和服务的支出（不包括用于购置固定资产的支出、</w:t>
      </w:r>
      <w:r>
        <w:rPr>
          <w:rFonts w:ascii="Times New Roman" w:hAnsi="Times New Roman" w:eastAsia="方正仿宋_GBK" w:cs="方正仿宋_GBK"/>
          <w:sz w:val="32"/>
          <w:szCs w:val="32"/>
          <w:shd w:val="clear" w:color="auto" w:fill="FFFFFF"/>
        </w:rPr>
        <w:t>战略性和应急储备支出）。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rPr>
      </w:pPr>
      <w:r>
        <w:rPr>
          <w:rStyle w:val="10"/>
          <w:rFonts w:ascii="Times New Roman" w:hAnsi="Times New Roman" w:eastAsia="楷体" w:cs="楷体"/>
          <w:b w:val="0"/>
          <w:bCs/>
          <w:sz w:val="32"/>
          <w:szCs w:val="32"/>
          <w:shd w:val="clear" w:color="auto" w:fill="FFFFFF"/>
        </w:rPr>
        <w:t>（十六）对个人和家庭的补助（支出经济分类科目类级）</w:t>
      </w:r>
      <w:r>
        <w:rPr>
          <w:rFonts w:ascii="Times New Roman" w:hAnsi="Times New Roman" w:eastAsia="楷体" w:cs="楷体"/>
          <w:b w:val="0"/>
          <w:bCs/>
          <w:sz w:val="32"/>
          <w:szCs w:val="32"/>
          <w:shd w:val="clear" w:color="auto" w:fill="FFFFFF"/>
        </w:rPr>
        <w:t>：</w:t>
      </w:r>
      <w:r>
        <w:rPr>
          <w:rFonts w:ascii="Times New Roman" w:hAnsi="Times New Roman" w:eastAsia="方正仿宋_GBK" w:cs="方正仿宋_GBK"/>
          <w:b w:val="0"/>
          <w:bCs/>
          <w:sz w:val="32"/>
          <w:szCs w:val="32"/>
          <w:shd w:val="clear" w:color="auto" w:fill="FFFFFF"/>
        </w:rPr>
        <w:t>反映用于对个人和家庭的补助支出。</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sz w:val="32"/>
          <w:szCs w:val="32"/>
        </w:rPr>
      </w:pPr>
      <w:r>
        <w:rPr>
          <w:rStyle w:val="10"/>
          <w:rFonts w:ascii="Times New Roman" w:hAnsi="Times New Roman" w:eastAsia="楷体" w:cs="楷体"/>
          <w:b w:val="0"/>
          <w:bCs/>
          <w:sz w:val="32"/>
          <w:szCs w:val="32"/>
          <w:shd w:val="clear" w:color="auto" w:fill="FFFFFF"/>
        </w:rPr>
        <w:t>（十七）其他资本性支出（支出经济分类科目类级）</w:t>
      </w:r>
      <w:r>
        <w:rPr>
          <w:rFonts w:ascii="Times New Roman" w:hAnsi="Times New Roman" w:eastAsia="楷体" w:cs="楷体"/>
          <w:b w:val="0"/>
          <w:bCs/>
          <w:sz w:val="32"/>
          <w:szCs w:val="32"/>
          <w:shd w:val="clear" w:color="auto" w:fill="FFFFFF"/>
        </w:rPr>
        <w:t>：</w:t>
      </w:r>
      <w:r>
        <w:rPr>
          <w:rFonts w:ascii="Times New Roman" w:hAnsi="Times New Roman" w:eastAsia="方正仿宋_GBK" w:cs="方正仿宋_GBK"/>
          <w:b w:val="0"/>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方正仿宋_GBK" w:cs="方正仿宋_GBK"/>
          <w:b w:val="0"/>
          <w:bCs/>
          <w:sz w:val="32"/>
          <w:szCs w:val="32"/>
          <w:shd w:val="clear" w:color="auto" w:fill="FFFFFF"/>
        </w:rPr>
      </w:pPr>
      <w:r>
        <w:rPr>
          <w:rStyle w:val="10"/>
          <w:rFonts w:ascii="Times New Roman" w:hAnsi="Times New Roman" w:eastAsia="黑体" w:cs="黑体"/>
          <w:b w:val="0"/>
          <w:bCs/>
          <w:sz w:val="32"/>
          <w:szCs w:val="32"/>
          <w:shd w:val="clear" w:color="auto" w:fill="FFFFFF"/>
        </w:rPr>
        <w:t>七、决算公开联系方式及信息反馈渠道</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default" w:ascii="Times New Roman" w:hAnsi="Times New Roman" w:eastAsia="方正仿宋_GBK" w:cs="方正仿宋_GBK"/>
          <w:sz w:val="32"/>
          <w:szCs w:val="32"/>
          <w:shd w:val="clear" w:color="auto" w:fill="FFFF00"/>
          <w:lang w:val="en-US" w:eastAsia="zh-CN"/>
        </w:rPr>
      </w:pPr>
      <w:r>
        <w:rPr>
          <w:rFonts w:ascii="Times New Roman" w:hAnsi="Times New Roman" w:eastAsia="方正仿宋_GBK" w:cs="方正仿宋_GBK"/>
          <w:b w:val="0"/>
          <w:bCs/>
          <w:sz w:val="32"/>
          <w:szCs w:val="32"/>
          <w:shd w:val="clear" w:color="auto" w:fill="FFFFFF"/>
        </w:rPr>
        <w:t>本单位决算公开信息反馈和联系方式：</w:t>
      </w:r>
      <w:r>
        <w:rPr>
          <w:rFonts w:hint="eastAsia" w:ascii="Times New Roman" w:hAnsi="Times New Roman" w:eastAsia="方正仿宋_GBK" w:cs="方正仿宋_GBK"/>
          <w:b w:val="0"/>
          <w:bCs/>
          <w:sz w:val="32"/>
          <w:szCs w:val="32"/>
          <w:shd w:val="clear" w:color="auto" w:fill="FFFFFF"/>
          <w:lang w:eastAsia="zh-CN"/>
        </w:rPr>
        <w:t>涂人文，</w:t>
      </w:r>
      <w:r>
        <w:rPr>
          <w:rFonts w:hint="eastAsia" w:ascii="Times New Roman" w:hAnsi="Times New Roman" w:eastAsia="方正仿宋_GBK" w:cs="方正仿宋_GBK"/>
          <w:sz w:val="32"/>
          <w:szCs w:val="32"/>
          <w:shd w:val="clear" w:color="auto" w:fill="FFFFFF"/>
          <w:lang w:val="en-US" w:eastAsia="zh-CN"/>
        </w:rPr>
        <w:t>023-58966399。</w:t>
      </w:r>
    </w:p>
    <w:p>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2" w:firstLineChars="200"/>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p>
      <w:pPr>
        <w:rPr>
          <w:rFonts w:hint="default" w:cs="宋体"/>
          <w:sz w:val="21"/>
          <w:szCs w:val="21"/>
        </w:rPr>
      </w:pPr>
    </w:p>
    <w:tbl>
      <w:tblPr>
        <w:tblStyle w:val="7"/>
        <w:tblW w:w="15337" w:type="dxa"/>
        <w:tblInd w:w="0" w:type="dxa"/>
        <w:tblLayout w:type="fixed"/>
        <w:tblCellMar>
          <w:top w:w="0" w:type="dxa"/>
          <w:left w:w="0" w:type="dxa"/>
          <w:bottom w:w="0" w:type="dxa"/>
          <w:right w:w="0" w:type="dxa"/>
        </w:tblCellMar>
      </w:tblPr>
      <w:tblGrid>
        <w:gridCol w:w="5105"/>
        <w:gridCol w:w="2012"/>
        <w:gridCol w:w="4791"/>
        <w:gridCol w:w="3429"/>
      </w:tblGrid>
      <w:tr>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重庆市万州区大数据应用发展管理局</w:t>
            </w: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1,239.38</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1,036.74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7.95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86.74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28.68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49.60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29.66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1,239.38</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1,239.38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1,239.38</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1,239.38</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重庆市万州区大数据应用发展管理局</w:t>
            </w: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1,239.38</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1,239.38</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1,036.74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1,036.74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136.70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136.70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131.41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131.41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900.05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900.05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563.31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563.31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336.74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336.74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86.74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86.74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20.54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20.54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2150517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产业发展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其他工业和信息产业监管支出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重庆市万州区大数据应用发展管理局 </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1,239.38</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618.52</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620.86</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1,036.74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473.43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563.31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136.70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136.70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131.41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131.41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900.05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336.74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563.31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563.31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563.31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336.74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336.74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86.74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86.74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20.54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20.54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2150517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产业发展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其他工业和信息产业监管支出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29.66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重庆市万州区大数据应用发展管理局</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1,239.38</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1,036.74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1,036.74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86.74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86.74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49.60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49.60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1,239.38</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1,239.38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1,239.38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1,239.38</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1,239.38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1,239.38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重庆市万州区大数据应用发展管理局</w:t>
            </w: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1,239.38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618.52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620.86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1,036.74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473.43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563.31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136.70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136.70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131.41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131.41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900.05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336.74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563.31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563.31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563.31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336.74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336.74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86.74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86.74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86.07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86.07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41.58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41.58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20.54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20.54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23.94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23.94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0.68</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28.68</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28.68</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16.51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16.51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49.60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49.60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49.60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49.60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2150517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产业发展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其他工业和信息产业监管支出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29.66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29.66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29.66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29.66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重庆市万州区大数据应用发展管理局</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533.48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55.12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128.85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30.40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47.42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204.58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41.58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29.92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23.94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563.40</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55.12</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重庆市万州区大数据应用发展管理局</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重庆市万州区大数据应用发展管理局</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重庆市万州区大数据应用发展管理局</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19.42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0.95</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0.95</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19.42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0.76</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0.76</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0.76</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0.76</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0.19</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0.19</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0.19</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27</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5.98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7F3FC2E"/>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5FFE7E2"/>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2B1863"/>
    <w:rsid w:val="3337290D"/>
    <w:rsid w:val="33E31118"/>
    <w:rsid w:val="33EF7674"/>
    <w:rsid w:val="342D7BC6"/>
    <w:rsid w:val="352930DB"/>
    <w:rsid w:val="35573069"/>
    <w:rsid w:val="355F6038"/>
    <w:rsid w:val="358C217E"/>
    <w:rsid w:val="35937598"/>
    <w:rsid w:val="36C9128A"/>
    <w:rsid w:val="372E3953"/>
    <w:rsid w:val="37841E99"/>
    <w:rsid w:val="378EE103"/>
    <w:rsid w:val="37BF1123"/>
    <w:rsid w:val="383C3F15"/>
    <w:rsid w:val="38BE4696"/>
    <w:rsid w:val="3939115E"/>
    <w:rsid w:val="39B82A39"/>
    <w:rsid w:val="39C42CA8"/>
    <w:rsid w:val="39DC4FD6"/>
    <w:rsid w:val="39F03D7A"/>
    <w:rsid w:val="39F33306"/>
    <w:rsid w:val="3A2C1C67"/>
    <w:rsid w:val="3B1705E5"/>
    <w:rsid w:val="3B18334B"/>
    <w:rsid w:val="3B36794F"/>
    <w:rsid w:val="3BB79E71"/>
    <w:rsid w:val="3BDF6D04"/>
    <w:rsid w:val="3C566AD6"/>
    <w:rsid w:val="3C6A5B02"/>
    <w:rsid w:val="3D2757A1"/>
    <w:rsid w:val="3D3D4FC4"/>
    <w:rsid w:val="3DDF3AB1"/>
    <w:rsid w:val="3E1D0952"/>
    <w:rsid w:val="3E42660A"/>
    <w:rsid w:val="3E7555B1"/>
    <w:rsid w:val="3E787ED9"/>
    <w:rsid w:val="3EEC37F3"/>
    <w:rsid w:val="3F032E93"/>
    <w:rsid w:val="3F0527E5"/>
    <w:rsid w:val="3F694D83"/>
    <w:rsid w:val="3F885DCC"/>
    <w:rsid w:val="3FBF4414"/>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AF5E56B"/>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79B769"/>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EB766B9"/>
    <w:rsid w:val="5F2D4A41"/>
    <w:rsid w:val="5F592941"/>
    <w:rsid w:val="5FB76EE4"/>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A7AECC"/>
    <w:rsid w:val="72DB435C"/>
    <w:rsid w:val="72E2613A"/>
    <w:rsid w:val="72F771F4"/>
    <w:rsid w:val="736650B0"/>
    <w:rsid w:val="73934AD2"/>
    <w:rsid w:val="750837F0"/>
    <w:rsid w:val="754758CF"/>
    <w:rsid w:val="764F62AB"/>
    <w:rsid w:val="765C45EC"/>
    <w:rsid w:val="768A7619"/>
    <w:rsid w:val="772E1EBA"/>
    <w:rsid w:val="777786B3"/>
    <w:rsid w:val="77EB79F7"/>
    <w:rsid w:val="796D60A4"/>
    <w:rsid w:val="79A031D5"/>
    <w:rsid w:val="79AE130C"/>
    <w:rsid w:val="7A1525F7"/>
    <w:rsid w:val="7B420052"/>
    <w:rsid w:val="7B861484"/>
    <w:rsid w:val="7BD06A28"/>
    <w:rsid w:val="7C3A7C0B"/>
    <w:rsid w:val="7C5248E4"/>
    <w:rsid w:val="7C566698"/>
    <w:rsid w:val="7C5866A3"/>
    <w:rsid w:val="7C8EB1FC"/>
    <w:rsid w:val="7D7406BB"/>
    <w:rsid w:val="7DE94331"/>
    <w:rsid w:val="7DFD1241"/>
    <w:rsid w:val="7DFDF5DA"/>
    <w:rsid w:val="7F446A19"/>
    <w:rsid w:val="7F6F5CDC"/>
    <w:rsid w:val="7F7452B9"/>
    <w:rsid w:val="7FBC0F14"/>
    <w:rsid w:val="7FFFD560"/>
    <w:rsid w:val="9FBFD2B8"/>
    <w:rsid w:val="A6CBABF1"/>
    <w:rsid w:val="AEAD40A0"/>
    <w:rsid w:val="B7FEF26D"/>
    <w:rsid w:val="BFFFC317"/>
    <w:rsid w:val="C64C228F"/>
    <w:rsid w:val="D5F7D877"/>
    <w:rsid w:val="D6BD973E"/>
    <w:rsid w:val="DB0F156A"/>
    <w:rsid w:val="DEBDC47F"/>
    <w:rsid w:val="DEF5FC9A"/>
    <w:rsid w:val="DEF758A5"/>
    <w:rsid w:val="DEFF2B46"/>
    <w:rsid w:val="DFF3B0AF"/>
    <w:rsid w:val="E2B78330"/>
    <w:rsid w:val="EFEF635D"/>
    <w:rsid w:val="EFF9F316"/>
    <w:rsid w:val="EFFE8355"/>
    <w:rsid w:val="FAE93AF0"/>
    <w:rsid w:val="FDFFB7FA"/>
    <w:rsid w:val="FEE91B98"/>
    <w:rsid w:val="FFAF35CA"/>
    <w:rsid w:val="FFBD842A"/>
    <w:rsid w:val="FFDB37E1"/>
    <w:rsid w:val="FFFA1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53</TotalTime>
  <ScaleCrop>false</ScaleCrop>
  <LinksUpToDate>false</LinksUpToDate>
  <CharactersWithSpaces>27389</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2024-07-14T02:00:00Z</dcterms:created>
  <dc:creator>Administrator</dc:creator>
  <cp:lastModifiedBy>huaweri</cp:lastModifiedBy>
  <dcterms:modified xsi:type="dcterms:W3CDTF">2024-11-04T09:40:14Z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BB46EABDBB2749749395447164B066B3_12</vt:lpwstr>
  </property>
</Properties>
</file>