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重庆市万州区大数据应用发展管理局</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 年度部门决算情况说明</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（一）职能职责</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万州区大数据应用发展管理局职能职责。贯彻落实全市大数据、人工智能、信息化相关政策法规和相关地方行业技术规范和标准。负责研究拟订全区大数据、人工智能、信息化发展战略，编制全区大数据、人工智能、信息化发展规划和年度计划，拟定相关政策措施和评价考核体系并组织实施。负责数据资源建设、管理，促进大数据政用、民用、商用。负责推进全区政务数据采集汇聚、登记管理、共享开放。负责推动社会数据汇聚融合、互联互通、资源共享。负责研究推进数据资源的流通交易。负责推进社会公共信息资源整合和应用。负责推动全区数据安全体系建设工作。统筹推进大数据、人工智能等新一代信息技术和国民经济各领域融合应用。推动大数据、人工智能等产学研用结合，推动大数据、人工智能等新兴领域发展。负责推进全区信息化应用工作。负责组织编制全区信息化发展规划并组织实施。统筹推进全区智慧城市和智慧政务建设。负责组织协调跨部门、跨行业、跨领域的信息化应用，协调解决信息化建设中的重大问题。统筹协调全区信息化项目建设。负责协调全区信息基础设施建设。组织编制全区数据中心规划并组织实施。负责对接并指导协调全区“数字万州”云平台建设管理。协调推动下一代网络部署和规模化商用。负责推动大数据、人工智能、信息化领域对外交流合作。组织参与各类重大交流合作活动，指导开展区域化合作、国际化经营，承办相关活动。指导大数据、人工智能、信息化人才队伍建设工作。指导相关行业协会、学会、联盟机构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2.万州区党政信息中心（二级单位）职能职责。</w:t>
      </w:r>
      <w:r>
        <w:rPr>
          <w:rFonts w:ascii="Times New Roman" w:hAnsi="Times New Roman" w:eastAsia="方正仿宋_GBK" w:cs="Times New Roman"/>
          <w:sz w:val="32"/>
          <w:szCs w:val="32"/>
        </w:rPr>
        <w:t>贯彻执行有关政务信息化和电子政务建设的法律、法规和方针政策</w:t>
      </w:r>
      <w:r>
        <w:rPr>
          <w:rFonts w:hint="eastAsia" w:ascii="Times New Roman" w:hAnsi="Times New Roman" w:eastAsia="方正仿宋_GBK" w:cs="Times New Roman"/>
          <w:sz w:val="32"/>
          <w:szCs w:val="32"/>
        </w:rPr>
        <w:t>，为全区党委、政府信息化建设提供服务保障</w:t>
      </w:r>
      <w:r>
        <w:rPr>
          <w:rFonts w:ascii="Times New Roman" w:hAnsi="Times New Roman" w:eastAsia="方正仿宋_GBK" w:cs="Times New Roman"/>
          <w:sz w:val="32"/>
          <w:szCs w:val="32"/>
        </w:rPr>
        <w:t>。承担全区党委系统信息化建设工作。承担信息化系统建设</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运行维护工作，做好电子政务内网应用推广和技术服务。承担全区政务系统信息化建设工作。承担政务信息化系统建设、运行维护和管理工作，做好电子政务应用推广和技术服务。承担全区电子政务外网的规划建设、应用开发、运行维护及网络核心机房的运行维护和管理工作。承担</w:t>
      </w:r>
      <w:r>
        <w:rPr>
          <w:rFonts w:hint="eastAsia" w:ascii="Times New Roman" w:hAnsi="Times New Roman" w:eastAsia="方正仿宋_GBK" w:cs="Times New Roman"/>
          <w:sz w:val="32"/>
          <w:szCs w:val="32"/>
        </w:rPr>
        <w:t>万州</w:t>
      </w:r>
      <w:r>
        <w:rPr>
          <w:rFonts w:ascii="Times New Roman" w:hAnsi="Times New Roman" w:eastAsia="方正仿宋_GBK" w:cs="Times New Roman"/>
          <w:sz w:val="32"/>
          <w:szCs w:val="32"/>
        </w:rPr>
        <w:t>区</w:t>
      </w:r>
      <w:r>
        <w:rPr>
          <w:rFonts w:hint="eastAsia" w:ascii="Times New Roman" w:hAnsi="Times New Roman" w:eastAsia="方正仿宋_GBK" w:cs="Times New Roman"/>
          <w:sz w:val="32"/>
          <w:szCs w:val="32"/>
        </w:rPr>
        <w:t>人民</w:t>
      </w:r>
      <w:r>
        <w:rPr>
          <w:rFonts w:ascii="Times New Roman" w:hAnsi="Times New Roman" w:eastAsia="方正仿宋_GBK" w:cs="Times New Roman"/>
          <w:sz w:val="32"/>
          <w:szCs w:val="32"/>
        </w:rPr>
        <w:t>政府网站</w:t>
      </w:r>
      <w:r>
        <w:rPr>
          <w:rFonts w:hint="eastAsia" w:ascii="Times New Roman" w:hAnsi="Times New Roman" w:eastAsia="方正仿宋_GBK" w:cs="Times New Roman"/>
          <w:sz w:val="32"/>
          <w:szCs w:val="32"/>
        </w:rPr>
        <w:t>日常运行保障工作</w:t>
      </w:r>
      <w:r>
        <w:rPr>
          <w:rFonts w:ascii="Times New Roman" w:hAnsi="Times New Roman" w:eastAsia="方正仿宋_GBK" w:cs="Times New Roman"/>
          <w:sz w:val="32"/>
          <w:szCs w:val="32"/>
        </w:rPr>
        <w:t>，协助相关单位做好网站建设管理和</w:t>
      </w:r>
      <w:r>
        <w:rPr>
          <w:rFonts w:hint="eastAsia" w:ascii="Times New Roman" w:hAnsi="Times New Roman" w:eastAsia="方正仿宋_GBK" w:cs="Times New Roman"/>
          <w:sz w:val="32"/>
          <w:szCs w:val="32"/>
          <w:lang w:eastAsia="zh-CN"/>
        </w:rPr>
        <w:t>政府信息公开</w:t>
      </w:r>
      <w:r>
        <w:rPr>
          <w:rFonts w:ascii="Times New Roman" w:hAnsi="Times New Roman" w:eastAsia="方正仿宋_GBK" w:cs="Times New Roman"/>
          <w:sz w:val="32"/>
          <w:szCs w:val="32"/>
        </w:rPr>
        <w:t>。承担全区政务大数据、云计算、应用开发、平台建设等技术服务工作。承担全区政务数据汇聚、整理、应用、开发等工作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协助做好数字政府、智慧万州等重要信息化项目建设和应用推广工作，对相关智慧应用场景建设提供技术服务。完成区委、区政府</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区大数据发展局交办的其他任务。</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1.万州区大数据应用发展管理局</w:t>
      </w:r>
      <w:bookmarkStart w:id="0" w:name="_GoBack"/>
      <w:bookmarkEnd w:id="0"/>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万州区大数据应用发展管理局系 2019 年 1 月机构改革时新组建的区政府工作部门，为正处级。将万州区经济信息委大数据、人工智能、信息化推进、智慧城市建设等职责和区发展改革委社会公共信息资源整合与应用等职责划入，主要承担全区大数据、人工智能、信息化发展战略研究，数据资源建设、管理，大数据、人工智能等新一代信息技术和国民经济各领域融合应用，信息化应用，推进“智慧城市”和“智慧政务”等工作。核定行政编制 9 名，领导职数 1 正 2 副，设综合科、应用发展科、规划建设管理科 3 个内设科室，科级领导职数 4 名。</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万州区大数据应用发展管理局内设科室 3 个。</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（1）综合科</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机关文电、机要、保密、档案、培训、人才队伍建设、信息、信访、应急、安全、会务、外事、宣传、财务管理、综合性材料起草、机关日常工作协调和重大事项督办督查、目标管理工作；负责机关及所属单位机构编制、组织人事、社会保障、退休干部服务等工作；负责机关和所属单位的党群工作；承担有关领导小组、改革专项小组办公室日常事务；负责本局帮乡扶贫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（2）应用发展科</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推进全区信息化应用工作，研究拟订相关发展战略、规划和政策措施，协调解决信息化建设中的重大问题；负责推动全区信息化领域重大科技攻关，全区公共服务和社会治理信息化，全区信息网络行业发展，推动大数据、人工智能等新一代信息技术和国民经济各领域融合应用，促进大数据商用；负责推动全区智能机关建设，推进各级机关办公、服务智能化；负责推动全区产业数据分级分类管理和商用；负责推动全区大数据、人工智能等产学研用结合。指导相关行业协会、学会、联盟机构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（3）规划建设管理科</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全区数据资源体系的建设和管理；负责全区信息基础设施及重大信息化建设项目的组织规划和协调推进；组织编制全区数据中心规划并组织实施，协调推动下一代网络部署和规模化商用；负责推进全区“智慧城市”规划建设工作，促进大数据政用、民用。联系万州区通信发展办公室。</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2.万州区党政信息中心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万州区党政信息中心为万州区大数据应用发展管理局管理的全额拨款事业单位，类别划分为公益一类。</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万州区党政信息中心设 6 个内设机构。</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（1）办公室</w:t>
      </w:r>
    </w:p>
    <w:p>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承担综合协调和重大事项的督查督办工作。负责会务、公文、财务、后勤、公务接待、物资管理等工作。负责党建、人事、政工、老年、工会、统计、机要保密、档案、住房公积金、社会保障保险等工作。承担岗位责任目标的落实及考核奖惩等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（2）外网管理科</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承担电子政务外网及互联网安全接入规划建设、日常运行维护和管理工作。承担电子政务外网网络、平台、应用系统的技术支撑，确保全区电子政务外网网络及应用的正常运行。贯彻执行重庆市电子政务外网管理办法。负责做好电子政务外网核心机房的日常管理维护、网络安全保障及管理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（3）内网建设科</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承担区委办公室信息化系统及电子政务内网的建设、运行维护等工作。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（4）大数据发展科</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承担全区政务大数据、云计算、应用开发、平台建设等技术服务工作。承接全区政务数据汇聚、整理、应用、开发、交易等相关工作。承担“智慧万州”城市综合运行管理指挥中心的日常运行管理、技术维护及综合服务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（5）应用开发科</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协助做好智慧万州、智慧政务、数字政府等重要信息化项目的建设和推广应用，对相关智慧应用场景建设提供技术指导。指导全区政务应用系统建设工作。配合做好全区使用财政资金的非涉密信息化项目及与智慧万州高度关联的信息化项目的技术指导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（6）信息与网站科</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承担万州区人民政府网站的建设和运行维护工作，协助区政府办公室做好网站</w:t>
      </w:r>
      <w:r>
        <w:rPr>
          <w:rFonts w:hint="eastAsia" w:ascii="方正仿宋_GBK" w:hAnsi="方正仿宋_GBK" w:eastAsia="方正仿宋_GBK" w:cs="方正仿宋_GBK"/>
          <w:sz w:val="32"/>
          <w:szCs w:val="32"/>
          <w:lang w:eastAsia="zh-CN"/>
        </w:rPr>
        <w:t>政府信息公开</w:t>
      </w:r>
      <w:r>
        <w:rPr>
          <w:rFonts w:hint="eastAsia" w:ascii="方正仿宋_GBK" w:hAnsi="方正仿宋_GBK" w:eastAsia="方正仿宋_GBK" w:cs="方正仿宋_GBK"/>
          <w:sz w:val="32"/>
          <w:szCs w:val="32"/>
        </w:rPr>
        <w:t>。负责万州区人民政府网站的技术支持，保障网站安全稳定运行。负责单位内部刊物的编辑和印发工作，为领导决策提供参考。</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（三）单位构成</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从预算单位构成看，纳入本部门2022年度决算编制的二级预算单位 2 个，为重庆市万州区大数据应用发展管理局（本级）和重庆市万州区党政信息中心。</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spacing w:line="600" w:lineRule="exact"/>
        <w:ind w:firstLine="640" w:firstLineChars="200"/>
        <w:rPr>
          <w:rFonts w:ascii="方正仿宋_GBK" w:hAnsi="方正仿宋_GBK" w:eastAsia="仿宋_GB2312" w:cs="方正仿宋_GBK"/>
          <w:color w:val="FF0000"/>
          <w:sz w:val="32"/>
          <w:szCs w:val="32"/>
        </w:rPr>
      </w:pPr>
      <w:r>
        <w:rPr>
          <w:rFonts w:hint="eastAsia" w:ascii="方正仿宋_GBK" w:hAnsi="方正仿宋_GBK" w:eastAsia="方正仿宋_GBK" w:cs="方正仿宋_GBK"/>
          <w:sz w:val="32"/>
          <w:szCs w:val="32"/>
        </w:rPr>
        <w:t>1.总体情况。2022年度收入总计1,195.1万元，支出总计1,195.1万元。收支较上年决算数减少6,013.31万元,下降83.4%，主要原因是</w:t>
      </w:r>
      <w:r>
        <w:rPr>
          <w:rFonts w:hint="eastAsia" w:eastAsia="仿宋_GB2312" w:cs="Times New Roman"/>
          <w:sz w:val="32"/>
          <w:szCs w:val="32"/>
        </w:rPr>
        <w:t>2022年度减少了</w:t>
      </w:r>
      <w:r>
        <w:rPr>
          <w:rFonts w:hint="eastAsia" w:ascii="Times New Roman" w:hAnsi="Times New Roman" w:eastAsia="方正仿宋_GBK" w:cs="Times New Roman"/>
          <w:sz w:val="32"/>
          <w:szCs w:val="32"/>
        </w:rPr>
        <w:t>抗疫特别国债（面向重大公共卫生突发事件的智慧医疗一期项目建设（智慧万州子项目））</w:t>
      </w:r>
      <w:r>
        <w:rPr>
          <w:rFonts w:hint="eastAsia" w:eastAsia="仿宋_GB2312" w:cs="Times New Roman"/>
          <w:sz w:val="32"/>
          <w:szCs w:val="32"/>
        </w:rPr>
        <w:t>。</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2.收入情况。2022年度收入合计1,195.1万元，较上年决算数减少6,009.04万元，下降83.4%，主要原因是</w:t>
      </w:r>
      <w:r>
        <w:rPr>
          <w:rFonts w:hint="eastAsia" w:eastAsia="仿宋_GB2312" w:cs="Times New Roman"/>
          <w:sz w:val="32"/>
          <w:szCs w:val="32"/>
        </w:rPr>
        <w:t>2022年度减少了</w:t>
      </w:r>
      <w:r>
        <w:rPr>
          <w:rFonts w:hint="eastAsia" w:ascii="Times New Roman" w:hAnsi="Times New Roman" w:eastAsia="方正仿宋_GBK" w:cs="Times New Roman"/>
          <w:sz w:val="32"/>
          <w:szCs w:val="32"/>
        </w:rPr>
        <w:t>抗疫特别国债（面向重大公共卫生突发事件的智慧医疗一期项目建设（智慧万州子项目））</w:t>
      </w:r>
      <w:r>
        <w:rPr>
          <w:rFonts w:hint="eastAsia" w:eastAsia="仿宋_GB2312" w:cs="Times New Roman"/>
          <w:sz w:val="32"/>
          <w:szCs w:val="32"/>
        </w:rPr>
        <w:t>。</w:t>
      </w:r>
      <w:r>
        <w:rPr>
          <w:rFonts w:hint="eastAsia" w:ascii="方正仿宋_GBK" w:hAnsi="方正仿宋_GBK" w:eastAsia="方正仿宋_GBK" w:cs="方正仿宋_GBK"/>
          <w:sz w:val="32"/>
          <w:szCs w:val="32"/>
        </w:rPr>
        <w:t>其中：财政拨款收入1,195.1万元，占100.0%。</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3.支出情况。2022年度支出合计1,195.1万元，较上年决算减少6,013.31万元，下降83.4%，主要原因是</w:t>
      </w:r>
      <w:r>
        <w:rPr>
          <w:rFonts w:hint="eastAsia" w:eastAsia="仿宋_GB2312" w:cs="Times New Roman"/>
          <w:sz w:val="32"/>
          <w:szCs w:val="32"/>
        </w:rPr>
        <w:t>2022年度减少了</w:t>
      </w:r>
      <w:r>
        <w:rPr>
          <w:rFonts w:hint="eastAsia" w:ascii="Times New Roman" w:hAnsi="Times New Roman" w:eastAsia="方正仿宋_GBK" w:cs="Times New Roman"/>
          <w:sz w:val="32"/>
          <w:szCs w:val="32"/>
        </w:rPr>
        <w:t>抗疫特别国债（面向重大公共卫生突发事件的智慧医疗一期项目建设（智慧万州子项目））</w:t>
      </w:r>
      <w:r>
        <w:rPr>
          <w:rFonts w:hint="eastAsia" w:eastAsia="仿宋_GB2312" w:cs="Times New Roman"/>
          <w:sz w:val="32"/>
          <w:szCs w:val="32"/>
        </w:rPr>
        <w:t>。</w:t>
      </w:r>
      <w:r>
        <w:rPr>
          <w:rFonts w:hint="eastAsia" w:ascii="方正仿宋_GBK" w:hAnsi="方正仿宋_GBK" w:eastAsia="方正仿宋_GBK" w:cs="方正仿宋_GBK"/>
          <w:sz w:val="32"/>
          <w:szCs w:val="32"/>
        </w:rPr>
        <w:t>其中：基本支出610.6万元，占51.1%；项目支出584.5万元，占48.9%。</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4.结转结余情况。2022年度年末结转和结余0万元，较上年决算数增加0万元，增长0.0%。</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2022年度财政拨款收、支总计1,195.1万元。与2021年相比，财政拨款收、支总计各减少6,013.31万元，下降83.4%。主要原因是</w:t>
      </w:r>
      <w:r>
        <w:rPr>
          <w:rFonts w:hint="eastAsia" w:eastAsia="仿宋_GB2312" w:cs="Times New Roman"/>
          <w:sz w:val="32"/>
          <w:szCs w:val="32"/>
        </w:rPr>
        <w:t>2022年度减少了</w:t>
      </w:r>
      <w:r>
        <w:rPr>
          <w:rFonts w:hint="eastAsia" w:ascii="Times New Roman" w:hAnsi="Times New Roman" w:eastAsia="方正仿宋_GBK" w:cs="Times New Roman"/>
          <w:sz w:val="32"/>
          <w:szCs w:val="32"/>
        </w:rPr>
        <w:t>抗疫特别国债（面向重大公共卫生突发事件的智慧医疗一期项目建设（智慧万州子项目））</w:t>
      </w:r>
      <w:r>
        <w:rPr>
          <w:rFonts w:hint="eastAsia" w:eastAsia="仿宋_GB2312"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1.收入情况。2022年度一般公共预算财政拨款收入1,154.08万元，较上年决算数增加28.85万元，增长2.6%。主要原因是增加了万州区政府政务通信电话会议系统服务费项目资金、2021年“小切口、大民生”创新应用专项资金。较年初预算数增加255.93万元，增长28.5%。主要原因是追加万州区政府政务通信电话会议系统服务费、2021年“小切口、大民生”创新应用专项资金、区本级机关事业单位公务员绩效奖金（绩效工资）及离休补贴和健康休养费（公务员绩效奖金-基础绩效奖）、抗疫特别国债（面向重大公共卫生突发事件的智慧医疗一期项目建设（智慧万州子项目））等。此外，年初财政拨款结转和结余0万元。</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支出情况。2022年度一般公共预算财政拨款支出1,154.08万元，较上年决算数增加24.58万元，增长2.2%。主要原因是增加了万州区政府政务通信电话会议系统服务费项目资金、2021年“小切口、大民生”创新应用专项资金。较年初预算数增加255.93万元，增长28.5%。主要原因是追加万州区政府政务通信电话会议系统服务费、2021年“小切口、大民生”创新应用专项资金、区本级机关事业单位公务员绩效奖金（绩效工资）及离休补贴和健康休养费（公务员绩效奖金-基础绩效奖）、抗疫特别国债（面向重大公共卫生突发事件的智慧医疗一期项目建设（智慧万州子项目））等。</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3.结转结余情况。2022年度年末一般公共预算财政拨款结转和结余0万元，较上年决算数增加0万元，增长0.0%，与上年持平。</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4.比较情况。本部门2022年度一般公共预算财政拨款支出主要用于以下几个方面：</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1）一般公共服务支出954.72万元，占82.7%，较年初预算数增加168.36万元，增长21.4%，主要原因是追加万州区政府政务通信电话会议系统服务费、区本级机关事业单位公务员绩效奖金（绩效工资）及离休补贴和健康休养费（公务员绩效奖金-基础绩效奖）</w:t>
      </w:r>
      <w:r>
        <w:rPr>
          <w:rFonts w:hint="eastAsia" w:ascii="Times New Roman" w:hAnsi="Times New Roman" w:eastAsia="方正仿宋_GBK" w:cs="Times New Roman"/>
          <w:color w:val="000000" w:themeColor="text1"/>
          <w:sz w:val="32"/>
          <w:szCs w:val="32"/>
          <w:shd w:val="clear" w:color="auto" w:fill="FFFFFF"/>
        </w:rPr>
        <w:t>、</w:t>
      </w:r>
      <w:r>
        <w:rPr>
          <w:rFonts w:hint="eastAsia" w:ascii="Times New Roman" w:hAnsi="Times New Roman" w:eastAsia="方正仿宋_GBK" w:cs="Times New Roman"/>
          <w:color w:val="000000" w:themeColor="text1"/>
          <w:sz w:val="32"/>
          <w:szCs w:val="32"/>
        </w:rPr>
        <w:t>抗疫特别国债（面向重大公共卫生突发事件的智慧医疗一期项目建设（智慧万州子项目））</w:t>
      </w:r>
      <w:r>
        <w:rPr>
          <w:rFonts w:hint="eastAsia" w:ascii="方正仿宋_GBK" w:hAnsi="方正仿宋_GBK" w:eastAsia="方正仿宋_GBK" w:cs="方正仿宋_GBK"/>
          <w:sz w:val="32"/>
          <w:szCs w:val="32"/>
        </w:rPr>
        <w:t>。</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（2）社会保障与就业支出78.69万元，占6.8%，较年初预算数增加23.39万元，增长42.3%，主要原因是</w:t>
      </w:r>
      <w:r>
        <w:rPr>
          <w:rFonts w:hint="eastAsia" w:ascii="Times New Roman" w:hAnsi="Times New Roman" w:eastAsia="方正仿宋_GBK" w:cs="Times New Roman"/>
          <w:color w:val="000000"/>
          <w:sz w:val="32"/>
          <w:szCs w:val="32"/>
          <w:shd w:val="clear" w:color="auto" w:fill="FFFFFF"/>
        </w:rPr>
        <w:t>追加了2021年度</w:t>
      </w:r>
      <w:r>
        <w:rPr>
          <w:rFonts w:hint="eastAsia" w:ascii="Times New Roman" w:hAnsi="Times New Roman" w:eastAsia="方正仿宋_GBK" w:cs="Times New Roman"/>
          <w:color w:val="000000" w:themeColor="text1"/>
          <w:sz w:val="32"/>
          <w:szCs w:val="32"/>
          <w:shd w:val="clear" w:color="auto" w:fill="FFFFFF"/>
        </w:rPr>
        <w:t>退休职工健康休养费。</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（3）卫生健康支出33.93万元，占2.9%，较年初预算数增加4.73万元，增长16.2%，主要原因是追加了融入重庆市社区排查系统接口开发资金。</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（4）资源勘探信息等支出60万元，占5.2%，较年初预算数增加60万元，增长100.0%，主要原因是年初无预算，2022年增加了“小切口、大民生”创新应用专项资金。</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（5）住房保障支出26.74万元，占2.3%，较年初预算数减少0.57万元，下降2.1%，与年初预算基本持平。</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2022年度一般公共预算财政拨款基本支出610.60万元。其中：人员经费541.45万元，较上年决算数增加25.94万元，增长5%，主要原因是</w:t>
      </w:r>
      <w:r>
        <w:rPr>
          <w:rFonts w:hint="eastAsia" w:ascii="Times New Roman" w:hAnsi="Times New Roman" w:eastAsia="方正仿宋_GBK" w:cs="Times New Roman"/>
          <w:color w:val="000000"/>
          <w:sz w:val="32"/>
          <w:szCs w:val="32"/>
          <w:shd w:val="clear" w:color="auto" w:fill="FFFFFF"/>
        </w:rPr>
        <w:t>2021年9月党政信息中心新招录1人，</w:t>
      </w:r>
      <w:r>
        <w:rPr>
          <w:rFonts w:hint="eastAsia" w:ascii="方正仿宋_GBK" w:hAnsi="方正仿宋_GBK" w:eastAsia="方正仿宋_GBK" w:cs="方正仿宋_GBK"/>
          <w:sz w:val="32"/>
          <w:szCs w:val="32"/>
        </w:rPr>
        <w:t>增加人员工资</w:t>
      </w:r>
      <w:r>
        <w:rPr>
          <w:rFonts w:hint="eastAsia" w:ascii="Times New Roman" w:hAnsi="Times New Roman" w:eastAsia="方正仿宋_GBK" w:cs="Times New Roman"/>
          <w:color w:val="000000"/>
          <w:sz w:val="32"/>
          <w:szCs w:val="32"/>
          <w:shd w:val="clear" w:color="auto" w:fill="FFFFFF"/>
        </w:rPr>
        <w:t>。</w:t>
      </w:r>
      <w:r>
        <w:rPr>
          <w:rFonts w:hint="eastAsia" w:ascii="方正仿宋_GBK" w:hAnsi="方正仿宋_GBK" w:eastAsia="方正仿宋_GBK" w:cs="方正仿宋_GBK"/>
          <w:sz w:val="32"/>
          <w:szCs w:val="32"/>
        </w:rPr>
        <w:t>人员经费用途主要包括基本工资、津贴补贴、奖金、社会保障缴费、住房公积金、医疗费、其他工资福利支出及对个人和家庭的生活补助。公用经费69.15万元，较上年决算数减少46.43万元，下降40.2%，主要原因是人员调出造成经费减少，同时区级预算口径变化造成差旅费减少。公用经费用途主要包括办公费、邮电费、咨询费、差旅费等支出。</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2022年度政府性基金预算财政拨款年初结转结余0万元，年末结转结余0万元。本年收入41.02万元，较上年决算数减少6,037.88万元，下降99.3%，主要原因是</w:t>
      </w:r>
      <w:r>
        <w:rPr>
          <w:rFonts w:hint="eastAsia" w:eastAsia="仿宋_GB2312" w:cs="Times New Roman"/>
          <w:sz w:val="32"/>
          <w:szCs w:val="32"/>
        </w:rPr>
        <w:t>2022年度减少了</w:t>
      </w:r>
      <w:r>
        <w:rPr>
          <w:rFonts w:hint="eastAsia" w:ascii="Times New Roman" w:hAnsi="Times New Roman" w:eastAsia="方正仿宋_GBK" w:cs="Times New Roman"/>
          <w:sz w:val="32"/>
          <w:szCs w:val="32"/>
        </w:rPr>
        <w:t>抗疫特别国债（面向重大公共卫生突发事件的智慧医疗一期项目建设（智慧万州子项目））</w:t>
      </w:r>
      <w:r>
        <w:rPr>
          <w:rFonts w:hint="eastAsia" w:eastAsia="仿宋_GB2312" w:cs="Times New Roman"/>
          <w:sz w:val="32"/>
          <w:szCs w:val="32"/>
        </w:rPr>
        <w:t>。</w:t>
      </w:r>
      <w:r>
        <w:rPr>
          <w:rFonts w:hint="eastAsia" w:ascii="方正仿宋_GBK" w:hAnsi="方正仿宋_GBK" w:eastAsia="方正仿宋_GBK" w:cs="方正仿宋_GBK"/>
          <w:sz w:val="32"/>
          <w:szCs w:val="32"/>
        </w:rPr>
        <w:t>本年支出41.02万元，较上年决算数减少6,037.88万元，下降99.3%，主要原因是</w:t>
      </w:r>
      <w:r>
        <w:rPr>
          <w:rFonts w:hint="eastAsia" w:eastAsia="仿宋_GB2312" w:cs="Times New Roman"/>
          <w:sz w:val="32"/>
          <w:szCs w:val="32"/>
        </w:rPr>
        <w:t>2022年度减少了</w:t>
      </w:r>
      <w:r>
        <w:rPr>
          <w:rFonts w:hint="eastAsia" w:ascii="Times New Roman" w:hAnsi="Times New Roman" w:eastAsia="方正仿宋_GBK" w:cs="Times New Roman"/>
          <w:sz w:val="32"/>
          <w:szCs w:val="32"/>
        </w:rPr>
        <w:t>抗疫特别国债（面向重大公共卫生突发事件的智慧医疗一期项目建设（智慧万州子项目））</w:t>
      </w:r>
      <w:r>
        <w:rPr>
          <w:rFonts w:hint="eastAsia" w:eastAsia="仿宋_GB2312"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本部门2022年度无国有资本经营预算财政拨款支出。</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三公”经费支出共计1.74万元，较年初预算数减少0.06万元，下降3.3%，主要原因是认真贯彻落实中央八项规定精神，从严控制“三公”经费，严格落实公车使用规定，从严控制公车运行维护成本，强化公务接待支出管理，严格遵守公务接待开支范围和开支标准，规范因公出国（境）活动，全年未安排人员出国出访。较上年支出数减少0.03万元，下降1.7%，主要原因是认真贯彻落实中央八项规定精神，从严控制“三公”经费，严格落实公车使用规定，从严控制公车运行维护成本，强化公务接待支出管理，严格遵守公务接待开支范围和开支标准，规范因公出国（境）活动，全年未安排人员出国出访。</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2022年度本部门因公出国（境）费用0万元。费用支出较年初预算数增加0万元，增长0.0%。较上年支出数增加0万元，增长0.0%。与年初预算和上年决算持平。</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公务车购置费0万元。费用支出较年初预算数增加0万元，增长0.0%。较上年支出数增加0万元，增长0.0%。与年初预算和上年决算持平。</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公务用车运行维护费0.80万元，主要用于机要文件交换、市内因公出行等工作所需车辆的燃料费、维修费、过桥过路费、保险费等。费用支出较年初预算数增加0万元，增长0.0%，与年初预算持平。较上年支出数增加0.01万元，增长1.3%，主要原因是2022年招商引资工作导致经费增加。</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公务接待费0.94万元，主要用于接待上级部门检查指导工作，招商引资等接待支出。费用支出较年初预算数减少0.06万元，下降6%，主要原因是本单位严格贯彻落实中央八项规定精神，严格执行公务接待开支范围和开支标准，严格控制陪餐人数。较上年支出数减少0.04万元，下降4.1%，主要原因是本单位严格贯彻落实中央八项规定精神，严格执行公务接待开支范围和开支标准，严格控制陪餐人数。</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本部门因公出国（境）共计0个团组，0人；公务用车购置0辆，公务车保有量为1辆；国内公务接待40批次139人，其中：国内外事接待0批次，0人；国（境）外公务接待0批次，0人。2022年本部门人均接待费67.68元，车均购置费0万元，车均维护费0.8万元。</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（一）机关运行经费支出情况说明</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本部门机关运行经费支出32.14万元，较上年减少12.78万元，下降28.5%，主要原因是人员调出造成经费减少。比年初预算数增加4.04万元，增加14.4%，主要原因是增加了工会经费、差旅费等。机关运行经费主要用于开支办公费、差旅费、水电费、邮电费、劳务费、物业管理费、公务用车运行维护费、其他交通费等。</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（二）国有资产占用情况说明</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2022年12月31日，本部门共有车辆1辆，其中，副部（省）级及以上领导用车0辆、主要领导干部用车0辆、机要通信用车1辆、应急保障用车0辆、执法执勤用车0辆，特种专业技术用车0辆，离退休干部用车0辆，其他用车0辆。单价100万元（含）以上设备（不含车辆）5台（套）。</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（三）政府采购支出情况说明</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2022年度本部门政府采购支出总额358.77万元，其中：政府采购货物支出174.79万元、政府采购工程支出0万元、政府采购服务支出183.98万元。授予中小企业合同金额174.79万元，占政府采购支出总额的48.7%，其中：授予小微企业合同金额174.79万元，占政府采购支出总额的48.7%。主要用于采购</w:t>
      </w:r>
      <w:r>
        <w:rPr>
          <w:rFonts w:ascii="Times New Roman" w:hAnsi="Times New Roman" w:eastAsia="方正仿宋_GBK" w:cs="Times New Roman"/>
          <w:color w:val="000000"/>
          <w:sz w:val="32"/>
          <w:szCs w:val="32"/>
          <w:shd w:val="clear" w:color="auto" w:fill="FFFFFF"/>
        </w:rPr>
        <w:t>万州区互联网安全接入升级改造系统服务</w:t>
      </w:r>
      <w:r>
        <w:rPr>
          <w:rFonts w:hint="eastAsia" w:ascii="Times New Roman" w:hAnsi="Times New Roman" w:eastAsia="方正仿宋_GBK" w:cs="Times New Roman"/>
          <w:color w:val="000000"/>
          <w:sz w:val="32"/>
          <w:szCs w:val="32"/>
          <w:shd w:val="clear" w:color="auto" w:fill="FFFFFF"/>
        </w:rPr>
        <w:t>、</w:t>
      </w:r>
      <w:r>
        <w:rPr>
          <w:rFonts w:hint="eastAsia" w:ascii="方正仿宋_GBK" w:hAnsi="方正仿宋_GBK" w:eastAsia="方正仿宋_GBK" w:cs="方正仿宋_GBK"/>
          <w:sz w:val="32"/>
          <w:szCs w:val="32"/>
        </w:rPr>
        <w:t>万州区富民小区与学府小区智慧升级改造建设项目</w:t>
      </w:r>
      <w:r>
        <w:rPr>
          <w:rFonts w:ascii="Times New Roman" w:hAnsi="Times New Roman" w:eastAsia="方正仿宋_GBK" w:cs="Times New Roman"/>
          <w:color w:val="000000"/>
          <w:sz w:val="32"/>
          <w:szCs w:val="32"/>
          <w:shd w:val="clear" w:color="auto" w:fill="FFFFFF"/>
        </w:rPr>
        <w:t>。</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根据预算绩效管理要求，我局组织部门本级及所属单位对部门整体和21个一般性项目开展了绩效自评，涉及财政拨款项目支出584.5 万元。</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tbl>
      <w:tblPr>
        <w:tblStyle w:val="7"/>
        <w:tblW w:w="8860" w:type="dxa"/>
        <w:tblInd w:w="93" w:type="dxa"/>
        <w:tblLayout w:type="fixed"/>
        <w:tblCellMar>
          <w:top w:w="0" w:type="dxa"/>
          <w:left w:w="108" w:type="dxa"/>
          <w:bottom w:w="0" w:type="dxa"/>
          <w:right w:w="108" w:type="dxa"/>
        </w:tblCellMar>
      </w:tblPr>
      <w:tblGrid>
        <w:gridCol w:w="504"/>
        <w:gridCol w:w="96"/>
        <w:gridCol w:w="222"/>
        <w:gridCol w:w="495"/>
        <w:gridCol w:w="96"/>
        <w:gridCol w:w="430"/>
        <w:gridCol w:w="374"/>
        <w:gridCol w:w="96"/>
        <w:gridCol w:w="684"/>
        <w:gridCol w:w="765"/>
        <w:gridCol w:w="705"/>
        <w:gridCol w:w="735"/>
        <w:gridCol w:w="172"/>
        <w:gridCol w:w="788"/>
        <w:gridCol w:w="122"/>
        <w:gridCol w:w="583"/>
        <w:gridCol w:w="401"/>
        <w:gridCol w:w="288"/>
        <w:gridCol w:w="417"/>
        <w:gridCol w:w="270"/>
        <w:gridCol w:w="97"/>
        <w:gridCol w:w="15"/>
        <w:gridCol w:w="280"/>
        <w:gridCol w:w="225"/>
      </w:tblGrid>
      <w:tr>
        <w:tblPrEx>
          <w:tblCellMar>
            <w:top w:w="0" w:type="dxa"/>
            <w:left w:w="108" w:type="dxa"/>
            <w:bottom w:w="0" w:type="dxa"/>
            <w:right w:w="108" w:type="dxa"/>
          </w:tblCellMar>
        </w:tblPrEx>
        <w:trPr>
          <w:trHeight w:val="596" w:hRule="atLeast"/>
        </w:trPr>
        <w:tc>
          <w:tcPr>
            <w:tcW w:w="8860" w:type="dxa"/>
            <w:gridSpan w:val="24"/>
            <w:tcBorders>
              <w:top w:val="nil"/>
              <w:left w:val="nil"/>
              <w:bottom w:val="nil"/>
              <w:right w:val="nil"/>
            </w:tcBorders>
            <w:noWrap/>
            <w:vAlign w:val="center"/>
          </w:tcPr>
          <w:p>
            <w:pPr>
              <w:widowControl/>
              <w:spacing w:line="600" w:lineRule="exact"/>
              <w:jc w:val="center"/>
              <w:textAlignment w:val="center"/>
              <w:rPr>
                <w:rFonts w:ascii="Times New Roman" w:hAnsi="Times New Roman" w:eastAsia="方正小标宋_GBK" w:cs="Times New Roman"/>
                <w:sz w:val="36"/>
                <w:szCs w:val="36"/>
              </w:rPr>
            </w:pPr>
            <w:r>
              <w:rPr>
                <w:rFonts w:ascii="Times New Roman" w:hAnsi="Times New Roman" w:eastAsia="方正小标宋_GBK" w:cs="Times New Roman"/>
                <w:kern w:val="0"/>
                <w:sz w:val="36"/>
                <w:szCs w:val="36"/>
              </w:rPr>
              <w:t>2022年度部门整体绩效自评表</w:t>
            </w:r>
          </w:p>
        </w:tc>
      </w:tr>
      <w:tr>
        <w:tblPrEx>
          <w:tblCellMar>
            <w:top w:w="0" w:type="dxa"/>
            <w:left w:w="108" w:type="dxa"/>
            <w:bottom w:w="0" w:type="dxa"/>
            <w:right w:w="108" w:type="dxa"/>
          </w:tblCellMar>
        </w:tblPrEx>
        <w:trPr>
          <w:trHeight w:val="606" w:hRule="atLeast"/>
        </w:trPr>
        <w:tc>
          <w:tcPr>
            <w:tcW w:w="822"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sz w:val="22"/>
                <w:szCs w:val="22"/>
              </w:rPr>
            </w:pPr>
            <w:r>
              <w:rPr>
                <w:rFonts w:hint="eastAsia" w:ascii="方正黑体_GBK" w:hAnsi="方正黑体_GBK" w:eastAsia="方正黑体_GBK" w:cs="方正黑体_GBK"/>
                <w:kern w:val="0"/>
                <w:sz w:val="22"/>
                <w:szCs w:val="22"/>
              </w:rPr>
              <w:t>主管部门</w:t>
            </w: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重庆市万州区大数据应用发展管理局</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sz w:val="22"/>
                <w:szCs w:val="22"/>
              </w:rPr>
            </w:pPr>
            <w:r>
              <w:rPr>
                <w:rFonts w:hint="eastAsia" w:ascii="方正黑体_GBK" w:hAnsi="方正黑体_GBK" w:eastAsia="方正黑体_GBK" w:cs="方正黑体_GBK"/>
                <w:kern w:val="0"/>
                <w:sz w:val="22"/>
                <w:szCs w:val="22"/>
              </w:rPr>
              <w:t>部门</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联系人</w:t>
            </w:r>
          </w:p>
        </w:tc>
        <w:tc>
          <w:tcPr>
            <w:tcW w:w="147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李彦霖</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联系电话</w:t>
            </w:r>
          </w:p>
        </w:tc>
        <w:tc>
          <w:tcPr>
            <w:tcW w:w="1894"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023－58966399</w:t>
            </w:r>
          </w:p>
        </w:tc>
        <w:tc>
          <w:tcPr>
            <w:tcW w:w="97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自评总分</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（分）</w:t>
            </w:r>
          </w:p>
        </w:tc>
        <w:tc>
          <w:tcPr>
            <w:tcW w:w="617"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99.8</w:t>
            </w:r>
          </w:p>
        </w:tc>
      </w:tr>
      <w:tr>
        <w:tblPrEx>
          <w:tblCellMar>
            <w:top w:w="0" w:type="dxa"/>
            <w:left w:w="108" w:type="dxa"/>
            <w:bottom w:w="0" w:type="dxa"/>
            <w:right w:w="108" w:type="dxa"/>
          </w:tblCellMar>
        </w:tblPrEx>
        <w:trPr>
          <w:trHeight w:val="440" w:hRule="atLeast"/>
        </w:trPr>
        <w:tc>
          <w:tcPr>
            <w:tcW w:w="82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当年绩效</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目标</w:t>
            </w:r>
          </w:p>
        </w:tc>
        <w:tc>
          <w:tcPr>
            <w:tcW w:w="2175"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sz w:val="22"/>
                <w:szCs w:val="22"/>
              </w:rPr>
            </w:pPr>
            <w:r>
              <w:rPr>
                <w:rFonts w:hint="eastAsia" w:ascii="方正黑体_GBK" w:hAnsi="方正黑体_GBK" w:eastAsia="方正黑体_GBK" w:cs="方正黑体_GBK"/>
                <w:kern w:val="0"/>
                <w:sz w:val="22"/>
                <w:szCs w:val="22"/>
              </w:rPr>
              <w:t>年初绩效目标</w:t>
            </w:r>
          </w:p>
        </w:tc>
        <w:tc>
          <w:tcPr>
            <w:tcW w:w="2377"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全年（调整）绩效目标</w:t>
            </w:r>
          </w:p>
        </w:tc>
        <w:tc>
          <w:tcPr>
            <w:tcW w:w="3486" w:type="dxa"/>
            <w:gridSpan w:val="11"/>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全年目标实际完成情况</w:t>
            </w:r>
          </w:p>
        </w:tc>
      </w:tr>
      <w:tr>
        <w:tblPrEx>
          <w:tblCellMar>
            <w:top w:w="0" w:type="dxa"/>
            <w:left w:w="108" w:type="dxa"/>
            <w:bottom w:w="0" w:type="dxa"/>
            <w:right w:w="108" w:type="dxa"/>
          </w:tblCellMar>
        </w:tblPrEx>
        <w:trPr>
          <w:trHeight w:val="1242" w:hRule="atLeast"/>
        </w:trPr>
        <w:tc>
          <w:tcPr>
            <w:tcW w:w="82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2175" w:type="dxa"/>
            <w:gridSpan w:val="6"/>
            <w:tcBorders>
              <w:top w:val="single" w:color="000000" w:sz="4" w:space="0"/>
              <w:left w:val="single" w:color="000000" w:sz="4" w:space="0"/>
              <w:bottom w:val="single" w:color="000000" w:sz="4" w:space="0"/>
              <w:right w:val="single" w:color="000000" w:sz="4" w:space="0"/>
            </w:tcBorders>
            <w:noWrap/>
            <w:vAlign w:val="center"/>
          </w:tcPr>
          <w:p>
            <w:pPr>
              <w:spacing w:line="600" w:lineRule="exact"/>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贯彻落实全市大数据、人工智能、信息化相关政策法规和相关地方行业技术规范和标准；负责研究拟订全区大数据、人工智能、信息化发展战略，编制全区大数据、人工智能、信息化发展规划和年度计划；拟定相关政策措施和评价考核体系并组织实施；负责数据资源建设、管理，促进大数据政用、民用、商用；负责全区大数据应用发展管理；负责推进全区信息化应用工作；负责协调全区信息基础设施建设；负责推动大数据、人工智能、信息化领域对外交流合作；负责全区数字经济发展统计；负责推动促进线上业态、线上服务、线上管理快速发展；负责推动平台经济发展;招商引资，数字经济市场主体培育；完成区委和区政府交办的其他任务。</w:t>
            </w:r>
          </w:p>
        </w:tc>
        <w:tc>
          <w:tcPr>
            <w:tcW w:w="2377" w:type="dxa"/>
            <w:gridSpan w:val="4"/>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贯彻落实全市大数据、人工智能、信息化相关政策法规和相关地方行业技术规范和标准；负责研究拟订全区大数据、人工智能、信息化发展战略，编制全区大数据、人工智能、信息化发展规划和年度计划；拟定相关政策措施和评价考核体系并组织实施；负责数据资源建设、管理，促进大数据政用、民用、商用；负责全区大数据应用发展管理；负责推进全区信息化应用工作；负责协调全区信息基础设施建设；负责推动大数据、人工智能、信息化领域对外交流合作；负责全区数字经济发展统计；负责推动促进线上业态、线上服务、线上管理快速发展；负责推动平台经济发展;招商引资，数字经济市场主体培育；完成区委和区政府交办的其他任务。</w:t>
            </w:r>
          </w:p>
        </w:tc>
        <w:tc>
          <w:tcPr>
            <w:tcW w:w="3486" w:type="dxa"/>
            <w:gridSpan w:val="11"/>
            <w:tcBorders>
              <w:top w:val="single" w:color="000000" w:sz="4" w:space="0"/>
              <w:left w:val="single" w:color="000000" w:sz="4" w:space="0"/>
              <w:bottom w:val="single" w:color="000000" w:sz="4" w:space="0"/>
              <w:right w:val="single" w:color="000000" w:sz="4" w:space="0"/>
            </w:tcBorders>
            <w:noWrap/>
            <w:vAlign w:val="center"/>
          </w:tcPr>
          <w:p>
            <w:pPr>
              <w:spacing w:line="600" w:lineRule="exact"/>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一是制定规划机制。牵头编制《万州区通信基础设施布局规划（2021-2035年）》，推动成立万州区数据安全共享协调机制，建成“智慧万州”安全保障体系，牵头编制全区数字经济“十四五”发展规划。</w:t>
            </w:r>
          </w:p>
          <w:p>
            <w:pPr>
              <w:spacing w:line="600" w:lineRule="exact"/>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是推动应用发展。实现主要城区和镇乡中心场镇5G信号全覆盖。积极开展信号补盲，完成2022年电信普遍服务试点项目验收。获批并建成重庆政务云（异地）灾备中心。推动智慧万州政务云、渝东北CDN数据中心、三峡库区健康医疗大数据应用研发中心等区级重点项目建设。成功申报市区政务数据协同试点区，有效推进“证照分离”改革，建成“证照分离主题数据库”、“智慧万州”安全保障体系、数智政务一体化平台，启动建设万州区自然人数据库，强化数治能力。有序推进“智慧医疗”项目建设，项目入选中国信息协会“2022数字政府创新成果与实践案例”并获得市级专项资金奖励。集成智慧小区、乡村治理等融跨平台和智慧场景应用30余个。</w:t>
            </w:r>
          </w:p>
          <w:p>
            <w:pPr>
              <w:spacing w:line="600" w:lineRule="exact"/>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三是推动线上服务。上线政策和金融服务“万商惠”大数据平台。加强政务信息化项目建设规范管理，审核部门申报各类信息化项目41个，备案资金30422.55万元，审减2625.11万元。</w:t>
            </w:r>
          </w:p>
          <w:p>
            <w:pPr>
              <w:spacing w:line="600" w:lineRule="exact"/>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是推动数字经济。在册备案的16家平台企业实现税收6.8亿元。战略性新兴产业和数字经济产业项目入库市级高技术领域重大项目已达21个，年度投资达24.02亿元。2022年度数字经济发展质效考核在全市24个考核区县中位列17名，较去年前进2个位次。</w:t>
            </w:r>
          </w:p>
          <w:p>
            <w:pPr>
              <w:spacing w:line="600" w:lineRule="exact"/>
              <w:jc w:val="lef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是推动重点工作。重新组建万州区通发办，积极协调运营商投入资金500余万元参与全区创文、楼栋工作日、双亮等重点工作的弱电线路整治迁移工作，全面参与重大活动通信保障工作。积极推广“渝快政”协同办公平台。</w:t>
            </w:r>
          </w:p>
        </w:tc>
      </w:tr>
      <w:tr>
        <w:tblPrEx>
          <w:tblCellMar>
            <w:top w:w="0" w:type="dxa"/>
            <w:left w:w="108" w:type="dxa"/>
            <w:bottom w:w="0" w:type="dxa"/>
            <w:right w:w="108" w:type="dxa"/>
          </w:tblCellMar>
        </w:tblPrEx>
        <w:trPr>
          <w:trHeight w:val="652" w:hRule="atLeast"/>
        </w:trPr>
        <w:tc>
          <w:tcPr>
            <w:tcW w:w="822" w:type="dxa"/>
            <w:gridSpan w:val="3"/>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绩效指标</w:t>
            </w: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指标名称</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sz w:val="22"/>
                <w:szCs w:val="22"/>
              </w:rPr>
            </w:pPr>
            <w:r>
              <w:rPr>
                <w:rFonts w:hint="eastAsia" w:ascii="方正黑体_GBK" w:hAnsi="方正黑体_GBK" w:eastAsia="方正黑体_GBK" w:cs="方正黑体_GBK"/>
                <w:kern w:val="0"/>
                <w:sz w:val="22"/>
                <w:szCs w:val="22"/>
              </w:rPr>
              <w:t>计量</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单位</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指标</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性质</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指标值</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指标权重</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（分）</w:t>
            </w:r>
          </w:p>
        </w:tc>
        <w:tc>
          <w:tcPr>
            <w:tcW w:w="91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全年</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完成值</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指标得分</w:t>
            </w:r>
            <w:r>
              <w:rPr>
                <w:rFonts w:hint="eastAsia" w:ascii="方正黑体_GBK" w:hAnsi="方正黑体_GBK" w:eastAsia="方正黑体_GBK" w:cs="方正黑体_GBK"/>
                <w:kern w:val="0"/>
                <w:sz w:val="22"/>
                <w:szCs w:val="22"/>
              </w:rPr>
              <w:br w:type="textWrapping"/>
            </w:r>
            <w:r>
              <w:rPr>
                <w:rFonts w:hint="eastAsia" w:ascii="方正黑体_GBK" w:hAnsi="方正黑体_GBK" w:eastAsia="方正黑体_GBK" w:cs="方正黑体_GBK"/>
                <w:kern w:val="0"/>
                <w:sz w:val="22"/>
                <w:szCs w:val="22"/>
              </w:rPr>
              <w:t>（分）</w:t>
            </w:r>
          </w:p>
        </w:tc>
        <w:tc>
          <w:tcPr>
            <w:tcW w:w="1592"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说明</w:t>
            </w:r>
          </w:p>
        </w:tc>
      </w:tr>
      <w:tr>
        <w:tblPrEx>
          <w:tblCellMar>
            <w:top w:w="0" w:type="dxa"/>
            <w:left w:w="108" w:type="dxa"/>
            <w:bottom w:w="0" w:type="dxa"/>
            <w:right w:w="108" w:type="dxa"/>
          </w:tblCellMar>
        </w:tblPrEx>
        <w:trPr>
          <w:trHeight w:val="629" w:hRule="atLeast"/>
        </w:trPr>
        <w:tc>
          <w:tcPr>
            <w:tcW w:w="822" w:type="dxa"/>
            <w:gridSpan w:val="3"/>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pacing w:line="600" w:lineRule="exact"/>
              <w:jc w:val="center"/>
              <w:rPr>
                <w:rFonts w:ascii="方正仿宋_GBK" w:hAnsi="方正仿宋_GBK" w:eastAsia="方正仿宋_GBK" w:cs="方正仿宋_GBK"/>
                <w:sz w:val="22"/>
                <w:szCs w:val="22"/>
              </w:rPr>
            </w:pP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年度预算执行率</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1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98</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9.8</w:t>
            </w:r>
          </w:p>
        </w:tc>
        <w:tc>
          <w:tcPr>
            <w:tcW w:w="1592" w:type="dxa"/>
            <w:gridSpan w:val="7"/>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trHeight w:val="629" w:hRule="atLeast"/>
        </w:trPr>
        <w:tc>
          <w:tcPr>
            <w:tcW w:w="822" w:type="dxa"/>
            <w:gridSpan w:val="3"/>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pacing w:line="600" w:lineRule="exact"/>
              <w:jc w:val="center"/>
              <w:rPr>
                <w:rFonts w:ascii="方正仿宋_GBK" w:hAnsi="方正仿宋_GBK" w:eastAsia="方正仿宋_GBK" w:cs="方正仿宋_GBK"/>
                <w:sz w:val="22"/>
                <w:szCs w:val="22"/>
              </w:rPr>
            </w:pP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年稳定运行天数</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天</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360</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1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360</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1592" w:type="dxa"/>
            <w:gridSpan w:val="7"/>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trHeight w:val="629" w:hRule="atLeast"/>
        </w:trPr>
        <w:tc>
          <w:tcPr>
            <w:tcW w:w="822" w:type="dxa"/>
            <w:gridSpan w:val="3"/>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pacing w:line="600" w:lineRule="exact"/>
              <w:jc w:val="center"/>
              <w:rPr>
                <w:rFonts w:ascii="方正仿宋_GBK" w:hAnsi="方正仿宋_GBK" w:eastAsia="方正仿宋_GBK" w:cs="方正仿宋_GBK"/>
                <w:sz w:val="22"/>
                <w:szCs w:val="22"/>
              </w:rPr>
            </w:pP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数据更新频率</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1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1592" w:type="dxa"/>
            <w:gridSpan w:val="7"/>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trHeight w:val="629" w:hRule="atLeast"/>
        </w:trPr>
        <w:tc>
          <w:tcPr>
            <w:tcW w:w="822" w:type="dxa"/>
            <w:gridSpan w:val="3"/>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pacing w:line="600" w:lineRule="exact"/>
              <w:jc w:val="center"/>
              <w:rPr>
                <w:rFonts w:ascii="方正仿宋_GBK" w:hAnsi="方正仿宋_GBK" w:eastAsia="方正仿宋_GBK" w:cs="方正仿宋_GBK"/>
                <w:sz w:val="22"/>
                <w:szCs w:val="22"/>
              </w:rPr>
            </w:pP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系统故障修复处理时间</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小时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24</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1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24</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1592" w:type="dxa"/>
            <w:gridSpan w:val="7"/>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trHeight w:val="629" w:hRule="atLeast"/>
        </w:trPr>
        <w:tc>
          <w:tcPr>
            <w:tcW w:w="822" w:type="dxa"/>
            <w:gridSpan w:val="3"/>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pacing w:line="600" w:lineRule="exact"/>
              <w:jc w:val="center"/>
              <w:rPr>
                <w:rFonts w:ascii="方正仿宋_GBK" w:hAnsi="方正仿宋_GBK" w:eastAsia="方正仿宋_GBK" w:cs="方正仿宋_GBK"/>
                <w:sz w:val="22"/>
                <w:szCs w:val="22"/>
              </w:rPr>
            </w:pP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年均维护成本增长率</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1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1592" w:type="dxa"/>
            <w:gridSpan w:val="7"/>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trHeight w:val="629" w:hRule="atLeast"/>
        </w:trPr>
        <w:tc>
          <w:tcPr>
            <w:tcW w:w="822" w:type="dxa"/>
            <w:gridSpan w:val="3"/>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spacing w:line="600" w:lineRule="exact"/>
              <w:jc w:val="center"/>
              <w:rPr>
                <w:rFonts w:ascii="方正仿宋_GBK" w:hAnsi="方正仿宋_GBK" w:eastAsia="方正仿宋_GBK" w:cs="方正仿宋_GBK"/>
                <w:sz w:val="22"/>
                <w:szCs w:val="22"/>
              </w:rPr>
            </w:pPr>
          </w:p>
        </w:tc>
        <w:tc>
          <w:tcPr>
            <w:tcW w:w="1021"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用户满意度</w:t>
            </w:r>
          </w:p>
        </w:tc>
        <w:tc>
          <w:tcPr>
            <w:tcW w:w="1154"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90</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91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984"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1592" w:type="dxa"/>
            <w:gridSpan w:val="7"/>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3"/>
          <w:wAfter w:w="520" w:type="dxa"/>
          <w:trHeight w:val="780" w:hRule="atLeast"/>
        </w:trPr>
        <w:tc>
          <w:tcPr>
            <w:tcW w:w="8340" w:type="dxa"/>
            <w:gridSpan w:val="21"/>
            <w:tcBorders>
              <w:top w:val="nil"/>
              <w:left w:val="nil"/>
              <w:bottom w:val="single" w:color="000000" w:sz="4" w:space="0"/>
              <w:right w:val="nil"/>
            </w:tcBorders>
            <w:noWrap/>
            <w:vAlign w:val="center"/>
          </w:tcPr>
          <w:p>
            <w:pPr>
              <w:widowControl/>
              <w:spacing w:line="600" w:lineRule="exact"/>
              <w:jc w:val="center"/>
              <w:textAlignment w:val="center"/>
              <w:rPr>
                <w:rFonts w:ascii="Times New Roman" w:hAnsi="Times New Roman" w:eastAsia="方正小标宋_GBK" w:cs="Times New Roman"/>
                <w:sz w:val="36"/>
                <w:szCs w:val="36"/>
              </w:rPr>
            </w:pPr>
            <w:r>
              <w:rPr>
                <w:rFonts w:ascii="Times New Roman" w:hAnsi="Times New Roman" w:eastAsia="方正小标宋_GBK" w:cs="Times New Roman"/>
                <w:kern w:val="0"/>
                <w:sz w:val="36"/>
                <w:szCs w:val="36"/>
              </w:rPr>
              <w:t>2022年度重点专项项目支出绩效自评表</w:t>
            </w:r>
          </w:p>
        </w:tc>
      </w:tr>
      <w:tr>
        <w:tblPrEx>
          <w:tblCellMar>
            <w:top w:w="0" w:type="dxa"/>
            <w:left w:w="108" w:type="dxa"/>
            <w:bottom w:w="0" w:type="dxa"/>
            <w:right w:w="108" w:type="dxa"/>
          </w:tblCellMar>
        </w:tblPrEx>
        <w:trPr>
          <w:gridAfter w:val="3"/>
          <w:wAfter w:w="520" w:type="dxa"/>
          <w:trHeight w:val="600"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序号</w:t>
            </w:r>
          </w:p>
        </w:tc>
        <w:tc>
          <w:tcPr>
            <w:tcW w:w="81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项目名称</w:t>
            </w: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kern w:val="0"/>
                <w:sz w:val="22"/>
              </w:rPr>
            </w:pPr>
            <w:r>
              <w:rPr>
                <w:rFonts w:ascii="Times New Roman" w:hAnsi="Times New Roman" w:eastAsia="方正黑体_GBK" w:cs="Times New Roman"/>
                <w:kern w:val="0"/>
                <w:sz w:val="22"/>
              </w:rPr>
              <w:t>指标</w:t>
            </w:r>
          </w:p>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名称</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指标性质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指标值</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计量单位</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指标权重</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全年完成值</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指标得分</w:t>
            </w:r>
          </w:p>
        </w:tc>
        <w:tc>
          <w:tcPr>
            <w:tcW w:w="689"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说明</w:t>
            </w:r>
          </w:p>
        </w:tc>
        <w:tc>
          <w:tcPr>
            <w:tcW w:w="784"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自评得分</w:t>
            </w:r>
          </w:p>
        </w:tc>
      </w:tr>
      <w:tr>
        <w:tblPrEx>
          <w:tblCellMar>
            <w:top w:w="0" w:type="dxa"/>
            <w:left w:w="108" w:type="dxa"/>
            <w:bottom w:w="0" w:type="dxa"/>
            <w:right w:w="108" w:type="dxa"/>
          </w:tblCellMar>
        </w:tblPrEx>
        <w:trPr>
          <w:gridAfter w:val="3"/>
          <w:wAfter w:w="520" w:type="dxa"/>
          <w:trHeight w:val="432" w:hRule="atLeast"/>
        </w:trPr>
        <w:tc>
          <w:tcPr>
            <w:tcW w:w="504" w:type="dxa"/>
            <w:vMerge w:val="restart"/>
            <w:tcBorders>
              <w:top w:val="single" w:color="000000" w:sz="4" w:space="0"/>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1</w:t>
            </w:r>
          </w:p>
        </w:tc>
        <w:tc>
          <w:tcPr>
            <w:tcW w:w="813" w:type="dxa"/>
            <w:gridSpan w:val="3"/>
            <w:vMerge w:val="restart"/>
            <w:tcBorders>
              <w:top w:val="single" w:color="000000" w:sz="4" w:space="0"/>
              <w:left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面向重大公共卫生突发事件的智慧医疗一期项目建设（智慧万州子项目）</w:t>
            </w: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年度预算执行率</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689" w:type="dxa"/>
            <w:gridSpan w:val="2"/>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ascii="方正仿宋_GBK" w:hAnsi="方正仿宋_GBK" w:eastAsia="方正仿宋_GBK" w:cs="方正仿宋_GBK"/>
                <w:color w:val="FF0000"/>
                <w:sz w:val="22"/>
                <w:szCs w:val="22"/>
              </w:rPr>
            </w:pPr>
          </w:p>
        </w:tc>
        <w:tc>
          <w:tcPr>
            <w:tcW w:w="784"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3"/>
          <w:wAfter w:w="520" w:type="dxa"/>
          <w:trHeight w:val="432" w:hRule="atLeast"/>
        </w:trPr>
        <w:tc>
          <w:tcPr>
            <w:tcW w:w="504" w:type="dxa"/>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left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购买服务数量</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项</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689"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84"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r>
      <w:tr>
        <w:tblPrEx>
          <w:tblCellMar>
            <w:top w:w="0" w:type="dxa"/>
            <w:left w:w="108" w:type="dxa"/>
            <w:bottom w:w="0" w:type="dxa"/>
            <w:right w:w="108" w:type="dxa"/>
          </w:tblCellMar>
        </w:tblPrEx>
        <w:trPr>
          <w:gridAfter w:val="3"/>
          <w:wAfter w:w="520" w:type="dxa"/>
          <w:trHeight w:val="432" w:hRule="atLeast"/>
        </w:trPr>
        <w:tc>
          <w:tcPr>
            <w:tcW w:w="504" w:type="dxa"/>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left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服务质量达标率</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689"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84"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3"/>
          <w:wAfter w:w="520" w:type="dxa"/>
          <w:trHeight w:val="432" w:hRule="atLeast"/>
        </w:trPr>
        <w:tc>
          <w:tcPr>
            <w:tcW w:w="504" w:type="dxa"/>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left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购买服务完成率</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689"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84"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3"/>
          <w:wAfter w:w="520" w:type="dxa"/>
          <w:trHeight w:val="432" w:hRule="atLeast"/>
        </w:trPr>
        <w:tc>
          <w:tcPr>
            <w:tcW w:w="504" w:type="dxa"/>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left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系统正常使用年限</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6</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689"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84"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3"/>
          <w:wAfter w:w="520" w:type="dxa"/>
          <w:trHeight w:val="432" w:hRule="atLeast"/>
        </w:trPr>
        <w:tc>
          <w:tcPr>
            <w:tcW w:w="504" w:type="dxa"/>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服务对象满意度</w:t>
            </w:r>
          </w:p>
        </w:tc>
        <w:tc>
          <w:tcPr>
            <w:tcW w:w="78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689"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84"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2"/>
          <w:wAfter w:w="505" w:type="dxa"/>
          <w:trHeight w:val="780" w:hRule="atLeast"/>
        </w:trPr>
        <w:tc>
          <w:tcPr>
            <w:tcW w:w="8355" w:type="dxa"/>
            <w:gridSpan w:val="22"/>
            <w:tcBorders>
              <w:top w:val="nil"/>
              <w:left w:val="nil"/>
              <w:bottom w:val="single" w:color="000000" w:sz="4" w:space="0"/>
              <w:right w:val="nil"/>
            </w:tcBorders>
            <w:noWrap/>
            <w:vAlign w:val="center"/>
          </w:tcPr>
          <w:p>
            <w:pPr>
              <w:widowControl/>
              <w:spacing w:line="600" w:lineRule="exact"/>
              <w:jc w:val="center"/>
              <w:textAlignment w:val="center"/>
              <w:rPr>
                <w:rFonts w:ascii="Times New Roman" w:hAnsi="Times New Roman" w:eastAsia="方正小标宋_GBK" w:cs="Times New Roman"/>
                <w:sz w:val="36"/>
                <w:szCs w:val="36"/>
              </w:rPr>
            </w:pPr>
            <w:r>
              <w:rPr>
                <w:rFonts w:ascii="Times New Roman" w:hAnsi="Times New Roman" w:eastAsia="方正小标宋_GBK" w:cs="Times New Roman"/>
                <w:kern w:val="0"/>
                <w:sz w:val="36"/>
                <w:szCs w:val="36"/>
              </w:rPr>
              <w:t>2022年度一般性项目支出绩效自评表</w:t>
            </w:r>
          </w:p>
        </w:tc>
      </w:tr>
      <w:tr>
        <w:tblPrEx>
          <w:tblCellMar>
            <w:top w:w="0" w:type="dxa"/>
            <w:left w:w="108" w:type="dxa"/>
            <w:bottom w:w="0" w:type="dxa"/>
            <w:right w:w="108" w:type="dxa"/>
          </w:tblCellMar>
        </w:tblPrEx>
        <w:trPr>
          <w:gridAfter w:val="1"/>
          <w:wAfter w:w="225" w:type="dxa"/>
          <w:trHeight w:val="600" w:hRule="atLeast"/>
        </w:trPr>
        <w:tc>
          <w:tcPr>
            <w:tcW w:w="6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序号</w:t>
            </w:r>
          </w:p>
        </w:tc>
        <w:tc>
          <w:tcPr>
            <w:tcW w:w="81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项目名称</w:t>
            </w: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指标名称</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指标性质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指标值</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计量单位</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指标权重</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全年完成值</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指标得分</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说明</w:t>
            </w:r>
          </w:p>
        </w:tc>
        <w:tc>
          <w:tcPr>
            <w:tcW w:w="662"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Times New Roman" w:hAnsi="Times New Roman" w:eastAsia="方正黑体_GBK" w:cs="Times New Roman"/>
                <w:sz w:val="22"/>
              </w:rPr>
            </w:pPr>
            <w:r>
              <w:rPr>
                <w:rFonts w:ascii="Times New Roman" w:hAnsi="Times New Roman" w:eastAsia="方正黑体_GBK" w:cs="Times New Roman"/>
                <w:kern w:val="0"/>
                <w:sz w:val="22"/>
              </w:rPr>
              <w:t>自评得分</w:t>
            </w: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restart"/>
            <w:tcBorders>
              <w:top w:val="single" w:color="000000" w:sz="4" w:space="0"/>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1</w:t>
            </w:r>
          </w:p>
        </w:tc>
        <w:tc>
          <w:tcPr>
            <w:tcW w:w="813"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万州区政府政务通信电话会议系统服务费</w:t>
            </w: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年度预算执行率</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color w:val="000000"/>
                <w:kern w:val="0"/>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年稳定运行天数</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365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天</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365</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系统故障修复处理时间</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24</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小时</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提升工作效率</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25</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使用者满意度</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restart"/>
            <w:tcBorders>
              <w:top w:val="single" w:color="000000" w:sz="4" w:space="0"/>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r>
              <w:rPr>
                <w:rFonts w:hint="eastAsia" w:ascii="方正仿宋_GBK" w:hAnsi="方正仿宋_GBK" w:eastAsia="方正仿宋_GBK" w:cs="方正仿宋_GBK"/>
                <w:kern w:val="0"/>
                <w:sz w:val="22"/>
                <w:szCs w:val="22"/>
              </w:rPr>
              <w:t>2</w:t>
            </w:r>
          </w:p>
        </w:tc>
        <w:tc>
          <w:tcPr>
            <w:tcW w:w="813"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全区政务信息化项目管理专项工作经费</w:t>
            </w: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年度预算执行率</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color w:val="000000"/>
                <w:kern w:val="0"/>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审批件数</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件</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15</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41</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15</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全区信息化项目评审政策调整，实现全区信息项目全覆盖。</w:t>
            </w: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审批周期</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14</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天</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15</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12</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15</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及时办结率</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vMerge w:val="continue"/>
            <w:tcBorders>
              <w:left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sz w:val="22"/>
                <w:szCs w:val="22"/>
              </w:rPr>
            </w:pPr>
          </w:p>
        </w:tc>
        <w:tc>
          <w:tcPr>
            <w:tcW w:w="813"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投诉率</w:t>
            </w: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0</w:t>
            </w: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30</w:t>
            </w: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零投诉</w:t>
            </w:r>
          </w:p>
        </w:tc>
        <w:tc>
          <w:tcPr>
            <w:tcW w:w="66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r>
        <w:tblPrEx>
          <w:tblCellMar>
            <w:top w:w="0" w:type="dxa"/>
            <w:left w:w="108" w:type="dxa"/>
            <w:bottom w:w="0" w:type="dxa"/>
            <w:right w:w="108" w:type="dxa"/>
          </w:tblCellMar>
        </w:tblPrEx>
        <w:trPr>
          <w:gridAfter w:val="1"/>
          <w:wAfter w:w="225" w:type="dxa"/>
          <w:trHeight w:val="432" w:hRule="atLeast"/>
        </w:trPr>
        <w:tc>
          <w:tcPr>
            <w:tcW w:w="600" w:type="dxa"/>
            <w:gridSpan w:val="2"/>
            <w:tcBorders>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方正仿宋_GBK" w:hAnsi="方正仿宋_GBK" w:eastAsia="方正仿宋_GBK" w:cs="方正仿宋_GBK"/>
                <w:sz w:val="22"/>
                <w:szCs w:val="22"/>
              </w:rPr>
            </w:pPr>
          </w:p>
        </w:tc>
        <w:tc>
          <w:tcPr>
            <w:tcW w:w="813"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00"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960"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705" w:type="dxa"/>
            <w:gridSpan w:val="2"/>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c>
          <w:tcPr>
            <w:tcW w:w="1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方正仿宋_GBK" w:hAnsi="方正仿宋_GBK" w:eastAsia="方正仿宋_GBK" w:cs="方正仿宋_GBK"/>
                <w:sz w:val="22"/>
                <w:szCs w:val="22"/>
              </w:rPr>
            </w:pPr>
          </w:p>
        </w:tc>
        <w:tc>
          <w:tcPr>
            <w:tcW w:w="662" w:type="dxa"/>
            <w:gridSpan w:val="4"/>
            <w:tcBorders>
              <w:top w:val="single" w:color="000000" w:sz="4" w:space="0"/>
              <w:left w:val="single" w:color="000000" w:sz="4" w:space="0"/>
              <w:bottom w:val="single" w:color="000000" w:sz="4" w:space="0"/>
              <w:right w:val="single" w:color="000000" w:sz="4" w:space="0"/>
            </w:tcBorders>
            <w:noWrap/>
            <w:vAlign w:val="center"/>
          </w:tcPr>
          <w:p>
            <w:pPr>
              <w:spacing w:line="600" w:lineRule="exact"/>
              <w:jc w:val="center"/>
              <w:rPr>
                <w:rFonts w:ascii="方正仿宋_GBK" w:hAnsi="方正仿宋_GBK" w:eastAsia="方正仿宋_GBK" w:cs="方正仿宋_GBK"/>
                <w:sz w:val="22"/>
                <w:szCs w:val="22"/>
              </w:rPr>
            </w:pPr>
          </w:p>
        </w:tc>
      </w:tr>
    </w:tbl>
    <w:p>
      <w:pPr>
        <w:spacing w:line="600" w:lineRule="exact"/>
        <w:jc w:val="center"/>
        <w:rPr>
          <w:rFonts w:ascii="方正仿宋_GBK" w:hAnsi="方正仿宋_GBK" w:eastAsia="方正仿宋_GBK" w:cs="方正仿宋_GBK"/>
          <w:sz w:val="32"/>
          <w:szCs w:val="32"/>
        </w:rPr>
      </w:pP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）财政重点绩效评价情况</w:t>
      </w:r>
    </w:p>
    <w:p>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区财政局委托第三方对政务信息系统（平台）2022年运维费用开展了重点绩效评价，涉及财政拨款项目资金6130万元，目前尚未反馈正式评价报告，区财政局将适时对重点绩效评价结果进行集中公开。</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（六）维护（修）费</w:t>
      </w:r>
      <w:r>
        <w:rPr>
          <w:rFonts w:hint="eastAsia" w:ascii="方正仿宋_GBK" w:hAnsi="方正仿宋_GBK" w:eastAsia="方正仿宋_GBK" w:cs="方正仿宋_GBK"/>
          <w:sz w:val="32"/>
          <w:szCs w:val="32"/>
        </w:rPr>
        <w:t>：反映单位日常开支的固定资产（不包括车船等交通工具）修理和维护费用，网络信息系统运行维护费用，以及按规定提取的修购基金。</w:t>
      </w:r>
    </w:p>
    <w:p>
      <w:pPr>
        <w:pStyle w:val="6"/>
        <w:widowControl/>
        <w:shd w:val="clear" w:color="auto" w:fill="FFFFFF"/>
        <w:spacing w:beforeAutospacing="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w:t>
      </w:r>
      <w:r>
        <w:rPr>
          <w:rStyle w:val="9"/>
          <w:rFonts w:ascii="方正楷体_GBK" w:hAnsi="方正楷体_GBK" w:eastAsia="方正楷体_GBK" w:cs="方正楷体_GBK"/>
          <w:b w:val="0"/>
          <w:bCs/>
          <w:color w:val="000000"/>
          <w:sz w:val="32"/>
          <w:szCs w:val="32"/>
          <w:shd w:val="clear" w:color="auto" w:fill="FFFFFF"/>
        </w:rPr>
        <w:t>机关运行经费：</w:t>
      </w:r>
      <w:r>
        <w:rPr>
          <w:rFonts w:ascii="Times New Roman" w:hAnsi="Times New Roman" w:eastAsia="方正仿宋_GBK"/>
          <w:color w:val="00000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本单位决算公开信息反馈和联系方式：023－58966399</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1A7F9F"/>
    <w:rsid w:val="006E4FA3"/>
    <w:rsid w:val="00717724"/>
    <w:rsid w:val="008B3D0B"/>
    <w:rsid w:val="00BB760D"/>
    <w:rsid w:val="00EF08AB"/>
    <w:rsid w:val="017E4093"/>
    <w:rsid w:val="027A6DA3"/>
    <w:rsid w:val="02D96E15"/>
    <w:rsid w:val="03C5567A"/>
    <w:rsid w:val="04FE7086"/>
    <w:rsid w:val="05AA5A43"/>
    <w:rsid w:val="07860C28"/>
    <w:rsid w:val="08780798"/>
    <w:rsid w:val="0B7219E2"/>
    <w:rsid w:val="0C2F42EB"/>
    <w:rsid w:val="11860E84"/>
    <w:rsid w:val="13136F70"/>
    <w:rsid w:val="18072BFC"/>
    <w:rsid w:val="192D68A6"/>
    <w:rsid w:val="1A591E3D"/>
    <w:rsid w:val="1ACD35A1"/>
    <w:rsid w:val="1DD8057E"/>
    <w:rsid w:val="1E581F87"/>
    <w:rsid w:val="23464FA8"/>
    <w:rsid w:val="26E93318"/>
    <w:rsid w:val="29D73D5B"/>
    <w:rsid w:val="2A8A0880"/>
    <w:rsid w:val="2CD22570"/>
    <w:rsid w:val="2EE244A7"/>
    <w:rsid w:val="2F292AFE"/>
    <w:rsid w:val="2F5003D3"/>
    <w:rsid w:val="2F83305D"/>
    <w:rsid w:val="32411DAA"/>
    <w:rsid w:val="3471172C"/>
    <w:rsid w:val="34C117E1"/>
    <w:rsid w:val="355351A6"/>
    <w:rsid w:val="35E83AC3"/>
    <w:rsid w:val="383F56D4"/>
    <w:rsid w:val="3BE62841"/>
    <w:rsid w:val="3C9741F0"/>
    <w:rsid w:val="42433FC3"/>
    <w:rsid w:val="43FA474C"/>
    <w:rsid w:val="45312CF4"/>
    <w:rsid w:val="486A0232"/>
    <w:rsid w:val="4C147B11"/>
    <w:rsid w:val="4C4C766B"/>
    <w:rsid w:val="4D7732F3"/>
    <w:rsid w:val="4DE211B9"/>
    <w:rsid w:val="4E533811"/>
    <w:rsid w:val="4F7E45C3"/>
    <w:rsid w:val="51AF0F63"/>
    <w:rsid w:val="52C738D1"/>
    <w:rsid w:val="5443644D"/>
    <w:rsid w:val="57B320C0"/>
    <w:rsid w:val="5B235EB2"/>
    <w:rsid w:val="5B6A72E6"/>
    <w:rsid w:val="5FA472EC"/>
    <w:rsid w:val="60CA7DE0"/>
    <w:rsid w:val="6183447A"/>
    <w:rsid w:val="61E560C6"/>
    <w:rsid w:val="6233706D"/>
    <w:rsid w:val="662B2C89"/>
    <w:rsid w:val="67580EA0"/>
    <w:rsid w:val="69221B72"/>
    <w:rsid w:val="6A613C5A"/>
    <w:rsid w:val="6C9662EC"/>
    <w:rsid w:val="6D96735C"/>
    <w:rsid w:val="6F65733F"/>
    <w:rsid w:val="70790E34"/>
    <w:rsid w:val="747152AA"/>
    <w:rsid w:val="762D41C0"/>
    <w:rsid w:val="7729079C"/>
    <w:rsid w:val="77602E15"/>
    <w:rsid w:val="77D86169"/>
    <w:rsid w:val="790814AA"/>
    <w:rsid w:val="79EE7ACD"/>
    <w:rsid w:val="7C6813C3"/>
    <w:rsid w:val="7DD77F03"/>
    <w:rsid w:val="EDAA6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spacing w:line="540" w:lineRule="exact"/>
      <w:ind w:firstLine="200" w:firstLineChars="200"/>
      <w:jc w:val="both"/>
    </w:pPr>
    <w:rPr>
      <w:rFonts w:ascii="Calibri" w:hAnsi="Calibri" w:eastAsia="仿宋_GB2312" w:cs="Times New Roman"/>
      <w:kern w:val="2"/>
      <w:sz w:val="21"/>
      <w:szCs w:val="24"/>
      <w:lang w:val="en-US" w:eastAsia="zh-CN" w:bidi="ar-SA"/>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区大数据发展局</Company>
  <Pages>21</Pages>
  <Words>1460</Words>
  <Characters>8328</Characters>
  <Lines>69</Lines>
  <Paragraphs>19</Paragraphs>
  <TotalTime>15</TotalTime>
  <ScaleCrop>false</ScaleCrop>
  <LinksUpToDate>false</LinksUpToDate>
  <CharactersWithSpaces>9769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2023-10-23T10:36:00Z</dcterms:created>
  <dc:creator>邓波</dc:creator>
  <cp:lastModifiedBy>huaweri</cp:lastModifiedBy>
  <dcterms:modified xsi:type="dcterms:W3CDTF">2025-09-08T17:37:37Z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FE9F01D9004E534DE1A3BE68EC5B116C</vt:lpwstr>
  </property>
</Properties>
</file>