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3B" w:rsidRDefault="00907A3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重庆市万州区大数据应用发展管理局</w:t>
      </w:r>
      <w:r>
        <w:rPr>
          <w:rFonts w:ascii="方正小标宋_GBK" w:eastAsia="方正小标宋_GBK" w:hAnsi="方正小标宋_GBK" w:cs="方正小标宋_GBK" w:hint="eastAsia"/>
          <w:sz w:val="44"/>
          <w:szCs w:val="44"/>
        </w:rPr>
        <w:t>（本级）</w:t>
      </w:r>
    </w:p>
    <w:p w:rsidR="004B413B" w:rsidRDefault="00907A3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2</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年度</w:t>
      </w:r>
      <w:r>
        <w:rPr>
          <w:rFonts w:ascii="方正小标宋_GBK" w:eastAsia="方正小标宋_GBK" w:hAnsi="方正小标宋_GBK" w:cs="方正小标宋_GBK" w:hint="eastAsia"/>
          <w:sz w:val="44"/>
          <w:szCs w:val="44"/>
        </w:rPr>
        <w:t>单位</w:t>
      </w:r>
      <w:r>
        <w:rPr>
          <w:rFonts w:ascii="方正小标宋_GBK" w:eastAsia="方正小标宋_GBK" w:hAnsi="方正小标宋_GBK" w:cs="方正小标宋_GBK" w:hint="eastAsia"/>
          <w:sz w:val="44"/>
          <w:szCs w:val="44"/>
        </w:rPr>
        <w:t>决算情况说明</w:t>
      </w:r>
    </w:p>
    <w:p w:rsidR="004B413B" w:rsidRDefault="004B413B">
      <w:pPr>
        <w:spacing w:line="600" w:lineRule="exact"/>
        <w:jc w:val="center"/>
        <w:rPr>
          <w:rFonts w:ascii="方正小标宋_GBK" w:eastAsia="方正小标宋_GBK" w:hAnsi="方正小标宋_GBK" w:cs="方正小标宋_GBK"/>
          <w:sz w:val="44"/>
          <w:szCs w:val="44"/>
        </w:rPr>
      </w:pP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单位</w:t>
      </w:r>
      <w:r>
        <w:rPr>
          <w:rFonts w:ascii="方正黑体_GBK" w:eastAsia="方正黑体_GBK" w:hAnsi="方正黑体_GBK" w:cs="方正黑体_GBK" w:hint="eastAsia"/>
          <w:sz w:val="32"/>
          <w:szCs w:val="32"/>
        </w:rPr>
        <w:t>基本情况</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推进全区政务数据采集汇聚、登记管理、共享开放。负责推动社会数据汇聚融合、互联互通、资源共享。负责研究推进数据资源的流通交易。负责推进社会公共信息资源整合和应用。负责推动全区数据安全体系建设工作。统筹推进大数据、人工智能等新一代信息技术</w:t>
      </w:r>
      <w:r>
        <w:rPr>
          <w:rFonts w:ascii="方正仿宋_GBK" w:eastAsia="方正仿宋_GBK" w:hAnsi="方正仿宋_GBK" w:cs="方正仿宋_GBK" w:hint="eastAsia"/>
          <w:sz w:val="32"/>
          <w:szCs w:val="32"/>
        </w:rPr>
        <w:t>和国民经济各领域融合应用。推动大数据、人工智能等产学研用结合，推动大数据、人工智能等新兴领域发展。负责推进全区信息化应用工作。负责组织编制全区信息化发展规划并组织实施。统筹推进全区智慧城市和智慧政务建设。负责组织协调跨部门、跨行业、跨领域的信息化应用，协调解决信息化建设中的重大问题。统筹协调全区信息化项目建设。负责协调全区信息基础设施建设。组织编制全区数据中心规划并组织实施。</w:t>
      </w:r>
      <w:r>
        <w:rPr>
          <w:rFonts w:ascii="方正仿宋_GBK" w:eastAsia="方正仿宋_GBK" w:hAnsi="方正仿宋_GBK" w:cs="方正仿宋_GBK" w:hint="eastAsia"/>
          <w:sz w:val="32"/>
          <w:szCs w:val="32"/>
        </w:rPr>
        <w:lastRenderedPageBreak/>
        <w:t>负责对接并指导协调全区“数字万州”云平台建设管理。协调推动下一代网络部署和规模化商用。负责推动大数据、人工智能、信息化领域对外交流合作</w:t>
      </w:r>
      <w:r>
        <w:rPr>
          <w:rFonts w:ascii="方正仿宋_GBK" w:eastAsia="方正仿宋_GBK" w:hAnsi="方正仿宋_GBK" w:cs="方正仿宋_GBK" w:hint="eastAsia"/>
          <w:sz w:val="32"/>
          <w:szCs w:val="32"/>
        </w:rPr>
        <w:t>。组织参与各类重大交流合作活动，指导开展区域化合作、国际化经营，承办相关活动。指导大数据、人工智能、信息化人才队伍建设工作。指导相关行业协会、学会、联盟机构工作。</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（二）机构设置</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万州区大数据应用发展管理局系</w:t>
      </w:r>
      <w:r>
        <w:rPr>
          <w:rFonts w:ascii="方正仿宋_GBK" w:eastAsia="方正仿宋_GBK" w:hAnsi="方正仿宋_GBK" w:cs="方正仿宋_GBK" w:hint="eastAsia"/>
          <w:sz w:val="32"/>
          <w:szCs w:val="32"/>
        </w:rPr>
        <w:t xml:space="preserve"> 2019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1 </w:t>
      </w:r>
      <w:r>
        <w:rPr>
          <w:rFonts w:ascii="方正仿宋_GBK" w:eastAsia="方正仿宋_GBK" w:hAnsi="方正仿宋_GBK" w:cs="方正仿宋_GBK" w:hint="eastAsia"/>
          <w:sz w:val="32"/>
          <w:szCs w:val="32"/>
        </w:rPr>
        <w:t>月机构改革时新组建的区政府工作部门，为正处级。将万州区经济信息委大数据、人工智能、信息化推进、智慧城市建设等职责和区发展改革委社会公共信息资源整合与应用等职责划入，主要承担全区大数据、人工智能、信息化发展战略研究，数据资源建设、管理，大数据、人工智能等新一代信息技术和国民经济各领域融合应用，信息化应用，推进“智慧城市”和“智慧政务”等工作。核定行政编制</w:t>
      </w:r>
      <w:r>
        <w:rPr>
          <w:rFonts w:ascii="方正仿宋_GBK" w:eastAsia="方正仿宋_GBK" w:hAnsi="方正仿宋_GBK" w:cs="方正仿宋_GBK" w:hint="eastAsia"/>
          <w:sz w:val="32"/>
          <w:szCs w:val="32"/>
        </w:rPr>
        <w:t xml:space="preserve"> 9 </w:t>
      </w:r>
      <w:r>
        <w:rPr>
          <w:rFonts w:ascii="方正仿宋_GBK" w:eastAsia="方正仿宋_GBK" w:hAnsi="方正仿宋_GBK" w:cs="方正仿宋_GBK" w:hint="eastAsia"/>
          <w:sz w:val="32"/>
          <w:szCs w:val="32"/>
        </w:rPr>
        <w:t>名，领导职数</w:t>
      </w:r>
      <w:r>
        <w:rPr>
          <w:rFonts w:ascii="方正仿宋_GBK" w:eastAsia="方正仿宋_GBK" w:hAnsi="方正仿宋_GBK" w:cs="方正仿宋_GBK" w:hint="eastAsia"/>
          <w:sz w:val="32"/>
          <w:szCs w:val="32"/>
        </w:rPr>
        <w:t xml:space="preserve"> 1 </w:t>
      </w:r>
      <w:r>
        <w:rPr>
          <w:rFonts w:ascii="方正仿宋_GBK" w:eastAsia="方正仿宋_GBK" w:hAnsi="方正仿宋_GBK" w:cs="方正仿宋_GBK" w:hint="eastAsia"/>
          <w:sz w:val="32"/>
          <w:szCs w:val="32"/>
        </w:rPr>
        <w:t>正</w:t>
      </w:r>
      <w:r>
        <w:rPr>
          <w:rFonts w:ascii="方正仿宋_GBK" w:eastAsia="方正仿宋_GBK" w:hAnsi="方正仿宋_GBK" w:cs="方正仿宋_GBK" w:hint="eastAsia"/>
          <w:sz w:val="32"/>
          <w:szCs w:val="32"/>
        </w:rPr>
        <w:t xml:space="preserve"> 2 </w:t>
      </w:r>
      <w:r>
        <w:rPr>
          <w:rFonts w:ascii="方正仿宋_GBK" w:eastAsia="方正仿宋_GBK" w:hAnsi="方正仿宋_GBK" w:cs="方正仿宋_GBK" w:hint="eastAsia"/>
          <w:sz w:val="32"/>
          <w:szCs w:val="32"/>
        </w:rPr>
        <w:t>副，设综合科、应用发展科、规划建设管理科</w:t>
      </w:r>
      <w:r>
        <w:rPr>
          <w:rFonts w:ascii="方正仿宋_GBK" w:eastAsia="方正仿宋_GBK" w:hAnsi="方正仿宋_GBK" w:cs="方正仿宋_GBK" w:hint="eastAsia"/>
          <w:sz w:val="32"/>
          <w:szCs w:val="32"/>
        </w:rPr>
        <w:t xml:space="preserve"> 3 </w:t>
      </w:r>
      <w:r>
        <w:rPr>
          <w:rFonts w:ascii="方正仿宋_GBK" w:eastAsia="方正仿宋_GBK" w:hAnsi="方正仿宋_GBK" w:cs="方正仿宋_GBK" w:hint="eastAsia"/>
          <w:sz w:val="32"/>
          <w:szCs w:val="32"/>
        </w:rPr>
        <w:t>个内设科室，科级领导职数</w:t>
      </w:r>
      <w:r>
        <w:rPr>
          <w:rFonts w:ascii="方正仿宋_GBK" w:eastAsia="方正仿宋_GBK" w:hAnsi="方正仿宋_GBK" w:cs="方正仿宋_GBK" w:hint="eastAsia"/>
          <w:sz w:val="32"/>
          <w:szCs w:val="32"/>
        </w:rPr>
        <w:t xml:space="preserve"> 4 </w:t>
      </w:r>
      <w:r>
        <w:rPr>
          <w:rFonts w:ascii="方正仿宋_GBK" w:eastAsia="方正仿宋_GBK" w:hAnsi="方正仿宋_GBK" w:cs="方正仿宋_GBK" w:hint="eastAsia"/>
          <w:sz w:val="32"/>
          <w:szCs w:val="32"/>
        </w:rPr>
        <w:t>名。</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万州区大数据应用发展管理局内设科室</w:t>
      </w:r>
      <w:r>
        <w:rPr>
          <w:rFonts w:ascii="方正仿宋_GBK" w:eastAsia="方正仿宋_GBK" w:hAnsi="方正仿宋_GBK" w:cs="方正仿宋_GBK" w:hint="eastAsia"/>
          <w:sz w:val="32"/>
          <w:szCs w:val="32"/>
        </w:rPr>
        <w:t xml:space="preserve"> 3 </w:t>
      </w:r>
      <w:r>
        <w:rPr>
          <w:rFonts w:ascii="方正仿宋_GBK" w:eastAsia="方正仿宋_GBK" w:hAnsi="方正仿宋_GBK" w:cs="方正仿宋_GBK" w:hint="eastAsia"/>
          <w:sz w:val="32"/>
          <w:szCs w:val="32"/>
        </w:rPr>
        <w:t>个。</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）综合科</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负责机关文电、机要、保密、档案、培训、人才队伍建设、信息、信访、应急、安全、会务、外事、宣传、财务管理、综合性材料起草、机关日常工作协调和重大事项督办督查、目标管理</w:t>
      </w:r>
      <w:r>
        <w:rPr>
          <w:rFonts w:ascii="方正仿宋_GBK" w:eastAsia="方正仿宋_GBK" w:hAnsi="方正仿宋_GBK" w:cs="方正仿宋_GBK" w:hint="eastAsia"/>
          <w:sz w:val="32"/>
          <w:szCs w:val="32"/>
        </w:rPr>
        <w:lastRenderedPageBreak/>
        <w:t>工作；负责机关及所属单位机构编制、组织人事、社会保障、退休干部服务等工作；负责机关和所属单位的党群工作；承担有关领导小组、改革专项小组办公室日常事务；负责本局帮乡扶贫工作。</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）应用发展科</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负责推进全区信息化应用工作，研究拟订相关发展战略、规划和政策措施，协调解决信息化建设中的重大问题；负责推动全区信息化领域重大科技攻关，全区公</w:t>
      </w:r>
      <w:r>
        <w:rPr>
          <w:rFonts w:ascii="方正仿宋_GBK" w:eastAsia="方正仿宋_GBK" w:hAnsi="方正仿宋_GBK" w:cs="方正仿宋_GBK" w:hint="eastAsia"/>
          <w:sz w:val="32"/>
          <w:szCs w:val="32"/>
        </w:rPr>
        <w:t>共服务和社会治理信息化，全区信息网络行业发展，推动大数据、人工智能等新一代信息技术和国民经济各领域融合应用，促进大数据商用；负责推动全区智能机关建设，推进各级机关办公、服务智能化；负责推动全区产业数据分级分类管理和商用；负责推动全区大数据、人工智能等产学研用结合。指导相关行业协会、学会、联盟机构工作。</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）规划建设管理科</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负责全区数据资源体系的建设和管理；负责全区信息基础设施及重大信息化建设项目的组织规划和协调推进；组织编制全区数据中心规划并组织实施，协调推动下一代网络部署和规模化商用；负责推进全区“智慧</w:t>
      </w:r>
      <w:r>
        <w:rPr>
          <w:rFonts w:ascii="方正仿宋_GBK" w:eastAsia="方正仿宋_GBK" w:hAnsi="方正仿宋_GBK" w:cs="方正仿宋_GBK" w:hint="eastAsia"/>
          <w:sz w:val="32"/>
          <w:szCs w:val="32"/>
        </w:rPr>
        <w:t>城市”规划建设工作，促进大数据政用、民用。联系万州区通信发展办公室。</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（三）单位构成</w:t>
      </w: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从预算单位构成看，</w:t>
      </w:r>
      <w:r>
        <w:rPr>
          <w:rFonts w:ascii="Times New Roman" w:eastAsia="方正仿宋_GBK" w:hAnsi="Times New Roman" w:cs="Times New Roman"/>
          <w:sz w:val="32"/>
          <w:szCs w:val="32"/>
        </w:rPr>
        <w:t>本单位属二级预算单位，主管部门是重</w:t>
      </w:r>
      <w:r>
        <w:rPr>
          <w:rFonts w:ascii="Times New Roman" w:eastAsia="方正仿宋_GBK" w:hAnsi="Times New Roman" w:cs="Times New Roman"/>
          <w:sz w:val="32"/>
          <w:szCs w:val="32"/>
        </w:rPr>
        <w:lastRenderedPageBreak/>
        <w:t>庆市万州区大数据应用发展管理局，无下级预算单位。</w:t>
      </w: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单位</w:t>
      </w:r>
      <w:r>
        <w:rPr>
          <w:rFonts w:ascii="方正黑体_GBK" w:eastAsia="方正黑体_GBK" w:hAnsi="方正黑体_GBK" w:cs="方正黑体_GBK" w:hint="eastAsia"/>
          <w:sz w:val="32"/>
          <w:szCs w:val="32"/>
        </w:rPr>
        <w:t>决算情况说明</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（一）收入支出决算总体情况说明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总体情况。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年度收入总计</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万元，支出总计</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万元。收支较上年决算数增加</w:t>
      </w:r>
      <w:r>
        <w:rPr>
          <w:rFonts w:ascii="方正仿宋_GBK" w:eastAsia="方正仿宋_GBK" w:hAnsi="方正仿宋_GBK" w:cs="方正仿宋_GBK" w:hint="eastAsia"/>
          <w:sz w:val="32"/>
          <w:szCs w:val="32"/>
        </w:rPr>
        <w:t>81.7</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增长</w:t>
      </w:r>
      <w:r>
        <w:rPr>
          <w:rFonts w:ascii="方正仿宋_GBK" w:eastAsia="方正仿宋_GBK" w:hAnsi="方正仿宋_GBK" w:cs="方正仿宋_GBK" w:hint="eastAsia"/>
          <w:sz w:val="32"/>
          <w:szCs w:val="32"/>
        </w:rPr>
        <w:t>32.2%</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shd w:val="clear" w:color="auto" w:fill="FFFFFF"/>
        </w:rPr>
        <w:t>2022</w:t>
      </w:r>
      <w:r>
        <w:rPr>
          <w:rFonts w:ascii="方正仿宋_GBK" w:eastAsia="方正仿宋_GBK" w:hAnsi="方正仿宋_GBK" w:cs="方正仿宋_GBK" w:hint="eastAsia"/>
          <w:sz w:val="32"/>
          <w:szCs w:val="32"/>
          <w:shd w:val="clear" w:color="auto" w:fill="FFFFFF"/>
        </w:rPr>
        <w:t>年增加了万州区政府政务通信电话会议系统服务费项目资金、</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年“小切口、大民生”创新应用专项资金</w:t>
      </w:r>
      <w:r>
        <w:rPr>
          <w:rFonts w:ascii="方正仿宋_GBK" w:eastAsia="方正仿宋_GBK" w:hAnsi="方正仿宋_GBK" w:cs="方正仿宋_GBK" w:hint="eastAsia"/>
          <w:sz w:val="32"/>
          <w:szCs w:val="32"/>
          <w:shd w:val="clear" w:color="auto" w:fill="FFFFFF"/>
        </w:rPr>
        <w:t>。</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收入情况。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年度收入合计</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81.7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32.2%</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shd w:val="clear" w:color="auto" w:fill="FFFFFF"/>
        </w:rPr>
        <w:t>2022</w:t>
      </w:r>
      <w:r>
        <w:rPr>
          <w:rFonts w:ascii="方正仿宋_GBK" w:eastAsia="方正仿宋_GBK" w:hAnsi="方正仿宋_GBK" w:cs="方正仿宋_GBK" w:hint="eastAsia"/>
          <w:sz w:val="32"/>
          <w:szCs w:val="32"/>
          <w:shd w:val="clear" w:color="auto" w:fill="FFFFFF"/>
        </w:rPr>
        <w:t>年增加了万州区政府政务通信电话会议系统服务费项目资金、</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年“小切口、大民生”创新应用专项资金</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rPr>
        <w:t>其中：财政拨款收入</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支出情况。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年度支出合计</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万元，较上年决算增加</w:t>
      </w:r>
      <w:r>
        <w:rPr>
          <w:rFonts w:ascii="方正仿宋_GBK" w:eastAsia="方正仿宋_GBK" w:hAnsi="方正仿宋_GBK" w:cs="方正仿宋_GBK" w:hint="eastAsia"/>
          <w:sz w:val="32"/>
          <w:szCs w:val="32"/>
        </w:rPr>
        <w:t>81.7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32.2%</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shd w:val="clear" w:color="auto" w:fill="FFFFFF"/>
        </w:rPr>
        <w:t>2022</w:t>
      </w:r>
      <w:r>
        <w:rPr>
          <w:rFonts w:ascii="方正仿宋_GBK" w:eastAsia="方正仿宋_GBK" w:hAnsi="方正仿宋_GBK" w:cs="方正仿宋_GBK" w:hint="eastAsia"/>
          <w:sz w:val="32"/>
          <w:szCs w:val="32"/>
          <w:shd w:val="clear" w:color="auto" w:fill="FFFFFF"/>
        </w:rPr>
        <w:t>年增加了万州区政府政务通信电话会议系统服务费项目资金、</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年“小切口、大民生”创新应用专项资金</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rPr>
        <w:t>其中：基本支出</w:t>
      </w:r>
      <w:r>
        <w:rPr>
          <w:rFonts w:ascii="方正仿宋_GBK" w:eastAsia="方正仿宋_GBK" w:hAnsi="方正仿宋_GBK" w:cs="方正仿宋_GBK" w:hint="eastAsia"/>
          <w:sz w:val="32"/>
          <w:szCs w:val="32"/>
        </w:rPr>
        <w:t>189.94</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32"/>
          <w:szCs w:val="32"/>
        </w:rPr>
        <w:t>元，占</w:t>
      </w:r>
      <w:r>
        <w:rPr>
          <w:rFonts w:ascii="方正仿宋_GBK" w:eastAsia="方正仿宋_GBK" w:hAnsi="方正仿宋_GBK" w:cs="方正仿宋_GBK" w:hint="eastAsia"/>
          <w:sz w:val="32"/>
          <w:szCs w:val="32"/>
        </w:rPr>
        <w:t>56.7%</w:t>
      </w:r>
      <w:r>
        <w:rPr>
          <w:rFonts w:ascii="方正仿宋_GBK" w:eastAsia="方正仿宋_GBK" w:hAnsi="方正仿宋_GBK" w:cs="方正仿宋_GBK" w:hint="eastAsia"/>
          <w:sz w:val="32"/>
          <w:szCs w:val="32"/>
        </w:rPr>
        <w:t>；项目支出</w:t>
      </w:r>
      <w:r>
        <w:rPr>
          <w:rFonts w:ascii="方正仿宋_GBK" w:eastAsia="方正仿宋_GBK" w:hAnsi="方正仿宋_GBK" w:cs="方正仿宋_GBK" w:hint="eastAsia"/>
          <w:sz w:val="32"/>
          <w:szCs w:val="32"/>
        </w:rPr>
        <w:t>145.18</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43.3%</w:t>
      </w:r>
      <w:r>
        <w:rPr>
          <w:rFonts w:ascii="方正仿宋_GBK" w:eastAsia="方正仿宋_GBK" w:hAnsi="方正仿宋_GBK" w:cs="方正仿宋_GBK" w:hint="eastAsia"/>
          <w:sz w:val="32"/>
          <w:szCs w:val="32"/>
        </w:rPr>
        <w:t>。</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结转结余情况。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年度年末结转和结余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（二）财政拨款收入支出决算总体情况说明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年度财政拨款收、支总计</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万元。与</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年相</w:t>
      </w:r>
      <w:r>
        <w:rPr>
          <w:rFonts w:ascii="方正仿宋_GBK" w:eastAsia="方正仿宋_GBK" w:hAnsi="方正仿宋_GBK" w:cs="方正仿宋_GBK" w:hint="eastAsia"/>
          <w:sz w:val="32"/>
          <w:szCs w:val="32"/>
        </w:rPr>
        <w:lastRenderedPageBreak/>
        <w:t>比，财政拨款收、支总计各增加</w:t>
      </w:r>
      <w:r>
        <w:rPr>
          <w:rFonts w:ascii="方正仿宋_GBK" w:eastAsia="方正仿宋_GBK" w:hAnsi="方正仿宋_GBK" w:cs="方正仿宋_GBK" w:hint="eastAsia"/>
          <w:sz w:val="32"/>
          <w:szCs w:val="32"/>
        </w:rPr>
        <w:t>81.7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32.2%</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shd w:val="clear" w:color="auto" w:fill="FFFFFF"/>
        </w:rPr>
        <w:t>2022</w:t>
      </w:r>
      <w:r>
        <w:rPr>
          <w:rFonts w:ascii="方正仿宋_GBK" w:eastAsia="方正仿宋_GBK" w:hAnsi="方正仿宋_GBK" w:cs="方正仿宋_GBK" w:hint="eastAsia"/>
          <w:sz w:val="32"/>
          <w:szCs w:val="32"/>
          <w:shd w:val="clear" w:color="auto" w:fill="FFFFFF"/>
        </w:rPr>
        <w:t>年增加了万州区政府政务通信电话会议系统服务费项目资金、</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年“小切口、大民生”创新应用专项资金</w:t>
      </w:r>
      <w:r>
        <w:rPr>
          <w:rFonts w:ascii="方正仿宋_GBK" w:eastAsia="方正仿宋_GBK" w:hAnsi="方正仿宋_GBK" w:cs="方正仿宋_GBK" w:hint="eastAsia"/>
          <w:sz w:val="32"/>
          <w:szCs w:val="32"/>
          <w:shd w:val="clear" w:color="auto" w:fill="FFFFFF"/>
        </w:rPr>
        <w:t>。</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（三）一般公共预算财政拨款收入支出决算情况说明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收入情况。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年度一般公共预算财政拨款收入</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81.7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32.2%</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shd w:val="clear" w:color="auto" w:fill="FFFFFF"/>
        </w:rPr>
        <w:t>2022</w:t>
      </w:r>
      <w:r>
        <w:rPr>
          <w:rFonts w:ascii="方正仿宋_GBK" w:eastAsia="方正仿宋_GBK" w:hAnsi="方正仿宋_GBK" w:cs="方正仿宋_GBK" w:hint="eastAsia"/>
          <w:sz w:val="32"/>
          <w:szCs w:val="32"/>
          <w:shd w:val="clear" w:color="auto" w:fill="FFFFFF"/>
        </w:rPr>
        <w:t>年增加了万州区政府政务通信电话会议系统服务费项目资金、</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年“小切口、大民生”创新应用专项资金</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136.74</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68.9%</w:t>
      </w:r>
      <w:r>
        <w:rPr>
          <w:rFonts w:ascii="方正仿宋_GBK" w:eastAsia="方正仿宋_GBK" w:hAnsi="方正仿宋_GBK" w:cs="方正仿宋_GBK" w:hint="eastAsia"/>
          <w:sz w:val="32"/>
          <w:szCs w:val="32"/>
        </w:rPr>
        <w:t>。主要原因是追加万州区政府政务通信电话会议系统服务费、</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年“小切口、大民生”创新应用专项资金</w:t>
      </w:r>
      <w:r>
        <w:rPr>
          <w:rFonts w:ascii="方正仿宋_GBK" w:eastAsia="方正仿宋_GBK" w:hAnsi="方正仿宋_GBK" w:cs="方正仿宋_GBK" w:hint="eastAsia"/>
          <w:sz w:val="32"/>
          <w:szCs w:val="32"/>
        </w:rPr>
        <w:t>、</w:t>
      </w:r>
      <w:r>
        <w:rPr>
          <w:rFonts w:ascii="仿宋_GB2312" w:eastAsia="仿宋_GB2312" w:hAnsi="仿宋_GB2312" w:cs="仿宋_GB2312" w:hint="eastAsia"/>
          <w:sz w:val="32"/>
          <w:szCs w:val="32"/>
        </w:rPr>
        <w:t>区本级机关事业单位公务员绩效奖金（绩效工资）及离休补贴和健康休养费（公务员绩效奖金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基础绩效奖）</w:t>
      </w:r>
      <w:r>
        <w:rPr>
          <w:rFonts w:ascii="仿宋_GB2312" w:eastAsia="仿宋_GB2312" w:hAnsi="仿宋_GB2312" w:cs="仿宋_GB2312" w:hint="eastAsia"/>
          <w:sz w:val="32"/>
          <w:szCs w:val="32"/>
        </w:rPr>
        <w:t>等</w:t>
      </w:r>
      <w:r>
        <w:rPr>
          <w:rFonts w:ascii="方正仿宋_GBK" w:eastAsia="方正仿宋_GBK" w:hAnsi="方正仿宋_GBK" w:cs="方正仿宋_GBK" w:hint="eastAsia"/>
          <w:sz w:val="32"/>
          <w:szCs w:val="32"/>
        </w:rPr>
        <w:t>。此外，年初财政拨款结转和结余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32"/>
          <w:szCs w:val="32"/>
        </w:rPr>
        <w:t>元。</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支出情况。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年度一般公共预算财政拨款支出</w:t>
      </w:r>
      <w:r>
        <w:rPr>
          <w:rFonts w:ascii="方正仿宋_GBK" w:eastAsia="方正仿宋_GBK" w:hAnsi="方正仿宋_GBK" w:cs="方正仿宋_GBK" w:hint="eastAsia"/>
          <w:sz w:val="32"/>
          <w:szCs w:val="32"/>
        </w:rPr>
        <w:t>335.12</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81.7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32.2%</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shd w:val="clear" w:color="auto" w:fill="FFFFFF"/>
        </w:rPr>
        <w:t>2022</w:t>
      </w:r>
      <w:r>
        <w:rPr>
          <w:rFonts w:ascii="方正仿宋_GBK" w:eastAsia="方正仿宋_GBK" w:hAnsi="方正仿宋_GBK" w:cs="方正仿宋_GBK" w:hint="eastAsia"/>
          <w:sz w:val="32"/>
          <w:szCs w:val="32"/>
          <w:shd w:val="clear" w:color="auto" w:fill="FFFFFF"/>
        </w:rPr>
        <w:t>年增加了万州区政府政务通信电话会议系统服务费项目资金、</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年“小切口、大民生”创新应用专项资金</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136.74</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68.9%</w:t>
      </w:r>
      <w:r>
        <w:rPr>
          <w:rFonts w:ascii="方正仿宋_GBK" w:eastAsia="方正仿宋_GBK" w:hAnsi="方正仿宋_GBK" w:cs="方正仿宋_GBK" w:hint="eastAsia"/>
          <w:sz w:val="32"/>
          <w:szCs w:val="32"/>
        </w:rPr>
        <w:t>。主要原因是追加万州区政府政务通信电话会议系统服务费、</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年“小切口、大民生”创新应用专项资金</w:t>
      </w:r>
      <w:r>
        <w:rPr>
          <w:rFonts w:ascii="方正仿宋_GBK" w:eastAsia="方正仿宋_GBK" w:hAnsi="方正仿宋_GBK" w:cs="方正仿宋_GBK" w:hint="eastAsia"/>
          <w:sz w:val="32"/>
          <w:szCs w:val="32"/>
        </w:rPr>
        <w:t>、</w:t>
      </w:r>
      <w:r>
        <w:rPr>
          <w:rFonts w:ascii="仿宋_GB2312" w:eastAsia="仿宋_GB2312" w:hAnsi="仿宋_GB2312" w:cs="仿宋_GB2312" w:hint="eastAsia"/>
          <w:sz w:val="32"/>
          <w:szCs w:val="32"/>
        </w:rPr>
        <w:t>区本级机关事业单位公务员绩效奖金（绩效工资）及离休补贴和健康休养费（公务员绩效奖金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基础绩效奖）</w:t>
      </w:r>
      <w:r>
        <w:rPr>
          <w:rFonts w:ascii="仿宋_GB2312" w:eastAsia="仿宋_GB2312" w:hAnsi="仿宋_GB2312" w:cs="仿宋_GB2312" w:hint="eastAsia"/>
          <w:sz w:val="32"/>
          <w:szCs w:val="32"/>
        </w:rPr>
        <w:lastRenderedPageBreak/>
        <w:t>等</w:t>
      </w:r>
      <w:r>
        <w:rPr>
          <w:rFonts w:ascii="方正仿宋_GBK" w:eastAsia="方正仿宋_GBK" w:hAnsi="方正仿宋_GBK" w:cs="方正仿宋_GBK" w:hint="eastAsia"/>
          <w:sz w:val="32"/>
          <w:szCs w:val="32"/>
        </w:rPr>
        <w:t>。</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结转结余情况。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年度年末一般公共预算财政拨款结转和结余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与上年持平。</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比较情况。本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年度一般公共预算财政拨款支出主要用于以下几个方面：</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）一般公共服务支出</w:t>
      </w:r>
      <w:r>
        <w:rPr>
          <w:rFonts w:ascii="方正仿宋_GBK" w:eastAsia="方正仿宋_GBK" w:hAnsi="方正仿宋_GBK" w:cs="方正仿宋_GBK" w:hint="eastAsia"/>
          <w:sz w:val="32"/>
          <w:szCs w:val="32"/>
        </w:rPr>
        <w:t>234.98</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70.1%</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73.12</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45.2%</w:t>
      </w:r>
      <w:r>
        <w:rPr>
          <w:rFonts w:ascii="方正仿宋_GBK" w:eastAsia="方正仿宋_GBK" w:hAnsi="方正仿宋_GBK" w:cs="方正仿宋_GBK" w:hint="eastAsia"/>
          <w:sz w:val="32"/>
          <w:szCs w:val="32"/>
        </w:rPr>
        <w:t>，主要原因是追加万州区政府政务通信电话会议系统服务费、区本级机关事业单位公务员绩效奖金（绩效工资）及离休补贴和健康休养费（公务员绩效奖金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基础绩效奖）。</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）社会保障与就业支出</w:t>
      </w:r>
      <w:r>
        <w:rPr>
          <w:rFonts w:ascii="方正仿宋_GBK" w:eastAsia="方正仿宋_GBK" w:hAnsi="方正仿宋_GBK" w:cs="方正仿宋_GBK" w:hint="eastAsia"/>
          <w:sz w:val="32"/>
          <w:szCs w:val="32"/>
        </w:rPr>
        <w:t>17.86</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5.3%</w:t>
      </w:r>
      <w:r>
        <w:rPr>
          <w:rFonts w:ascii="方正仿宋_GBK" w:eastAsia="方正仿宋_GBK" w:hAnsi="方正仿宋_GBK" w:cs="方正仿宋_GBK" w:hint="eastAsia"/>
          <w:sz w:val="32"/>
          <w:szCs w:val="32"/>
        </w:rPr>
        <w:t>，较年初预算数减少</w:t>
      </w:r>
      <w:r>
        <w:rPr>
          <w:rFonts w:ascii="方正仿宋_GBK" w:eastAsia="方正仿宋_GBK" w:hAnsi="方正仿宋_GBK" w:cs="方正仿宋_GBK" w:hint="eastAsia"/>
          <w:sz w:val="32"/>
          <w:szCs w:val="32"/>
        </w:rPr>
        <w:t>0.55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与年初预算基本持平。</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）卫生健康支出</w:t>
      </w:r>
      <w:r>
        <w:rPr>
          <w:rFonts w:ascii="方正仿宋_GBK" w:eastAsia="方正仿宋_GBK" w:hAnsi="方正仿宋_GBK" w:cs="方正仿宋_GBK" w:hint="eastAsia"/>
          <w:sz w:val="32"/>
          <w:szCs w:val="32"/>
        </w:rPr>
        <w:t>13.75</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4.1%</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4.73</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52.4%</w:t>
      </w:r>
      <w:r>
        <w:rPr>
          <w:rFonts w:ascii="方正仿宋_GBK" w:eastAsia="方正仿宋_GBK" w:hAnsi="方正仿宋_GBK" w:cs="方正仿宋_GBK" w:hint="eastAsia"/>
          <w:sz w:val="32"/>
          <w:szCs w:val="32"/>
        </w:rPr>
        <w:t>，主要原因是追加了融入重庆市社区排查系统接口开发资金。</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）资源勘探信息等支出</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17.9%</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，主要原因是年初无预算，</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年增加了“小切口、大民生”创新应用专项资金。</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）住房保障支出</w:t>
      </w:r>
      <w:r>
        <w:rPr>
          <w:rFonts w:ascii="方正仿宋_GBK" w:eastAsia="方正仿宋_GBK" w:hAnsi="方正仿宋_GBK" w:cs="方正仿宋_GBK" w:hint="eastAsia"/>
          <w:sz w:val="32"/>
          <w:szCs w:val="32"/>
        </w:rPr>
        <w:t>8.52</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，较年初预算数减少</w:t>
      </w:r>
      <w:r>
        <w:rPr>
          <w:rFonts w:ascii="方正仿宋_GBK" w:eastAsia="方正仿宋_GBK" w:hAnsi="方正仿宋_GBK" w:cs="方正仿宋_GBK" w:hint="eastAsia"/>
          <w:sz w:val="32"/>
          <w:szCs w:val="32"/>
        </w:rPr>
        <w:t>0.57</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6.3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与年初预算基本持平。</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（四）一般公共预算财政拨款基本支出决算情况说明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年度一般公共预算财政拨款基本支出</w:t>
      </w:r>
      <w:r>
        <w:rPr>
          <w:rFonts w:ascii="方正仿宋_GBK" w:eastAsia="方正仿宋_GBK" w:hAnsi="方正仿宋_GBK" w:cs="方正仿宋_GBK" w:hint="eastAsia"/>
          <w:sz w:val="32"/>
          <w:szCs w:val="32"/>
        </w:rPr>
        <w:t>189.94</w:t>
      </w:r>
      <w:r>
        <w:rPr>
          <w:rFonts w:ascii="方正仿宋_GBK" w:eastAsia="方正仿宋_GBK" w:hAnsi="方正仿宋_GBK" w:cs="方正仿宋_GBK" w:hint="eastAsia"/>
          <w:sz w:val="32"/>
          <w:szCs w:val="32"/>
        </w:rPr>
        <w:t>万元。其中：人员经费</w:t>
      </w:r>
      <w:r>
        <w:rPr>
          <w:rFonts w:ascii="方正仿宋_GBK" w:eastAsia="方正仿宋_GBK" w:hAnsi="方正仿宋_GBK" w:cs="方正仿宋_GBK" w:hint="eastAsia"/>
          <w:sz w:val="32"/>
          <w:szCs w:val="32"/>
        </w:rPr>
        <w:t>157.8</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15.51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10.9%</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增加</w:t>
      </w:r>
      <w:r>
        <w:rPr>
          <w:rFonts w:ascii="方正仿宋_GBK" w:eastAsia="方正仿宋_GBK" w:hAnsi="方正仿宋_GBK" w:cs="方正仿宋_GBK" w:hint="eastAsia"/>
          <w:sz w:val="32"/>
          <w:szCs w:val="32"/>
        </w:rPr>
        <w:t>人员工资</w:t>
      </w:r>
      <w:r>
        <w:rPr>
          <w:rFonts w:ascii="方正仿宋_GBK" w:eastAsia="方正仿宋_GBK" w:hAnsi="方正仿宋_GBK" w:cs="方正仿宋_GBK" w:hint="eastAsia"/>
          <w:sz w:val="32"/>
          <w:szCs w:val="32"/>
        </w:rPr>
        <w:t>。人员经费用途主要包括基本工资、津贴补贴、奖金、社会保障缴费、住房公积金</w:t>
      </w:r>
      <w:r>
        <w:rPr>
          <w:rFonts w:ascii="方正仿宋_GBK" w:eastAsia="方正仿宋_GBK" w:hAnsi="方正仿宋_GBK" w:cs="方正仿宋_GBK" w:hint="eastAsia"/>
          <w:sz w:val="32"/>
          <w:szCs w:val="32"/>
        </w:rPr>
        <w:t>、医疗费、</w:t>
      </w:r>
      <w:r>
        <w:rPr>
          <w:rFonts w:ascii="方正仿宋_GBK" w:eastAsia="方正仿宋_GBK" w:hAnsi="方正仿宋_GBK" w:cs="方正仿宋_GBK" w:hint="eastAsia"/>
          <w:sz w:val="32"/>
          <w:szCs w:val="32"/>
        </w:rPr>
        <w:t>其他工资福利支出</w:t>
      </w:r>
      <w:r>
        <w:rPr>
          <w:rFonts w:ascii="方正仿宋_GBK" w:eastAsia="方正仿宋_GBK" w:hAnsi="方正仿宋_GBK" w:cs="方正仿宋_GBK" w:hint="eastAsia"/>
          <w:sz w:val="32"/>
          <w:szCs w:val="32"/>
        </w:rPr>
        <w:t>及对个人和家庭的生活补助</w:t>
      </w:r>
      <w:r>
        <w:rPr>
          <w:rFonts w:ascii="方正仿宋_GBK" w:eastAsia="方正仿宋_GBK" w:hAnsi="方正仿宋_GBK" w:cs="方正仿宋_GBK" w:hint="eastAsia"/>
          <w:sz w:val="32"/>
          <w:szCs w:val="32"/>
        </w:rPr>
        <w:t>。公用经费</w:t>
      </w:r>
      <w:r>
        <w:rPr>
          <w:rFonts w:ascii="方正仿宋_GBK" w:eastAsia="方正仿宋_GBK" w:hAnsi="方正仿宋_GBK" w:cs="方正仿宋_GBK" w:hint="eastAsia"/>
          <w:sz w:val="32"/>
          <w:szCs w:val="32"/>
        </w:rPr>
        <w:t>32.14</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hint="eastAsia"/>
          <w:sz w:val="32"/>
          <w:szCs w:val="32"/>
        </w:rPr>
        <w:t>12.78</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28.5%</w:t>
      </w:r>
      <w:r>
        <w:rPr>
          <w:rFonts w:ascii="方正仿宋_GBK" w:eastAsia="方正仿宋_GBK" w:hAnsi="方正仿宋_GBK" w:cs="方正仿宋_GBK" w:hint="eastAsia"/>
          <w:sz w:val="32"/>
          <w:szCs w:val="32"/>
        </w:rPr>
        <w:t>，主要原因是人员调出造成经费减少。公用经费用途主要包括办公费、邮电费、咨询费、差旅费等支出。</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（五）政府性基金预算收支决算情况说明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年度无政府性基金预算财政拨款收支。</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年度政府性基金预算财政拨款年初结转结余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万元，年末结转结余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万元。本年收入</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与上年持平</w:t>
      </w:r>
      <w:r>
        <w:rPr>
          <w:rFonts w:ascii="方正仿宋_GBK" w:eastAsia="方正仿宋_GBK" w:hAnsi="方正仿宋_GBK" w:cs="方正仿宋_GBK" w:hint="eastAsia"/>
          <w:sz w:val="32"/>
          <w:szCs w:val="32"/>
        </w:rPr>
        <w:t>。本年支出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与上年持平</w:t>
      </w:r>
      <w:r>
        <w:rPr>
          <w:rFonts w:ascii="方正仿宋_GBK" w:eastAsia="方正仿宋_GBK" w:hAnsi="方正仿宋_GBK" w:cs="方正仿宋_GBK" w:hint="eastAsia"/>
          <w:sz w:val="32"/>
          <w:szCs w:val="32"/>
        </w:rPr>
        <w:t>。</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（六）国有资本经营预算财政拨款支出决算情况说明</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w:t>
      </w:r>
      <w:r>
        <w:rPr>
          <w:rFonts w:ascii="方正仿宋_GBK" w:eastAsia="方正仿宋_GBK" w:hAnsi="方正仿宋_GBK" w:cs="方正仿宋_GBK" w:hint="eastAsia"/>
          <w:sz w:val="32"/>
          <w:szCs w:val="32"/>
        </w:rPr>
        <w:t>单</w:t>
      </w:r>
      <w:r>
        <w:rPr>
          <w:rFonts w:ascii="方正仿宋_GBK" w:eastAsia="方正仿宋_GBK" w:hAnsi="方正仿宋_GBK" w:cs="方正仿宋_GBK" w:hint="eastAsia"/>
          <w:sz w:val="32"/>
          <w:szCs w:val="32"/>
        </w:rPr>
        <w:t>位</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年度无国有资本经营预算财政拨款支出。</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年度国有资本经营预算财政拨</w:t>
      </w:r>
      <w:r w:rsidR="006A317E">
        <w:rPr>
          <w:rFonts w:ascii="方正仿宋_GBK" w:eastAsia="方正仿宋_GBK" w:hAnsi="方正仿宋_GBK" w:cs="方正仿宋_GBK" w:hint="eastAsia"/>
          <w:sz w:val="32"/>
          <w:szCs w:val="32"/>
        </w:rPr>
        <w:t>款</w:t>
      </w:r>
      <w:r>
        <w:rPr>
          <w:rFonts w:ascii="方正仿宋_GBK" w:eastAsia="方正仿宋_GBK" w:hAnsi="方正仿宋_GBK" w:cs="方正仿宋_GBK" w:hint="eastAsia"/>
          <w:sz w:val="32"/>
          <w:szCs w:val="32"/>
        </w:rPr>
        <w:t>本年支出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万元，基本支出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万元，项目支出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三、“三公”经费情况说明</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（一）“三公”经费支出总体情况说明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lastRenderedPageBreak/>
        <w:t>2022</w:t>
      </w:r>
      <w:r>
        <w:rPr>
          <w:rFonts w:ascii="方正仿宋_GBK" w:eastAsia="方正仿宋_GBK" w:hAnsi="方正仿宋_GBK" w:cs="方正仿宋_GBK" w:hint="eastAsia"/>
          <w:sz w:val="32"/>
          <w:szCs w:val="32"/>
        </w:rPr>
        <w:t>年度“三公”经费支出共计</w:t>
      </w:r>
      <w:r>
        <w:rPr>
          <w:rFonts w:ascii="方正仿宋_GBK" w:eastAsia="方正仿宋_GBK" w:hAnsi="方正仿宋_GBK" w:cs="方正仿宋_GBK" w:hint="eastAsia"/>
          <w:sz w:val="32"/>
          <w:szCs w:val="32"/>
        </w:rPr>
        <w:t>1.74</w:t>
      </w:r>
      <w:r>
        <w:rPr>
          <w:rFonts w:ascii="方正仿宋_GBK" w:eastAsia="方正仿宋_GBK" w:hAnsi="方正仿宋_GBK" w:cs="方正仿宋_GBK" w:hint="eastAsia"/>
          <w:sz w:val="32"/>
          <w:szCs w:val="32"/>
        </w:rPr>
        <w:t>万元，较年初预算数减少</w:t>
      </w:r>
      <w:r>
        <w:rPr>
          <w:rFonts w:ascii="方正仿宋_GBK" w:eastAsia="方正仿宋_GBK" w:hAnsi="方正仿宋_GBK" w:cs="方正仿宋_GBK" w:hint="eastAsia"/>
          <w:sz w:val="32"/>
          <w:szCs w:val="32"/>
        </w:rPr>
        <w:t>0.06</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3.3%</w:t>
      </w:r>
      <w:r>
        <w:rPr>
          <w:rFonts w:ascii="方正仿宋_GBK" w:eastAsia="方正仿宋_GBK" w:hAnsi="方正仿宋_GBK" w:cs="方正仿宋_GBK" w:hint="eastAsia"/>
          <w:sz w:val="32"/>
          <w:szCs w:val="32"/>
        </w:rPr>
        <w:t>，主要原因是认真贯彻落实中央八项规定精神，从严控制“三公”经费，严格落实公车使用规定，从严控制公车运行维护成本，强化公务接待支出管理，严格遵守公务接待开支范围和开支标准，规范因公出国（境）活动，全年未安排人员出国出访。较上年支出数减少</w:t>
      </w:r>
      <w:r>
        <w:rPr>
          <w:rFonts w:ascii="方正仿宋_GBK" w:eastAsia="方正仿宋_GBK" w:hAnsi="方正仿宋_GBK" w:cs="方正仿宋_GBK" w:hint="eastAsia"/>
          <w:sz w:val="32"/>
          <w:szCs w:val="32"/>
        </w:rPr>
        <w:t>0.03</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，主要原因是认真贯彻落实中央八项规定精神，从严控制“三公”经费，严格落实公车使用规定，从严控制公车运行维护成本，强化公务接待支出管理，严格遵守公务接待开支范围和开支</w:t>
      </w:r>
      <w:r>
        <w:rPr>
          <w:rFonts w:ascii="方正仿宋_GBK" w:eastAsia="方正仿宋_GBK" w:hAnsi="方正仿宋_GBK" w:cs="方正仿宋_GBK" w:hint="eastAsia"/>
          <w:sz w:val="32"/>
          <w:szCs w:val="32"/>
        </w:rPr>
        <w:t>标准，规范因公出国（境）活动，全年未安排人员出国出访。</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（二）“三公”经费分项支出情况</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因公出国（境）费用</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万元。费用支出较年初预算数增加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。较上年支出数增加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与年初预算和上年决算持平。</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公务车购置费</w:t>
      </w:r>
      <w:r>
        <w:rPr>
          <w:rFonts w:ascii="方正仿宋_GBK" w:eastAsia="方正仿宋_GBK" w:hAnsi="方正仿宋_GBK" w:cs="方正仿宋_GBK" w:hint="eastAsia"/>
          <w:sz w:val="32"/>
          <w:szCs w:val="32"/>
        </w:rPr>
        <w:t xml:space="preserve"> 0 </w:t>
      </w:r>
      <w:r>
        <w:rPr>
          <w:rFonts w:ascii="方正仿宋_GBK" w:eastAsia="方正仿宋_GBK" w:hAnsi="方正仿宋_GBK" w:cs="方正仿宋_GBK" w:hint="eastAsia"/>
          <w:sz w:val="32"/>
          <w:szCs w:val="32"/>
        </w:rPr>
        <w:t>万元。费用支出较年初预算数增加</w:t>
      </w:r>
      <w:r>
        <w:rPr>
          <w:rFonts w:ascii="方正仿宋_GBK" w:eastAsia="方正仿宋_GBK" w:hAnsi="方正仿宋_GBK" w:cs="方正仿宋_GBK" w:hint="eastAsia"/>
          <w:sz w:val="32"/>
          <w:szCs w:val="32"/>
        </w:rPr>
        <w:t xml:space="preserve"> 0 </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 xml:space="preserve"> 0.0%</w:t>
      </w:r>
      <w:r>
        <w:rPr>
          <w:rFonts w:ascii="方正仿宋_GBK" w:eastAsia="方正仿宋_GBK" w:hAnsi="方正仿宋_GBK" w:cs="方正仿宋_GBK" w:hint="eastAsia"/>
          <w:sz w:val="32"/>
          <w:szCs w:val="32"/>
        </w:rPr>
        <w:t>。较上年支出数增加</w:t>
      </w:r>
      <w:r>
        <w:rPr>
          <w:rFonts w:ascii="方正仿宋_GBK" w:eastAsia="方正仿宋_GBK" w:hAnsi="方正仿宋_GBK" w:cs="方正仿宋_GBK" w:hint="eastAsia"/>
          <w:sz w:val="32"/>
          <w:szCs w:val="32"/>
        </w:rPr>
        <w:t xml:space="preserve"> 0 </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 xml:space="preserve"> 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与年初预算和上年决算持平。</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w:t>
      </w:r>
      <w:r w:rsidR="006A317E">
        <w:rPr>
          <w:rFonts w:ascii="方正仿宋_GBK" w:eastAsia="方正仿宋_GBK" w:hAnsi="方正仿宋_GBK" w:cs="方正仿宋_GBK" w:hint="eastAsia"/>
          <w:sz w:val="32"/>
          <w:szCs w:val="32"/>
        </w:rPr>
        <w:t>用</w:t>
      </w:r>
      <w:r>
        <w:rPr>
          <w:rFonts w:ascii="方正仿宋_GBK" w:eastAsia="方正仿宋_GBK" w:hAnsi="方正仿宋_GBK" w:cs="方正仿宋_GBK" w:hint="eastAsia"/>
          <w:sz w:val="32"/>
          <w:szCs w:val="32"/>
        </w:rPr>
        <w:t>车运行维护费</w:t>
      </w:r>
      <w:r>
        <w:rPr>
          <w:rFonts w:ascii="方正仿宋_GBK" w:eastAsia="方正仿宋_GBK" w:hAnsi="方正仿宋_GBK" w:cs="方正仿宋_GBK" w:hint="eastAsia"/>
          <w:sz w:val="32"/>
          <w:szCs w:val="32"/>
        </w:rPr>
        <w:t>0.80</w:t>
      </w:r>
      <w:r>
        <w:rPr>
          <w:rFonts w:ascii="方正仿宋_GBK" w:eastAsia="方正仿宋_GBK" w:hAnsi="方正仿宋_GBK" w:cs="方正仿宋_GBK" w:hint="eastAsia"/>
          <w:sz w:val="32"/>
          <w:szCs w:val="32"/>
        </w:rPr>
        <w:t>万元，主要用于机要文件交换、市内因公出行等工作所需车辆的燃料费、维修费、过桥过路费、保险费等。费</w:t>
      </w:r>
      <w:r>
        <w:rPr>
          <w:rFonts w:ascii="方正仿宋_GBK" w:eastAsia="方正仿宋_GBK" w:hAnsi="方正仿宋_GBK" w:cs="方正仿宋_GBK" w:hint="eastAsia"/>
          <w:sz w:val="32"/>
          <w:szCs w:val="32"/>
        </w:rPr>
        <w:t>用支出较年初预算数增加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与年初预算持平。</w:t>
      </w:r>
      <w:r>
        <w:rPr>
          <w:rFonts w:ascii="方正仿宋_GBK" w:eastAsia="方正仿宋_GBK" w:hAnsi="方正仿宋_GBK" w:cs="方正仿宋_GBK" w:hint="eastAsia"/>
          <w:sz w:val="32"/>
          <w:szCs w:val="32"/>
        </w:rPr>
        <w:t>较上年支出数增加</w:t>
      </w:r>
      <w:r>
        <w:rPr>
          <w:rFonts w:ascii="方正仿宋_GBK" w:eastAsia="方正仿宋_GBK" w:hAnsi="方正仿宋_GBK" w:cs="方正仿宋_GBK" w:hint="eastAsia"/>
          <w:sz w:val="32"/>
          <w:szCs w:val="32"/>
        </w:rPr>
        <w:t>0.01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，主要原</w:t>
      </w:r>
      <w:r>
        <w:rPr>
          <w:rFonts w:ascii="方正仿宋_GBK" w:eastAsia="方正仿宋_GBK" w:hAnsi="方正仿宋_GBK" w:cs="方正仿宋_GBK" w:hint="eastAsia"/>
          <w:sz w:val="32"/>
          <w:szCs w:val="32"/>
        </w:rPr>
        <w:lastRenderedPageBreak/>
        <w:t>因是</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年招商引资工作导致经费增加</w:t>
      </w:r>
      <w:r>
        <w:rPr>
          <w:rFonts w:ascii="方正仿宋_GBK" w:eastAsia="方正仿宋_GBK" w:hAnsi="方正仿宋_GBK" w:cs="方正仿宋_GBK" w:hint="eastAsia"/>
          <w:sz w:val="32"/>
          <w:szCs w:val="32"/>
        </w:rPr>
        <w:t>。</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公务接待费</w:t>
      </w:r>
      <w:r>
        <w:rPr>
          <w:rFonts w:ascii="方正仿宋_GBK" w:eastAsia="方正仿宋_GBK" w:hAnsi="方正仿宋_GBK" w:cs="方正仿宋_GBK" w:hint="eastAsia"/>
          <w:sz w:val="32"/>
          <w:szCs w:val="32"/>
        </w:rPr>
        <w:t>0.94</w:t>
      </w:r>
      <w:r>
        <w:rPr>
          <w:rFonts w:ascii="方正仿宋_GBK" w:eastAsia="方正仿宋_GBK" w:hAnsi="方正仿宋_GBK" w:cs="方正仿宋_GBK" w:hint="eastAsia"/>
          <w:sz w:val="32"/>
          <w:szCs w:val="32"/>
        </w:rPr>
        <w:t>万元，主要用于接待上级部门检查指导工作，招商引资等接待支出。费用支出较年初预算数减少</w:t>
      </w:r>
      <w:r>
        <w:rPr>
          <w:rFonts w:ascii="方正仿宋_GBK" w:eastAsia="方正仿宋_GBK" w:hAnsi="方正仿宋_GBK" w:cs="方正仿宋_GBK" w:hint="eastAsia"/>
          <w:sz w:val="32"/>
          <w:szCs w:val="32"/>
        </w:rPr>
        <w:t>0.06</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，主要原因是本单位严格贯彻落实中央八项规定精神，严格执行公务接待开支范围和开支标准，严格控制陪餐人数。较上年支出数减少</w:t>
      </w:r>
      <w:r>
        <w:rPr>
          <w:rFonts w:ascii="方正仿宋_GBK" w:eastAsia="方正仿宋_GBK" w:hAnsi="方正仿宋_GBK" w:cs="方正仿宋_GBK" w:hint="eastAsia"/>
          <w:sz w:val="32"/>
          <w:szCs w:val="32"/>
        </w:rPr>
        <w:t>0.04</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4.1%</w:t>
      </w:r>
      <w:r>
        <w:rPr>
          <w:rFonts w:ascii="方正仿宋_GBK" w:eastAsia="方正仿宋_GBK" w:hAnsi="方正仿宋_GBK" w:cs="方正仿宋_GBK" w:hint="eastAsia"/>
          <w:sz w:val="32"/>
          <w:szCs w:val="32"/>
        </w:rPr>
        <w:t>，主要原因是本单位严格贯彻落实中央八项规定精神，严格执行公务接待开支范围和开支标准，严格控制</w:t>
      </w:r>
      <w:r>
        <w:rPr>
          <w:rFonts w:ascii="方正仿宋_GBK" w:eastAsia="方正仿宋_GBK" w:hAnsi="方正仿宋_GBK" w:cs="方正仿宋_GBK" w:hint="eastAsia"/>
          <w:sz w:val="32"/>
          <w:szCs w:val="32"/>
        </w:rPr>
        <w:t>陪餐人数。</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（三）“三公”经费实物量情况</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因公出国（境）共计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个团组，</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人；公务用车购置</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辆，公务车保有量为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辆；国内公务接待</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139</w:t>
      </w:r>
      <w:r>
        <w:rPr>
          <w:rFonts w:ascii="方正仿宋_GBK" w:eastAsia="方正仿宋_GBK" w:hAnsi="方正仿宋_GBK" w:cs="方正仿宋_GBK" w:hint="eastAsia"/>
          <w:sz w:val="32"/>
          <w:szCs w:val="32"/>
        </w:rPr>
        <w:t>人，其中：国内外事接待</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人；国（境）外公务接待</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人均接待费</w:t>
      </w:r>
      <w:r>
        <w:rPr>
          <w:rFonts w:ascii="方正仿宋_GBK" w:eastAsia="方正仿宋_GBK" w:hAnsi="方正仿宋_GBK" w:cs="方正仿宋_GBK" w:hint="eastAsia"/>
          <w:sz w:val="32"/>
          <w:szCs w:val="32"/>
        </w:rPr>
        <w:t>67.68</w:t>
      </w:r>
      <w:r>
        <w:rPr>
          <w:rFonts w:ascii="方正仿宋_GBK" w:eastAsia="方正仿宋_GBK" w:hAnsi="方正仿宋_GBK" w:cs="方正仿宋_GBK" w:hint="eastAsia"/>
          <w:sz w:val="32"/>
          <w:szCs w:val="32"/>
        </w:rPr>
        <w:t>元，车均购置费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万元，车均维护费</w:t>
      </w:r>
      <w:r>
        <w:rPr>
          <w:rFonts w:ascii="方正仿宋_GBK" w:eastAsia="方正仿宋_GBK" w:hAnsi="方正仿宋_GBK" w:cs="方正仿宋_GBK" w:hint="eastAsia"/>
          <w:sz w:val="32"/>
          <w:szCs w:val="32"/>
        </w:rPr>
        <w:t>0.8</w:t>
      </w:r>
      <w:r>
        <w:rPr>
          <w:rFonts w:ascii="方正仿宋_GBK" w:eastAsia="方正仿宋_GBK" w:hAnsi="方正仿宋_GBK" w:cs="方正仿宋_GBK" w:hint="eastAsia"/>
          <w:sz w:val="32"/>
          <w:szCs w:val="32"/>
        </w:rPr>
        <w:t>万元。</w:t>
      </w: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四、其他需要说明的事项</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）机关运行经费情况说明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机关运行经费支出</w:t>
      </w:r>
      <w:r>
        <w:rPr>
          <w:rFonts w:ascii="方正仿宋_GBK" w:eastAsia="方正仿宋_GBK" w:hAnsi="方正仿宋_GBK" w:cs="方正仿宋_GBK" w:hint="eastAsia"/>
          <w:sz w:val="32"/>
          <w:szCs w:val="32"/>
        </w:rPr>
        <w:t>32.14</w:t>
      </w:r>
      <w:r>
        <w:rPr>
          <w:rFonts w:ascii="方正仿宋_GBK" w:eastAsia="方正仿宋_GBK" w:hAnsi="方正仿宋_GBK" w:cs="方正仿宋_GBK" w:hint="eastAsia"/>
          <w:sz w:val="32"/>
          <w:szCs w:val="32"/>
        </w:rPr>
        <w:t>万元，较上年减少</w:t>
      </w:r>
      <w:r>
        <w:rPr>
          <w:rFonts w:ascii="方正仿宋_GBK" w:eastAsia="方正仿宋_GBK" w:hAnsi="方正仿宋_GBK" w:cs="方正仿宋_GBK" w:hint="eastAsia"/>
          <w:sz w:val="32"/>
          <w:szCs w:val="32"/>
        </w:rPr>
        <w:t>12.78</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hint="eastAsia"/>
          <w:sz w:val="32"/>
          <w:szCs w:val="32"/>
        </w:rPr>
        <w:t>28.5%</w:t>
      </w:r>
      <w:r>
        <w:rPr>
          <w:rFonts w:ascii="方正仿宋_GBK" w:eastAsia="方正仿宋_GBK" w:hAnsi="方正仿宋_GBK" w:cs="方正仿宋_GBK" w:hint="eastAsia"/>
          <w:sz w:val="32"/>
          <w:szCs w:val="32"/>
        </w:rPr>
        <w:t>，主要原因是人员调出造成经费减少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比年初预算数增加</w:t>
      </w:r>
      <w:r>
        <w:rPr>
          <w:rFonts w:ascii="方正仿宋_GBK" w:eastAsia="方正仿宋_GBK" w:hAnsi="方正仿宋_GBK" w:cs="方正仿宋_GBK" w:hint="eastAsia"/>
          <w:sz w:val="32"/>
          <w:szCs w:val="32"/>
        </w:rPr>
        <w:t>4.04</w:t>
      </w:r>
      <w:r>
        <w:rPr>
          <w:rFonts w:ascii="方正仿宋_GBK" w:eastAsia="方正仿宋_GBK" w:hAnsi="方正仿宋_GBK" w:cs="方正仿宋_GBK" w:hint="eastAsia"/>
          <w:sz w:val="32"/>
          <w:szCs w:val="32"/>
        </w:rPr>
        <w:t>万元，增加</w:t>
      </w:r>
      <w:r>
        <w:rPr>
          <w:rFonts w:ascii="方正仿宋_GBK" w:eastAsia="方正仿宋_GBK" w:hAnsi="方正仿宋_GBK" w:cs="方正仿宋_GBK" w:hint="eastAsia"/>
          <w:sz w:val="32"/>
          <w:szCs w:val="32"/>
        </w:rPr>
        <w:t>14.4%</w:t>
      </w:r>
      <w:r>
        <w:rPr>
          <w:rFonts w:ascii="方正仿宋_GBK" w:eastAsia="方正仿宋_GBK" w:hAnsi="方正仿宋_GBK" w:cs="方正仿宋_GBK" w:hint="eastAsia"/>
          <w:sz w:val="32"/>
          <w:szCs w:val="32"/>
        </w:rPr>
        <w:t>，主要原因是增加了工会经费、差旅费等。机关运行经费</w:t>
      </w:r>
      <w:r>
        <w:rPr>
          <w:rFonts w:ascii="方正仿宋_GBK" w:eastAsia="方正仿宋_GBK" w:hAnsi="方正仿宋_GBK" w:cs="方正仿宋_GBK" w:hint="eastAsia"/>
          <w:sz w:val="32"/>
          <w:szCs w:val="32"/>
        </w:rPr>
        <w:t>主要用于开支办公费、差旅费、</w:t>
      </w:r>
      <w:r w:rsidR="006A317E">
        <w:rPr>
          <w:rFonts w:ascii="方正仿宋_GBK" w:eastAsia="方正仿宋_GBK" w:hAnsi="方正仿宋_GBK" w:cs="方正仿宋_GBK" w:hint="eastAsia"/>
          <w:sz w:val="32"/>
          <w:szCs w:val="32"/>
        </w:rPr>
        <w:t>水</w:t>
      </w:r>
      <w:r>
        <w:rPr>
          <w:rFonts w:ascii="方正仿宋_GBK" w:eastAsia="方正仿宋_GBK" w:hAnsi="方正仿宋_GBK" w:cs="方正仿宋_GBK" w:hint="eastAsia"/>
          <w:sz w:val="32"/>
          <w:szCs w:val="32"/>
        </w:rPr>
        <w:t>电费、邮电费、劳务费、物业管理费、公务</w:t>
      </w:r>
      <w:r w:rsidR="006A317E">
        <w:rPr>
          <w:rFonts w:ascii="方正仿宋_GBK" w:eastAsia="方正仿宋_GBK" w:hAnsi="方正仿宋_GBK" w:cs="方正仿宋_GBK" w:hint="eastAsia"/>
          <w:sz w:val="32"/>
          <w:szCs w:val="32"/>
        </w:rPr>
        <w:t>用</w:t>
      </w:r>
      <w:r>
        <w:rPr>
          <w:rFonts w:ascii="方正仿宋_GBK" w:eastAsia="方正仿宋_GBK" w:hAnsi="方正仿宋_GBK" w:cs="方正仿宋_GBK" w:hint="eastAsia"/>
          <w:sz w:val="32"/>
          <w:szCs w:val="32"/>
        </w:rPr>
        <w:t>车运行维护</w:t>
      </w:r>
      <w:r>
        <w:rPr>
          <w:rFonts w:ascii="方正仿宋_GBK" w:eastAsia="方正仿宋_GBK" w:hAnsi="方正仿宋_GBK" w:cs="方正仿宋_GBK" w:hint="eastAsia"/>
          <w:sz w:val="32"/>
          <w:szCs w:val="32"/>
        </w:rPr>
        <w:lastRenderedPageBreak/>
        <w:t>费、其他交通费等。</w:t>
      </w:r>
      <w:bookmarkStart w:id="0" w:name="_GoBack"/>
      <w:bookmarkEnd w:id="0"/>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）国有资产占用情况说明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截至</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共有车辆</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辆，其中，副部（省）级及以上领导用车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辆、主要领导干部用车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辆、机要通信用车</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辆、应急保障用车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辆、执法执勤用车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辆，特种专业技术用车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辆，离退休干部用车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辆，其他用车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单价</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万元（含）以上设备（不含车辆）</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台（套）。</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）政府采购支出情况说明</w:t>
      </w:r>
    </w:p>
    <w:p w:rsidR="004B413B" w:rsidRDefault="00907A32">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政府采购支出总额</w:t>
      </w:r>
      <w:r>
        <w:rPr>
          <w:rFonts w:ascii="方正仿宋_GBK" w:eastAsia="方正仿宋_GBK" w:hAnsi="方正仿宋_GBK" w:cs="方正仿宋_GBK" w:hint="eastAsia"/>
          <w:sz w:val="32"/>
          <w:szCs w:val="32"/>
        </w:rPr>
        <w:t>174.79</w:t>
      </w:r>
      <w:r>
        <w:rPr>
          <w:rFonts w:ascii="方正仿宋_GBK" w:eastAsia="方正仿宋_GBK" w:hAnsi="方正仿宋_GBK" w:cs="方正仿宋_GBK" w:hint="eastAsia"/>
          <w:sz w:val="32"/>
          <w:szCs w:val="32"/>
        </w:rPr>
        <w:t>万元，其中：政府采购货物支出</w:t>
      </w:r>
      <w:r>
        <w:rPr>
          <w:rFonts w:ascii="方正仿宋_GBK" w:eastAsia="方正仿宋_GBK" w:hAnsi="方正仿宋_GBK" w:cs="方正仿宋_GBK" w:hint="eastAsia"/>
          <w:sz w:val="32"/>
          <w:szCs w:val="32"/>
        </w:rPr>
        <w:t>174.79</w:t>
      </w:r>
      <w:r>
        <w:rPr>
          <w:rFonts w:ascii="方正仿宋_GBK" w:eastAsia="方正仿宋_GBK" w:hAnsi="方正仿宋_GBK" w:cs="方正仿宋_GBK" w:hint="eastAsia"/>
          <w:sz w:val="32"/>
          <w:szCs w:val="32"/>
        </w:rPr>
        <w:t>万元、政府采购工程支出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万元、政府采购服务支出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万元。授予中小企业合同金额</w:t>
      </w:r>
      <w:r>
        <w:rPr>
          <w:rFonts w:ascii="方正仿宋_GBK" w:eastAsia="方正仿宋_GBK" w:hAnsi="方正仿宋_GBK" w:cs="方正仿宋_GBK" w:hint="eastAsia"/>
          <w:sz w:val="32"/>
          <w:szCs w:val="32"/>
        </w:rPr>
        <w:t>174.79</w:t>
      </w:r>
      <w:r>
        <w:rPr>
          <w:rFonts w:ascii="方正仿宋_GBK" w:eastAsia="方正仿宋_GBK" w:hAnsi="方正仿宋_GBK" w:cs="方正仿宋_GBK" w:hint="eastAsia"/>
          <w:sz w:val="32"/>
          <w:szCs w:val="32"/>
        </w:rPr>
        <w:t>万元，占政府采购支出总额的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，其中：授予小微企业合同金额</w:t>
      </w:r>
      <w:r>
        <w:rPr>
          <w:rFonts w:ascii="方正仿宋_GBK" w:eastAsia="方正仿宋_GBK" w:hAnsi="方正仿宋_GBK" w:cs="方正仿宋_GBK" w:hint="eastAsia"/>
          <w:sz w:val="32"/>
          <w:szCs w:val="32"/>
        </w:rPr>
        <w:t>174.79</w:t>
      </w:r>
      <w:r>
        <w:rPr>
          <w:rFonts w:ascii="方正仿宋_GBK" w:eastAsia="方正仿宋_GBK" w:hAnsi="方正仿宋_GBK" w:cs="方正仿宋_GBK" w:hint="eastAsia"/>
          <w:sz w:val="32"/>
          <w:szCs w:val="32"/>
        </w:rPr>
        <w:t>万元，占政府采购支出总额的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。主要用于采购</w:t>
      </w:r>
      <w:r>
        <w:rPr>
          <w:rFonts w:ascii="方正仿宋_GBK" w:eastAsia="方正仿宋_GBK" w:hAnsi="方正仿宋_GBK" w:cs="方正仿宋_GBK" w:hint="eastAsia"/>
          <w:sz w:val="32"/>
          <w:szCs w:val="32"/>
        </w:rPr>
        <w:t>万州区富民小区与学府小区智慧升级改造建设项目。</w:t>
      </w: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五、预算绩效管理情况说明</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（一）预算绩效管理工作开展情况</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根据预算绩效管理要求，我局对</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个</w:t>
      </w:r>
      <w:r>
        <w:rPr>
          <w:rFonts w:ascii="方正仿宋_GBK" w:eastAsia="方正仿宋_GBK" w:hAnsi="方正仿宋_GBK" w:cs="方正仿宋_GBK" w:hint="eastAsia"/>
          <w:sz w:val="32"/>
          <w:szCs w:val="32"/>
        </w:rPr>
        <w:t>一般性</w:t>
      </w:r>
      <w:r>
        <w:rPr>
          <w:rFonts w:ascii="方正仿宋_GBK" w:eastAsia="方正仿宋_GBK" w:hAnsi="方正仿宋_GBK" w:cs="方正仿宋_GBK" w:hint="eastAsia"/>
          <w:sz w:val="32"/>
          <w:szCs w:val="32"/>
        </w:rPr>
        <w:t>项目开展了绩效自评，涉及</w:t>
      </w:r>
      <w:r>
        <w:rPr>
          <w:rFonts w:ascii="方正仿宋_GBK" w:eastAsia="方正仿宋_GBK" w:hAnsi="方正仿宋_GBK" w:cs="方正仿宋_GBK" w:hint="eastAsia"/>
          <w:sz w:val="32"/>
          <w:szCs w:val="32"/>
        </w:rPr>
        <w:t>财政拨款项目支出</w:t>
      </w:r>
      <w:r>
        <w:rPr>
          <w:rFonts w:ascii="方正仿宋_GBK" w:eastAsia="方正仿宋_GBK" w:hAnsi="方正仿宋_GBK" w:cs="方正仿宋_GBK" w:hint="eastAsia"/>
          <w:sz w:val="32"/>
          <w:szCs w:val="32"/>
        </w:rPr>
        <w:t>145.18</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万元。</w:t>
      </w:r>
    </w:p>
    <w:p w:rsidR="004B413B" w:rsidRDefault="00907A3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（二）绩效自评结果</w:t>
      </w:r>
    </w:p>
    <w:tbl>
      <w:tblPr>
        <w:tblW w:w="8355" w:type="dxa"/>
        <w:tblInd w:w="93" w:type="dxa"/>
        <w:tblLayout w:type="fixed"/>
        <w:tblLook w:val="04A0"/>
      </w:tblPr>
      <w:tblGrid>
        <w:gridCol w:w="600"/>
        <w:gridCol w:w="750"/>
        <w:gridCol w:w="675"/>
        <w:gridCol w:w="720"/>
        <w:gridCol w:w="915"/>
        <w:gridCol w:w="690"/>
        <w:gridCol w:w="705"/>
        <w:gridCol w:w="945"/>
        <w:gridCol w:w="780"/>
        <w:gridCol w:w="795"/>
        <w:gridCol w:w="780"/>
      </w:tblGrid>
      <w:tr w:rsidR="004B413B">
        <w:trPr>
          <w:trHeight w:val="780"/>
        </w:trPr>
        <w:tc>
          <w:tcPr>
            <w:tcW w:w="8355" w:type="dxa"/>
            <w:gridSpan w:val="11"/>
            <w:tcBorders>
              <w:top w:val="nil"/>
              <w:left w:val="nil"/>
              <w:bottom w:val="single" w:sz="4" w:space="0" w:color="000000"/>
              <w:right w:val="nil"/>
            </w:tcBorders>
            <w:noWrap/>
            <w:vAlign w:val="center"/>
          </w:tcPr>
          <w:p w:rsidR="004B413B" w:rsidRDefault="00907A32">
            <w:pPr>
              <w:widowControl/>
              <w:spacing w:line="600" w:lineRule="exact"/>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lang/>
              </w:rPr>
              <w:t>2022</w:t>
            </w:r>
            <w:r>
              <w:rPr>
                <w:rFonts w:ascii="Times New Roman" w:eastAsia="方正小标宋_GBK" w:hAnsi="Times New Roman" w:cs="Times New Roman"/>
                <w:kern w:val="0"/>
                <w:sz w:val="36"/>
                <w:szCs w:val="36"/>
                <w:lang/>
              </w:rPr>
              <w:t>年度</w:t>
            </w:r>
            <w:r>
              <w:rPr>
                <w:rFonts w:ascii="Times New Roman" w:eastAsia="方正小标宋_GBK" w:hAnsi="Times New Roman" w:cs="Times New Roman"/>
                <w:kern w:val="0"/>
                <w:sz w:val="36"/>
                <w:szCs w:val="36"/>
                <w:lang/>
              </w:rPr>
              <w:t>一般性</w:t>
            </w:r>
            <w:r>
              <w:rPr>
                <w:rFonts w:ascii="Times New Roman" w:eastAsia="方正小标宋_GBK" w:hAnsi="Times New Roman" w:cs="Times New Roman"/>
                <w:kern w:val="0"/>
                <w:sz w:val="36"/>
                <w:szCs w:val="36"/>
                <w:lang/>
              </w:rPr>
              <w:t>项目支出绩效自评表</w:t>
            </w:r>
          </w:p>
        </w:tc>
      </w:tr>
      <w:tr w:rsidR="004B413B">
        <w:trPr>
          <w:trHeight w:val="600"/>
        </w:trPr>
        <w:tc>
          <w:tcPr>
            <w:tcW w:w="60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lastRenderedPageBreak/>
              <w:t>序号</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项目名称</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指标名称</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指标性质</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指标值</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计量单位</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指标权重</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全年完成值</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指标得分</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说明</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lang/>
              </w:rPr>
              <w:t>自评得分</w:t>
            </w:r>
          </w:p>
        </w:tc>
      </w:tr>
      <w:tr w:rsidR="004B413B">
        <w:trPr>
          <w:trHeight w:val="432"/>
        </w:trPr>
        <w:tc>
          <w:tcPr>
            <w:tcW w:w="600" w:type="dxa"/>
            <w:vMerge w:val="restart"/>
            <w:tcBorders>
              <w:top w:val="single" w:sz="4" w:space="0" w:color="000000"/>
              <w:left w:val="single" w:sz="4" w:space="0" w:color="000000"/>
              <w:right w:val="single" w:sz="4" w:space="0" w:color="000000"/>
            </w:tcBorders>
            <w:noWrap/>
            <w:vAlign w:val="center"/>
          </w:tcPr>
          <w:p w:rsidR="004B413B" w:rsidRDefault="00907A32">
            <w:pPr>
              <w:spacing w:line="600" w:lineRule="exact"/>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t>1</w:t>
            </w:r>
          </w:p>
        </w:tc>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万州区政府政务通信电话会议系统服务费</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年度</w:t>
            </w:r>
            <w:r w:rsidR="00907A32">
              <w:rPr>
                <w:rFonts w:ascii="方正仿宋_GBK" w:eastAsia="方正仿宋_GBK" w:hAnsi="方正仿宋_GBK" w:cs="方正仿宋_GBK" w:hint="eastAsia"/>
                <w:sz w:val="22"/>
                <w:szCs w:val="22"/>
              </w:rPr>
              <w:t>预算执行</w:t>
            </w:r>
            <w:r>
              <w:rPr>
                <w:rFonts w:ascii="方正仿宋_GBK" w:eastAsia="方正仿宋_GBK" w:hAnsi="方正仿宋_GBK" w:cs="方正仿宋_GBK" w:hint="eastAsia"/>
                <w:sz w:val="22"/>
                <w:szCs w:val="22"/>
              </w:rPr>
              <w:t>率</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color w:val="000000"/>
                <w:kern w:val="0"/>
                <w:sz w:val="22"/>
                <w:szCs w:val="22"/>
                <w:lang/>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val="restart"/>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r>
      <w:tr w:rsidR="004B413B">
        <w:trPr>
          <w:trHeight w:val="432"/>
        </w:trPr>
        <w:tc>
          <w:tcPr>
            <w:tcW w:w="600" w:type="dxa"/>
            <w:vMerge/>
            <w:tcBorders>
              <w:left w:val="single" w:sz="4" w:space="0" w:color="000000"/>
              <w:right w:val="single" w:sz="4" w:space="0" w:color="000000"/>
            </w:tcBorders>
            <w:noWrap/>
            <w:vAlign w:val="center"/>
          </w:tcPr>
          <w:p w:rsidR="004B413B" w:rsidRDefault="004B413B">
            <w:pPr>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年稳定运行天数</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365</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天</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365</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r w:rsidR="004B413B">
        <w:trPr>
          <w:trHeight w:val="432"/>
        </w:trPr>
        <w:tc>
          <w:tcPr>
            <w:tcW w:w="600" w:type="dxa"/>
            <w:vMerge/>
            <w:tcBorders>
              <w:left w:val="single" w:sz="4" w:space="0" w:color="000000"/>
              <w:right w:val="single" w:sz="4" w:space="0" w:color="000000"/>
            </w:tcBorders>
            <w:noWrap/>
            <w:vAlign w:val="center"/>
          </w:tcPr>
          <w:p w:rsidR="004B413B" w:rsidRDefault="004B413B">
            <w:pPr>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系统故障修复处理时间</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24</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小时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r w:rsidR="004B413B">
        <w:trPr>
          <w:trHeight w:val="432"/>
        </w:trPr>
        <w:tc>
          <w:tcPr>
            <w:tcW w:w="600" w:type="dxa"/>
            <w:vMerge/>
            <w:tcBorders>
              <w:left w:val="single" w:sz="4" w:space="0" w:color="000000"/>
              <w:right w:val="single" w:sz="4" w:space="0" w:color="000000"/>
            </w:tcBorders>
            <w:noWrap/>
            <w:vAlign w:val="center"/>
          </w:tcPr>
          <w:p w:rsidR="004B413B" w:rsidRDefault="004B413B">
            <w:pPr>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提升工作效率</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25</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r w:rsidR="004B413B">
        <w:trPr>
          <w:trHeight w:val="432"/>
        </w:trPr>
        <w:tc>
          <w:tcPr>
            <w:tcW w:w="600" w:type="dxa"/>
            <w:vMerge/>
            <w:tcBorders>
              <w:left w:val="single" w:sz="4" w:space="0" w:color="000000"/>
              <w:right w:val="single" w:sz="4" w:space="0" w:color="000000"/>
            </w:tcBorders>
            <w:noWrap/>
            <w:vAlign w:val="center"/>
          </w:tcPr>
          <w:p w:rsidR="004B413B" w:rsidRDefault="004B413B">
            <w:pPr>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使用者满意度</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r w:rsidR="004B413B">
        <w:trPr>
          <w:trHeight w:val="432"/>
        </w:trPr>
        <w:tc>
          <w:tcPr>
            <w:tcW w:w="600" w:type="dxa"/>
            <w:vMerge w:val="restart"/>
            <w:tcBorders>
              <w:top w:val="single" w:sz="4" w:space="0" w:color="000000"/>
              <w:left w:val="single" w:sz="4" w:space="0" w:color="000000"/>
              <w:right w:val="single" w:sz="4" w:space="0" w:color="000000"/>
            </w:tcBorders>
            <w:noWrap/>
            <w:vAlign w:val="center"/>
          </w:tcPr>
          <w:p w:rsidR="004B413B" w:rsidRDefault="00907A32">
            <w:pPr>
              <w:spacing w:line="600" w:lineRule="exact"/>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lang/>
              </w:rPr>
              <w:lastRenderedPageBreak/>
              <w:t>2</w:t>
            </w:r>
          </w:p>
        </w:tc>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全区政务信息化项目管理专项工作经费</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年度</w:t>
            </w:r>
            <w:r w:rsidR="00907A32">
              <w:rPr>
                <w:rFonts w:ascii="方正仿宋_GBK" w:eastAsia="方正仿宋_GBK" w:hAnsi="方正仿宋_GBK" w:cs="方正仿宋_GBK" w:hint="eastAsia"/>
                <w:sz w:val="22"/>
                <w:szCs w:val="22"/>
              </w:rPr>
              <w:t>预算执行</w:t>
            </w:r>
            <w:r>
              <w:rPr>
                <w:rFonts w:ascii="方正仿宋_GBK" w:eastAsia="方正仿宋_GBK" w:hAnsi="方正仿宋_GBK" w:cs="方正仿宋_GBK" w:hint="eastAsia"/>
                <w:sz w:val="22"/>
                <w:szCs w:val="22"/>
              </w:rPr>
              <w:t>率</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color w:val="000000"/>
                <w:kern w:val="0"/>
                <w:sz w:val="22"/>
                <w:szCs w:val="22"/>
                <w:lang/>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6A317E">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val="restart"/>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r>
      <w:tr w:rsidR="004B413B">
        <w:trPr>
          <w:trHeight w:val="432"/>
        </w:trPr>
        <w:tc>
          <w:tcPr>
            <w:tcW w:w="600" w:type="dxa"/>
            <w:vMerge/>
            <w:tcBorders>
              <w:left w:val="single" w:sz="4" w:space="0" w:color="000000"/>
              <w:right w:val="single" w:sz="4" w:space="0" w:color="000000"/>
            </w:tcBorders>
            <w:noWrap/>
            <w:vAlign w:val="center"/>
          </w:tcPr>
          <w:p w:rsidR="004B413B" w:rsidRDefault="004B413B">
            <w:pPr>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审批件数</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41</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全区信息化项目评审政策调整，实现全区信息项目全覆盖。</w:t>
            </w: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r w:rsidR="004B413B">
        <w:trPr>
          <w:trHeight w:val="432"/>
        </w:trPr>
        <w:tc>
          <w:tcPr>
            <w:tcW w:w="600" w:type="dxa"/>
            <w:vMerge/>
            <w:tcBorders>
              <w:left w:val="single" w:sz="4" w:space="0" w:color="000000"/>
              <w:right w:val="single" w:sz="4" w:space="0" w:color="000000"/>
            </w:tcBorders>
            <w:noWrap/>
            <w:vAlign w:val="center"/>
          </w:tcPr>
          <w:p w:rsidR="004B413B" w:rsidRDefault="004B413B">
            <w:pPr>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审批周期</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14</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天</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12</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r w:rsidR="004B413B">
        <w:trPr>
          <w:trHeight w:val="432"/>
        </w:trPr>
        <w:tc>
          <w:tcPr>
            <w:tcW w:w="600" w:type="dxa"/>
            <w:vMerge/>
            <w:tcBorders>
              <w:left w:val="single" w:sz="4" w:space="0" w:color="000000"/>
              <w:right w:val="single" w:sz="4" w:space="0" w:color="000000"/>
            </w:tcBorders>
            <w:noWrap/>
            <w:vAlign w:val="center"/>
          </w:tcPr>
          <w:p w:rsidR="004B413B" w:rsidRDefault="004B413B">
            <w:pPr>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及时办结率</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rPr>
                <w:rFonts w:ascii="方正仿宋_GBK" w:eastAsia="方正仿宋_GBK" w:hAnsi="方正仿宋_GBK" w:cs="方正仿宋_GBK"/>
                <w:sz w:val="22"/>
                <w:szCs w:val="22"/>
              </w:rPr>
            </w:pP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r w:rsidR="004B413B">
        <w:trPr>
          <w:trHeight w:val="432"/>
        </w:trPr>
        <w:tc>
          <w:tcPr>
            <w:tcW w:w="600" w:type="dxa"/>
            <w:vMerge/>
            <w:tcBorders>
              <w:left w:val="single" w:sz="4" w:space="0" w:color="000000"/>
              <w:bottom w:val="single" w:sz="4" w:space="0" w:color="000000"/>
              <w:right w:val="single" w:sz="4" w:space="0" w:color="000000"/>
            </w:tcBorders>
            <w:noWrap/>
            <w:vAlign w:val="center"/>
          </w:tcPr>
          <w:p w:rsidR="004B413B" w:rsidRDefault="004B413B">
            <w:pPr>
              <w:widowControl/>
              <w:spacing w:line="600" w:lineRule="exact"/>
              <w:jc w:val="center"/>
              <w:textAlignment w:val="center"/>
              <w:rPr>
                <w:rFonts w:ascii="方正仿宋_GBK" w:eastAsia="方正仿宋_GBK" w:hAnsi="方正仿宋_GBK" w:cs="方正仿宋_GBK"/>
                <w:sz w:val="22"/>
                <w:szCs w:val="22"/>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投诉率</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5</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0</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B413B" w:rsidRDefault="00907A32">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零投诉</w:t>
            </w:r>
          </w:p>
        </w:tc>
        <w:tc>
          <w:tcPr>
            <w:tcW w:w="780" w:type="dxa"/>
            <w:vMerge/>
            <w:tcBorders>
              <w:top w:val="single" w:sz="4" w:space="0" w:color="000000"/>
              <w:left w:val="single" w:sz="4" w:space="0" w:color="000000"/>
              <w:bottom w:val="single" w:sz="4" w:space="0" w:color="000000"/>
              <w:right w:val="single" w:sz="4" w:space="0" w:color="000000"/>
            </w:tcBorders>
            <w:noWrap/>
            <w:vAlign w:val="center"/>
          </w:tcPr>
          <w:p w:rsidR="004B413B" w:rsidRDefault="004B413B">
            <w:pPr>
              <w:spacing w:line="600" w:lineRule="exact"/>
              <w:jc w:val="center"/>
              <w:rPr>
                <w:rFonts w:ascii="方正仿宋_GBK" w:eastAsia="方正仿宋_GBK" w:hAnsi="方正仿宋_GBK" w:cs="方正仿宋_GBK"/>
                <w:sz w:val="22"/>
                <w:szCs w:val="22"/>
              </w:rPr>
            </w:pPr>
          </w:p>
        </w:tc>
      </w:tr>
    </w:tbl>
    <w:p w:rsidR="004B413B" w:rsidRDefault="004B413B">
      <w:pPr>
        <w:spacing w:line="600" w:lineRule="exact"/>
        <w:rPr>
          <w:rFonts w:ascii="方正仿宋_GBK" w:eastAsia="方正仿宋_GBK" w:hAnsi="方正仿宋_GBK" w:cs="方正仿宋_GBK"/>
          <w:b/>
          <w:bCs/>
          <w:sz w:val="22"/>
          <w:szCs w:val="22"/>
        </w:rPr>
      </w:pP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六、专业名词解释</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Ansi="方正仿宋_GBK" w:cs="方正仿宋_GBK" w:hint="eastAsia"/>
          <w:sz w:val="32"/>
          <w:szCs w:val="32"/>
        </w:rPr>
        <w:t>：指本年度从本级财政部门取得的财政拨款，包括一般公共预算财政拨款和政府性基金预算财政拨款。</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（二）其他收入</w:t>
      </w:r>
      <w:r>
        <w:rPr>
          <w:rFonts w:ascii="方正仿宋_GBK" w:eastAsia="方正仿宋_GBK" w:hAnsi="方正仿宋_GBK" w:cs="方正仿宋_GBK" w:hint="eastAsia"/>
          <w:sz w:val="32"/>
          <w:szCs w:val="32"/>
        </w:rPr>
        <w:t>：指单位取得的除“财政拨款收入”、“事业收入”、“经营收入”等以外的收入。</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（三）基本支出</w:t>
      </w:r>
      <w:r>
        <w:rPr>
          <w:rFonts w:ascii="方正仿宋_GBK" w:eastAsia="方正仿宋_GBK" w:hAnsi="方正仿宋_GBK" w:cs="方正仿宋_GBK" w:hint="eastAsia"/>
          <w:sz w:val="32"/>
          <w:szCs w:val="32"/>
        </w:rPr>
        <w:t>：指为保障机构正常运转、完成日常工作任务而发生的人员经费和公用经费。</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（四）项目支出</w:t>
      </w:r>
      <w:r>
        <w:rPr>
          <w:rFonts w:ascii="方正仿宋_GBK" w:eastAsia="方正仿宋_GBK" w:hAnsi="方正仿宋_GBK" w:cs="方正仿宋_GBK" w:hint="eastAsia"/>
          <w:sz w:val="32"/>
          <w:szCs w:val="32"/>
        </w:rPr>
        <w:t>：指在基本支出之外为完成特定行政任务和事业发展目标所发生的支出。</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（五）“三公”经费</w:t>
      </w:r>
      <w:r>
        <w:rPr>
          <w:rFonts w:ascii="方正仿宋_GBK" w:eastAsia="方正仿宋_GBK" w:hAnsi="方正仿宋_GBK" w:cs="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（六）维护（修）费</w:t>
      </w:r>
      <w:r>
        <w:rPr>
          <w:rFonts w:ascii="方正仿宋_GBK" w:eastAsia="方正仿宋_GBK" w:hAnsi="方正仿宋_GBK" w:cs="方正仿宋_GBK" w:hint="eastAsia"/>
          <w:sz w:val="32"/>
          <w:szCs w:val="32"/>
        </w:rPr>
        <w:t>：反映单位日常开支的固定资产（不包</w:t>
      </w:r>
      <w:r>
        <w:rPr>
          <w:rFonts w:ascii="方正仿宋_GBK" w:eastAsia="方正仿宋_GBK" w:hAnsi="方正仿宋_GBK" w:cs="方正仿宋_GBK" w:hint="eastAsia"/>
          <w:sz w:val="32"/>
          <w:szCs w:val="32"/>
        </w:rPr>
        <w:lastRenderedPageBreak/>
        <w:t>括车船等交通工具）修理和维护费用，网络</w:t>
      </w:r>
      <w:r>
        <w:rPr>
          <w:rFonts w:ascii="方正仿宋_GBK" w:eastAsia="方正仿宋_GBK" w:hAnsi="方正仿宋_GBK" w:cs="方正仿宋_GBK" w:hint="eastAsia"/>
          <w:sz w:val="32"/>
          <w:szCs w:val="32"/>
        </w:rPr>
        <w:t>信息系统运行维护费用，以及按规定提取的修购基金。</w:t>
      </w:r>
    </w:p>
    <w:p w:rsidR="004B413B" w:rsidRDefault="00907A32">
      <w:pPr>
        <w:pStyle w:val="a3"/>
        <w:widowControl/>
        <w:shd w:val="clear" w:color="auto" w:fill="FFFFFF"/>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七</w:t>
      </w:r>
      <w:r>
        <w:rPr>
          <w:rFonts w:ascii="方正仿宋_GBK" w:eastAsia="方正仿宋_GBK" w:hAnsi="方正仿宋_GBK" w:cs="方正仿宋_GBK" w:hint="eastAsia"/>
          <w:sz w:val="32"/>
          <w:szCs w:val="32"/>
        </w:rPr>
        <w:t>）</w:t>
      </w:r>
      <w:r>
        <w:rPr>
          <w:rStyle w:val="a5"/>
          <w:rFonts w:ascii="方正楷体_GBK" w:eastAsia="方正楷体_GBK" w:hAnsi="方正楷体_GBK" w:cs="方正楷体_GBK"/>
          <w:b w:val="0"/>
          <w:bCs/>
          <w:color w:val="000000"/>
          <w:sz w:val="32"/>
          <w:szCs w:val="32"/>
          <w:shd w:val="clear" w:color="auto" w:fill="FFFFFF"/>
        </w:rPr>
        <w:t>机关运行经费：</w:t>
      </w:r>
      <w:r>
        <w:rPr>
          <w:rFonts w:ascii="Times New Roman" w:eastAsia="方正仿宋_GBK" w:hAnsi="Times New Roman"/>
          <w:color w:val="00000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B413B" w:rsidRDefault="00907A32">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七、决算公开联系方式及信息反馈渠道</w:t>
      </w:r>
    </w:p>
    <w:p w:rsidR="004B413B" w:rsidRDefault="00907A3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本单位决算公开信息反馈和联系方式：</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58966399</w:t>
      </w:r>
    </w:p>
    <w:sectPr w:rsidR="004B413B" w:rsidSect="004B413B">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A32" w:rsidRDefault="00907A32" w:rsidP="006A317E">
      <w:r>
        <w:separator/>
      </w:r>
    </w:p>
  </w:endnote>
  <w:endnote w:type="continuationSeparator" w:id="1">
    <w:p w:rsidR="00907A32" w:rsidRDefault="00907A32" w:rsidP="006A3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A32" w:rsidRDefault="00907A32" w:rsidP="006A317E">
      <w:r>
        <w:separator/>
      </w:r>
    </w:p>
  </w:footnote>
  <w:footnote w:type="continuationSeparator" w:id="1">
    <w:p w:rsidR="00907A32" w:rsidRDefault="00907A32" w:rsidP="006A31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2F42EB"/>
    <w:rsid w:val="004B413B"/>
    <w:rsid w:val="006A317E"/>
    <w:rsid w:val="00907A32"/>
    <w:rsid w:val="02B22185"/>
    <w:rsid w:val="04EF597A"/>
    <w:rsid w:val="05863A6F"/>
    <w:rsid w:val="068E6026"/>
    <w:rsid w:val="06A8600B"/>
    <w:rsid w:val="089759E4"/>
    <w:rsid w:val="09C8753A"/>
    <w:rsid w:val="0A0D1966"/>
    <w:rsid w:val="0AC5254F"/>
    <w:rsid w:val="0BBA568D"/>
    <w:rsid w:val="0C2F42EB"/>
    <w:rsid w:val="0D545A0F"/>
    <w:rsid w:val="0E627EBB"/>
    <w:rsid w:val="0EE1059A"/>
    <w:rsid w:val="0F321E9D"/>
    <w:rsid w:val="100D0E8B"/>
    <w:rsid w:val="11824ABE"/>
    <w:rsid w:val="11DB2800"/>
    <w:rsid w:val="11F0639C"/>
    <w:rsid w:val="12A45240"/>
    <w:rsid w:val="160534F5"/>
    <w:rsid w:val="18072BFC"/>
    <w:rsid w:val="19953699"/>
    <w:rsid w:val="1B0B1D94"/>
    <w:rsid w:val="1B751DF6"/>
    <w:rsid w:val="1B84031A"/>
    <w:rsid w:val="1BBF6A71"/>
    <w:rsid w:val="1CFD28CA"/>
    <w:rsid w:val="1D1F30B8"/>
    <w:rsid w:val="1D48038F"/>
    <w:rsid w:val="2112237F"/>
    <w:rsid w:val="22A25D03"/>
    <w:rsid w:val="22B2189F"/>
    <w:rsid w:val="22D15E6C"/>
    <w:rsid w:val="246B5697"/>
    <w:rsid w:val="24C132E4"/>
    <w:rsid w:val="25035462"/>
    <w:rsid w:val="25D500CA"/>
    <w:rsid w:val="27690C14"/>
    <w:rsid w:val="28426AEB"/>
    <w:rsid w:val="294E64EB"/>
    <w:rsid w:val="2980539A"/>
    <w:rsid w:val="2A3475B2"/>
    <w:rsid w:val="315614F7"/>
    <w:rsid w:val="322648F8"/>
    <w:rsid w:val="35E172AF"/>
    <w:rsid w:val="372705A8"/>
    <w:rsid w:val="3C4F6B3E"/>
    <w:rsid w:val="3DCA7B1B"/>
    <w:rsid w:val="3E1C7B80"/>
    <w:rsid w:val="3F2F01F7"/>
    <w:rsid w:val="446764BF"/>
    <w:rsid w:val="47E74019"/>
    <w:rsid w:val="4A221E2D"/>
    <w:rsid w:val="4B54045E"/>
    <w:rsid w:val="4E610FBD"/>
    <w:rsid w:val="51D175AE"/>
    <w:rsid w:val="52122AA2"/>
    <w:rsid w:val="524F70DF"/>
    <w:rsid w:val="543D6058"/>
    <w:rsid w:val="55752E05"/>
    <w:rsid w:val="5A767AF2"/>
    <w:rsid w:val="5CC80082"/>
    <w:rsid w:val="608F2637"/>
    <w:rsid w:val="617B26D0"/>
    <w:rsid w:val="6A714601"/>
    <w:rsid w:val="6B0709F3"/>
    <w:rsid w:val="6B4D5057"/>
    <w:rsid w:val="6C04069E"/>
    <w:rsid w:val="6C5259E5"/>
    <w:rsid w:val="6E6C2DBD"/>
    <w:rsid w:val="6F6157DB"/>
    <w:rsid w:val="6FB443C2"/>
    <w:rsid w:val="70790E34"/>
    <w:rsid w:val="72096688"/>
    <w:rsid w:val="74C866AA"/>
    <w:rsid w:val="78365278"/>
    <w:rsid w:val="783D0ECB"/>
    <w:rsid w:val="796A4D5B"/>
    <w:rsid w:val="79A731C3"/>
    <w:rsid w:val="7AF8278C"/>
    <w:rsid w:val="7B9513B9"/>
    <w:rsid w:val="7E7F54DD"/>
    <w:rsid w:val="7EC96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1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B413B"/>
    <w:pPr>
      <w:spacing w:beforeAutospacing="1" w:afterAutospacing="1"/>
      <w:jc w:val="left"/>
    </w:pPr>
    <w:rPr>
      <w:rFonts w:cs="Times New Roman"/>
      <w:kern w:val="0"/>
      <w:sz w:val="24"/>
    </w:rPr>
  </w:style>
  <w:style w:type="table" w:styleId="a4">
    <w:name w:val="Table Grid"/>
    <w:basedOn w:val="a1"/>
    <w:qFormat/>
    <w:rsid w:val="004B41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4B413B"/>
    <w:rPr>
      <w:b/>
    </w:rPr>
  </w:style>
  <w:style w:type="paragraph" w:styleId="a6">
    <w:name w:val="List Paragraph"/>
    <w:basedOn w:val="a"/>
    <w:uiPriority w:val="34"/>
    <w:qFormat/>
    <w:rsid w:val="004B413B"/>
    <w:pPr>
      <w:ind w:firstLineChars="200" w:firstLine="420"/>
    </w:pPr>
  </w:style>
  <w:style w:type="paragraph" w:styleId="a7">
    <w:name w:val="header"/>
    <w:basedOn w:val="a"/>
    <w:link w:val="Char"/>
    <w:rsid w:val="006A3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A317E"/>
    <w:rPr>
      <w:rFonts w:asciiTheme="minorHAnsi" w:eastAsiaTheme="minorEastAsia" w:hAnsiTheme="minorHAnsi" w:cstheme="minorBidi"/>
      <w:kern w:val="2"/>
      <w:sz w:val="18"/>
      <w:szCs w:val="18"/>
    </w:rPr>
  </w:style>
  <w:style w:type="paragraph" w:styleId="a8">
    <w:name w:val="footer"/>
    <w:basedOn w:val="a"/>
    <w:link w:val="Char0"/>
    <w:rsid w:val="006A317E"/>
    <w:pPr>
      <w:tabs>
        <w:tab w:val="center" w:pos="4153"/>
        <w:tab w:val="right" w:pos="8306"/>
      </w:tabs>
      <w:snapToGrid w:val="0"/>
      <w:jc w:val="left"/>
    </w:pPr>
    <w:rPr>
      <w:sz w:val="18"/>
      <w:szCs w:val="18"/>
    </w:rPr>
  </w:style>
  <w:style w:type="character" w:customStyle="1" w:styleId="Char0">
    <w:name w:val="页脚 Char"/>
    <w:basedOn w:val="a0"/>
    <w:link w:val="a8"/>
    <w:rsid w:val="006A31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946</Words>
  <Characters>5397</Characters>
  <Application>Microsoft Office Word</Application>
  <DocSecurity>0</DocSecurity>
  <Lines>44</Lines>
  <Paragraphs>12</Paragraphs>
  <ScaleCrop>false</ScaleCrop>
  <Company>区大数据发展局</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邓波</dc:creator>
  <cp:lastModifiedBy>PC</cp:lastModifiedBy>
  <cp:revision>2</cp:revision>
  <dcterms:created xsi:type="dcterms:W3CDTF">2023-10-23T02:36:00Z</dcterms:created>
  <dcterms:modified xsi:type="dcterms:W3CDTF">2023-11-13T01:34:00Z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