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FA3" w:rsidRDefault="00BB760D">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重庆市万州区大数据应用发展管理局</w:t>
      </w:r>
    </w:p>
    <w:p w:rsidR="006E4FA3" w:rsidRDefault="00BB760D">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2022 年度部门决算情况说明</w:t>
      </w:r>
    </w:p>
    <w:p w:rsidR="006E4FA3" w:rsidRDefault="00BB760D">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一、部门基本情况</w:t>
      </w:r>
    </w:p>
    <w:p w:rsidR="006E4FA3" w:rsidRDefault="00BB760D">
      <w:pPr>
        <w:spacing w:line="60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（一）职能职责</w:t>
      </w:r>
    </w:p>
    <w:p w:rsidR="006E4FA3" w:rsidRDefault="00BB760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万州区大数据应用发展管理局职能职责。贯彻落实全市大数据、人工智能、信息化相关政策法规和相关地方行业技术规范和标准。负责研究拟订全区大数据、人工智能、信息化发展战略，编制全区大数据、人工智能、信息化发展规划和年度计划，拟定相关政策措施和评价考核体系并组织实施。负责数据资源建设、管理，促进大数据政用、民用、商用。负责推进全区政务数据采集汇聚、登记管理、共享开放。负责推动社会数据汇聚融合、互联互通、资源共享。负责研究推进数据资源的流通交易。负责推进社会公共信息资源整合和应用。负责推动全区数据安全体系建设工作。统筹推进大数据、人工智能等新一代信息技术和国民经济各领域融合应用。推动大数据、人工智能等产学研用结合，推动大数据、人工智能等新兴领域发展。负责推进全区信息化应用工作。负责组织编制全区信息化发展规划并组织实施。统筹推进全区智慧城市和智慧政务建设。负责组织协调跨部门、跨行业、跨领域的信息化应用，协调解决信息化建设中的重大问题。统筹协调全区信息化项目建设。负责协调全区信息基础设施建设。组织编制全区数据中心规划并组织实施。负责对接并指导协调全区</w:t>
      </w:r>
      <w:r>
        <w:rPr>
          <w:rFonts w:ascii="方正仿宋_GBK" w:eastAsia="方正仿宋_GBK" w:hAnsi="方正仿宋_GBK" w:cs="方正仿宋_GBK" w:hint="eastAsia"/>
          <w:sz w:val="32"/>
          <w:szCs w:val="32"/>
        </w:rPr>
        <w:lastRenderedPageBreak/>
        <w:t>“数字万州”云平台建设管理。协调推动下一代网络部署和规模化商用。负责推动大数据、人工智能、信息化领域对外交流合作。组织参与各类重大交流合作活动，指导开展区域化合作、国际化经营，承办相关活动。指导大数据、人工智能、信息化人才队伍建设工作。指导相关行业协会、学会、联盟机构工作。</w:t>
      </w:r>
    </w:p>
    <w:p w:rsidR="006E4FA3" w:rsidRDefault="00BB760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2.万州区党政信息中心（二级单位）职能职责。</w:t>
      </w:r>
      <w:r>
        <w:rPr>
          <w:rFonts w:ascii="Times New Roman" w:eastAsia="方正仿宋_GBK" w:hAnsi="Times New Roman" w:cs="Times New Roman"/>
          <w:sz w:val="32"/>
          <w:szCs w:val="32"/>
        </w:rPr>
        <w:t>贯彻执行有关政务信息化和电子政务建设的法律、法规和方针政策</w:t>
      </w:r>
      <w:r>
        <w:rPr>
          <w:rFonts w:ascii="Times New Roman" w:eastAsia="方正仿宋_GBK" w:hAnsi="Times New Roman" w:cs="Times New Roman" w:hint="eastAsia"/>
          <w:sz w:val="32"/>
          <w:szCs w:val="32"/>
        </w:rPr>
        <w:t>，为全区党委、政府信息化建设提供服务保障</w:t>
      </w:r>
      <w:r>
        <w:rPr>
          <w:rFonts w:ascii="Times New Roman" w:eastAsia="方正仿宋_GBK" w:hAnsi="Times New Roman" w:cs="Times New Roman"/>
          <w:sz w:val="32"/>
          <w:szCs w:val="32"/>
        </w:rPr>
        <w:t>。承担全区党委系统信息化建设工作。承担信息化系统建设</w:t>
      </w:r>
      <w:r>
        <w:rPr>
          <w:rFonts w:ascii="Times New Roman" w:eastAsia="方正仿宋_GBK" w:hAnsi="Times New Roman" w:cs="Times New Roman" w:hint="eastAsia"/>
          <w:sz w:val="32"/>
          <w:szCs w:val="32"/>
        </w:rPr>
        <w:t>和</w:t>
      </w:r>
      <w:r>
        <w:rPr>
          <w:rFonts w:ascii="Times New Roman" w:eastAsia="方正仿宋_GBK" w:hAnsi="Times New Roman" w:cs="Times New Roman"/>
          <w:sz w:val="32"/>
          <w:szCs w:val="32"/>
        </w:rPr>
        <w:t>运行维护工作，做好电子政务内网应用推广和技术服务。承担全区政务系统信息化建设工作。承担政务信息化系统建设、运行维护和管理工作，做好电子政务应用推广和技术服务。承担全区电子政务外网的规划建设、应用开发、运行维护及网络核心机房的运行维护和管理工作。承担</w:t>
      </w:r>
      <w:r>
        <w:rPr>
          <w:rFonts w:ascii="Times New Roman" w:eastAsia="方正仿宋_GBK" w:hAnsi="Times New Roman" w:cs="Times New Roman" w:hint="eastAsia"/>
          <w:sz w:val="32"/>
          <w:szCs w:val="32"/>
        </w:rPr>
        <w:t>万州</w:t>
      </w:r>
      <w:r>
        <w:rPr>
          <w:rFonts w:ascii="Times New Roman" w:eastAsia="方正仿宋_GBK" w:hAnsi="Times New Roman" w:cs="Times New Roman"/>
          <w:sz w:val="32"/>
          <w:szCs w:val="32"/>
        </w:rPr>
        <w:t>区</w:t>
      </w:r>
      <w:r>
        <w:rPr>
          <w:rFonts w:ascii="Times New Roman" w:eastAsia="方正仿宋_GBK" w:hAnsi="Times New Roman" w:cs="Times New Roman" w:hint="eastAsia"/>
          <w:sz w:val="32"/>
          <w:szCs w:val="32"/>
        </w:rPr>
        <w:t>人民</w:t>
      </w:r>
      <w:r>
        <w:rPr>
          <w:rFonts w:ascii="Times New Roman" w:eastAsia="方正仿宋_GBK" w:hAnsi="Times New Roman" w:cs="Times New Roman"/>
          <w:sz w:val="32"/>
          <w:szCs w:val="32"/>
        </w:rPr>
        <w:t>政府网站</w:t>
      </w:r>
      <w:r>
        <w:rPr>
          <w:rFonts w:ascii="Times New Roman" w:eastAsia="方正仿宋_GBK" w:hAnsi="Times New Roman" w:cs="Times New Roman" w:hint="eastAsia"/>
          <w:sz w:val="32"/>
          <w:szCs w:val="32"/>
        </w:rPr>
        <w:t>日常运行保障工作</w:t>
      </w:r>
      <w:r>
        <w:rPr>
          <w:rFonts w:ascii="Times New Roman" w:eastAsia="方正仿宋_GBK" w:hAnsi="Times New Roman" w:cs="Times New Roman"/>
          <w:sz w:val="32"/>
          <w:szCs w:val="32"/>
        </w:rPr>
        <w:t>，协助相关单位做好网站建设管理和政务信息公开。承担全区政务大数据、云计算、应用开发、平台建设等技术服务工作。承担全区政务数据汇聚、整理、应用、开发等工作</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协助做好数字政府、智慧万州等重要信息化项目建设和应用推广工作，对相关智慧应用场景建设提供技术服务。完成区委、区政府</w:t>
      </w:r>
      <w:r>
        <w:rPr>
          <w:rFonts w:ascii="Times New Roman" w:eastAsia="方正仿宋_GBK" w:hAnsi="Times New Roman" w:cs="Times New Roman" w:hint="eastAsia"/>
          <w:sz w:val="32"/>
          <w:szCs w:val="32"/>
        </w:rPr>
        <w:t>和</w:t>
      </w:r>
      <w:r>
        <w:rPr>
          <w:rFonts w:ascii="Times New Roman" w:eastAsia="方正仿宋_GBK" w:hAnsi="Times New Roman" w:cs="Times New Roman"/>
          <w:sz w:val="32"/>
          <w:szCs w:val="32"/>
        </w:rPr>
        <w:t>区大数据发展局交办的其他任务。</w:t>
      </w:r>
    </w:p>
    <w:p w:rsidR="006E4FA3" w:rsidRDefault="00BB760D">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（二）机构设置</w:t>
      </w:r>
    </w:p>
    <w:p w:rsidR="006E4FA3" w:rsidRDefault="00BB760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1.万州区大数据应用发展管理局</w:t>
      </w:r>
    </w:p>
    <w:p w:rsidR="006E4FA3" w:rsidRDefault="00BB760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万州区大数据应用发展管理局系 2019 年 1 月机构改革时新组建的区政府工作部门，为正处级。将万州区经济信息委大数据、人工智能、信息化推进、智慧城市建设等职责和区发展改革委社会公共信息资源整合与应用等职责划入，主要承担全区大数据、人工智能、信息化发展战略研究，数据资源建设、管理，大数据、人工智能等新一代信息技术和国民经济各领域融合应用，信息化应用，推进“智慧城市”和“智慧政务”等工作。核定行政编制 9 名，领导职数 1 正 2 副，设综合科、应用发展科、规划建设管理科 3 个内设科室，科级领导职数 4 名。</w:t>
      </w:r>
    </w:p>
    <w:p w:rsidR="006E4FA3" w:rsidRDefault="00BB760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万州区大数据应用发展管理局内设科室 3 个。</w:t>
      </w:r>
    </w:p>
    <w:p w:rsidR="006E4FA3" w:rsidRDefault="00BB760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（1）综合科</w:t>
      </w:r>
    </w:p>
    <w:p w:rsidR="006E4FA3" w:rsidRDefault="00BB760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负责机关文电、机要、保密、档案、培训、人才队伍建设、信息、信访、应急、安全、会务、外事、宣传、财务管理、综合性材料起草、机关日常工作协调和重大事项督办督查、目标管理工作；负责机关及所属单位机构编制、组织人事、社会保障、退休干部服务等工作；负责机关和所属单位的党群工作；承担有关领导小组、改革专项小组办公室日常事务；负责本局帮乡扶贫工作。</w:t>
      </w:r>
    </w:p>
    <w:p w:rsidR="006E4FA3" w:rsidRDefault="00BB760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（2）应用发展科</w:t>
      </w:r>
    </w:p>
    <w:p w:rsidR="006E4FA3" w:rsidRDefault="00BB760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负责推进全区信息化应用工作，研究拟订相关发展战略、规划和政策措施，协调解决信息化建设中的重大问题；负责推动全</w:t>
      </w:r>
      <w:r>
        <w:rPr>
          <w:rFonts w:ascii="方正仿宋_GBK" w:eastAsia="方正仿宋_GBK" w:hAnsi="方正仿宋_GBK" w:cs="方正仿宋_GBK" w:hint="eastAsia"/>
          <w:sz w:val="32"/>
          <w:szCs w:val="32"/>
        </w:rPr>
        <w:lastRenderedPageBreak/>
        <w:t>区信息化领域重大科技攻关，全区公共服务和社会治理信息化，全区信息网络行业发展，推动大数据、人工智能等新一代信息技术和国民经济各领域融合应用，促进大数据商用；负责推动全区智能机关建设，推进各级机关办公、服务智能化；负责推动全区产业数据分级分类管理和商用；负责推动全区大数据、人工智能等产学研用结合。指导相关行业协会、学会、联盟机构工作。</w:t>
      </w:r>
    </w:p>
    <w:p w:rsidR="006E4FA3" w:rsidRDefault="00BB760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（3）规划建设管理科</w:t>
      </w:r>
    </w:p>
    <w:p w:rsidR="006E4FA3" w:rsidRDefault="00BB760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负责全区数据资源体系的建设和管理；负责全区信息基础设施及重大信息化建设项目的组织规划和协调推进；组织编制全区数据中心规划并组织实施，协调推动下一代网络部署和规模化商用；负责推进全区“智慧城市”规划建设工作，促进大数据政用、民用。联系万州区通信发展办公室。</w:t>
      </w:r>
    </w:p>
    <w:p w:rsidR="006E4FA3" w:rsidRDefault="00BB760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2.万州区党政信息中心</w:t>
      </w:r>
    </w:p>
    <w:p w:rsidR="006E4FA3" w:rsidRDefault="00BB760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万州区党政信息中心为万州区大数据应用发展管理局管理的全额拨款事业单位，类别划分为公益一类。</w:t>
      </w:r>
    </w:p>
    <w:p w:rsidR="006E4FA3" w:rsidRDefault="00BB760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万州区党政信息中心设 6 个内设机构。</w:t>
      </w:r>
    </w:p>
    <w:p w:rsidR="006E4FA3" w:rsidRDefault="00BB760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（1）办公室</w:t>
      </w:r>
    </w:p>
    <w:p w:rsidR="006E4FA3" w:rsidRDefault="00BB760D">
      <w:pPr>
        <w:spacing w:line="600"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sz w:val="32"/>
          <w:szCs w:val="32"/>
        </w:rPr>
        <w:t>承担综合协调和重大事项的督查督办工作。负责会务、公文、财务、后勤、公务接待、物资管理等工作。负责党建、人事、政工、老年、工会、统计、机要保密、档案、住房公积金、社会保障保险等工作。承担岗位责任目标的落实及考核奖惩等工作。</w:t>
      </w:r>
    </w:p>
    <w:p w:rsidR="006E4FA3" w:rsidRDefault="00BB760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（2）外网管理科</w:t>
      </w:r>
    </w:p>
    <w:p w:rsidR="006E4FA3" w:rsidRDefault="00BB760D">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承担电子政务外网及互联网安全接入规划建设、日常运行维护和管理工作。承担电子政务外网网络、平台、应用系统的技术支撑，确保全区电子政务外网网络及应用的正常运行。贯彻执行重庆市电子政务外网管理办法。负责做好电子政务外网核心机房的日常管理维护、网络安全保障及管理工作。</w:t>
      </w:r>
    </w:p>
    <w:p w:rsidR="006E4FA3" w:rsidRDefault="00BB760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（3）内网建设科</w:t>
      </w:r>
    </w:p>
    <w:p w:rsidR="006E4FA3" w:rsidRDefault="00BB760D">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承担区委办公室信息化系统及电子政务内网的建设、运行维护等工作。</w:t>
      </w:r>
    </w:p>
    <w:p w:rsidR="006E4FA3" w:rsidRDefault="00BB760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（4）大数据发展科</w:t>
      </w:r>
    </w:p>
    <w:p w:rsidR="006E4FA3" w:rsidRDefault="00BB760D">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承担全区政务大数据、云计算、应用开发、平台建设等技术服务工作。承接全区政务数据汇聚、整理、应用、开发、交易等相关工作。承担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智慧万州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城市综合运行管理指挥中心的日常运行管理、技术维护及综合服务工作。</w:t>
      </w:r>
    </w:p>
    <w:p w:rsidR="006E4FA3" w:rsidRDefault="00BB760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（5）应用开发科</w:t>
      </w:r>
    </w:p>
    <w:p w:rsidR="006E4FA3" w:rsidRDefault="00BB760D">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协助做好智慧万州、智慧政务、数字政府等重要信息化项目的建设和推广应用，对相关智慧应用场景建设提供技术指导。指导全区政务应用系统建设工作。配合做好全区使用财政资金的非涉密信息化项目及与智慧万州高度关联的信息化项目的技术指导工作。</w:t>
      </w:r>
    </w:p>
    <w:p w:rsidR="006E4FA3" w:rsidRDefault="00BB760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（6）信息与网站科</w:t>
      </w:r>
    </w:p>
    <w:p w:rsidR="006E4FA3" w:rsidRDefault="00BB760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承担万州区人民政府网站的建设和运行维护工作，协助区政府办公室做好网站政务信息公开。负责万州区人民政府网站的技术支持，保障网站安全稳定运行。负责单位内部刊物的编辑和印发工作，为领导决策提供参考。</w:t>
      </w:r>
    </w:p>
    <w:p w:rsidR="006E4FA3" w:rsidRDefault="00BB760D">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（三）单位构成</w:t>
      </w:r>
    </w:p>
    <w:p w:rsidR="006E4FA3" w:rsidRDefault="00BB760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从预算单位构成看，纳入本部门2022年度决算编制的二级预算单位 2 个，为重庆市万州区大数据应用发展管理局（本级）和重庆市万州区党政信息中心。</w:t>
      </w:r>
    </w:p>
    <w:p w:rsidR="006E4FA3" w:rsidRDefault="00BB760D">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二、部门决算情况说明</w:t>
      </w:r>
    </w:p>
    <w:p w:rsidR="006E4FA3" w:rsidRDefault="00BB760D">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（一）收入支出决算总体情况说明</w:t>
      </w:r>
    </w:p>
    <w:p w:rsidR="006E4FA3" w:rsidRDefault="00BB760D">
      <w:pPr>
        <w:spacing w:line="600" w:lineRule="exact"/>
        <w:ind w:firstLineChars="200" w:firstLine="640"/>
        <w:rPr>
          <w:rFonts w:ascii="方正仿宋_GBK" w:eastAsia="仿宋_GB2312" w:hAnsi="方正仿宋_GBK" w:cs="方正仿宋_GBK"/>
          <w:color w:val="FF0000"/>
          <w:sz w:val="32"/>
          <w:szCs w:val="32"/>
        </w:rPr>
      </w:pPr>
      <w:r>
        <w:rPr>
          <w:rFonts w:ascii="方正仿宋_GBK" w:eastAsia="方正仿宋_GBK" w:hAnsi="方正仿宋_GBK" w:cs="方正仿宋_GBK" w:hint="eastAsia"/>
          <w:sz w:val="32"/>
          <w:szCs w:val="32"/>
        </w:rPr>
        <w:t>1.总体情况。2022年度收入总计1,195.1万元，支出总计1,195.1万元。收支较上年决算数减少6,013.31万元,下降83.4%，主要原因是</w:t>
      </w:r>
      <w:r>
        <w:rPr>
          <w:rFonts w:eastAsia="仿宋_GB2312" w:cs="Times New Roman" w:hint="eastAsia"/>
          <w:sz w:val="32"/>
          <w:szCs w:val="32"/>
        </w:rPr>
        <w:t>2022</w:t>
      </w:r>
      <w:r>
        <w:rPr>
          <w:rFonts w:eastAsia="仿宋_GB2312" w:cs="Times New Roman" w:hint="eastAsia"/>
          <w:sz w:val="32"/>
          <w:szCs w:val="32"/>
        </w:rPr>
        <w:t>年度减少了</w:t>
      </w:r>
      <w:r>
        <w:rPr>
          <w:rFonts w:ascii="Times New Roman" w:eastAsia="方正仿宋_GBK" w:hAnsi="Times New Roman" w:cs="Times New Roman" w:hint="eastAsia"/>
          <w:sz w:val="32"/>
          <w:szCs w:val="32"/>
        </w:rPr>
        <w:t>抗疫特别国债（面向重大公共卫生突发事件的智慧医疗一期项目建设（智慧万州子项目））</w:t>
      </w:r>
      <w:r>
        <w:rPr>
          <w:rFonts w:eastAsia="仿宋_GB2312" w:cs="Times New Roman" w:hint="eastAsia"/>
          <w:sz w:val="32"/>
          <w:szCs w:val="32"/>
        </w:rPr>
        <w:t>。</w:t>
      </w:r>
    </w:p>
    <w:p w:rsidR="006E4FA3" w:rsidRDefault="00BB760D">
      <w:pPr>
        <w:spacing w:line="600" w:lineRule="exact"/>
        <w:ind w:firstLineChars="200" w:firstLine="640"/>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sz w:val="32"/>
          <w:szCs w:val="32"/>
        </w:rPr>
        <w:t>2.收入情况。2022年度收入合计1,195.1万元，较上年决算数减少6,009.04万元，下降83.4%，主要原因是</w:t>
      </w:r>
      <w:r>
        <w:rPr>
          <w:rFonts w:eastAsia="仿宋_GB2312" w:cs="Times New Roman" w:hint="eastAsia"/>
          <w:sz w:val="32"/>
          <w:szCs w:val="32"/>
        </w:rPr>
        <w:t>2022</w:t>
      </w:r>
      <w:r>
        <w:rPr>
          <w:rFonts w:eastAsia="仿宋_GB2312" w:cs="Times New Roman" w:hint="eastAsia"/>
          <w:sz w:val="32"/>
          <w:szCs w:val="32"/>
        </w:rPr>
        <w:t>年度减少了</w:t>
      </w:r>
      <w:r>
        <w:rPr>
          <w:rFonts w:ascii="Times New Roman" w:eastAsia="方正仿宋_GBK" w:hAnsi="Times New Roman" w:cs="Times New Roman" w:hint="eastAsia"/>
          <w:sz w:val="32"/>
          <w:szCs w:val="32"/>
        </w:rPr>
        <w:t>抗疫特别国债（面向重大公共卫生突发事件的智慧医疗一期项目建设（智慧万州子项目））</w:t>
      </w:r>
      <w:r>
        <w:rPr>
          <w:rFonts w:eastAsia="仿宋_GB2312" w:cs="Times New Roman" w:hint="eastAsia"/>
          <w:sz w:val="32"/>
          <w:szCs w:val="32"/>
        </w:rPr>
        <w:t>。</w:t>
      </w:r>
      <w:r>
        <w:rPr>
          <w:rFonts w:ascii="方正仿宋_GBK" w:eastAsia="方正仿宋_GBK" w:hAnsi="方正仿宋_GBK" w:cs="方正仿宋_GBK" w:hint="eastAsia"/>
          <w:sz w:val="32"/>
          <w:szCs w:val="32"/>
        </w:rPr>
        <w:t>其中：财政拨款收入1,195.1万元，占100.0%。</w:t>
      </w:r>
    </w:p>
    <w:p w:rsidR="006E4FA3" w:rsidRDefault="00BB760D">
      <w:pPr>
        <w:spacing w:line="600" w:lineRule="exact"/>
        <w:ind w:firstLineChars="200" w:firstLine="640"/>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sz w:val="32"/>
          <w:szCs w:val="32"/>
        </w:rPr>
        <w:t>3.支出情况。2022年度支出合计1,195.1万元，较上年决算减少6,013.31万元，下降83.4%，主要原因是</w:t>
      </w:r>
      <w:r>
        <w:rPr>
          <w:rFonts w:eastAsia="仿宋_GB2312" w:cs="Times New Roman" w:hint="eastAsia"/>
          <w:sz w:val="32"/>
          <w:szCs w:val="32"/>
        </w:rPr>
        <w:t>2022</w:t>
      </w:r>
      <w:r>
        <w:rPr>
          <w:rFonts w:eastAsia="仿宋_GB2312" w:cs="Times New Roman" w:hint="eastAsia"/>
          <w:sz w:val="32"/>
          <w:szCs w:val="32"/>
        </w:rPr>
        <w:t>年度减少了</w:t>
      </w:r>
      <w:r>
        <w:rPr>
          <w:rFonts w:ascii="Times New Roman" w:eastAsia="方正仿宋_GBK" w:hAnsi="Times New Roman" w:cs="Times New Roman" w:hint="eastAsia"/>
          <w:sz w:val="32"/>
          <w:szCs w:val="32"/>
        </w:rPr>
        <w:lastRenderedPageBreak/>
        <w:t>抗疫特别国债（面向重大公共卫生突发事件的智慧医疗一期项目建设（智慧万州子项目））</w:t>
      </w:r>
      <w:r>
        <w:rPr>
          <w:rFonts w:eastAsia="仿宋_GB2312" w:cs="Times New Roman" w:hint="eastAsia"/>
          <w:sz w:val="32"/>
          <w:szCs w:val="32"/>
        </w:rPr>
        <w:t>。</w:t>
      </w:r>
      <w:r>
        <w:rPr>
          <w:rFonts w:ascii="方正仿宋_GBK" w:eastAsia="方正仿宋_GBK" w:hAnsi="方正仿宋_GBK" w:cs="方正仿宋_GBK" w:hint="eastAsia"/>
          <w:sz w:val="32"/>
          <w:szCs w:val="32"/>
        </w:rPr>
        <w:t>其中：基本支出610.6万元，占51.1%；项目支出584.5万元，占48.9%。</w:t>
      </w:r>
    </w:p>
    <w:p w:rsidR="006E4FA3" w:rsidRDefault="00BB760D">
      <w:pPr>
        <w:spacing w:line="600" w:lineRule="exact"/>
        <w:ind w:firstLineChars="200" w:firstLine="640"/>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sz w:val="32"/>
          <w:szCs w:val="32"/>
        </w:rPr>
        <w:t>4.结转结余情况。2022年度年末结转和结余0万元，较上年决算数增加0万元，增长0.0%。</w:t>
      </w:r>
    </w:p>
    <w:p w:rsidR="006E4FA3" w:rsidRDefault="00BB760D">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（二）财政拨款收入支出决算总体情况说明</w:t>
      </w:r>
    </w:p>
    <w:p w:rsidR="006E4FA3" w:rsidRDefault="00BB760D">
      <w:pPr>
        <w:spacing w:line="600" w:lineRule="exact"/>
        <w:ind w:firstLineChars="200" w:firstLine="640"/>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sz w:val="32"/>
          <w:szCs w:val="32"/>
        </w:rPr>
        <w:t>2022年度财政拨款收、支总计1,195.1万元。与2021年相比，财政拨款收、支总计各减少6,013.31万元，下降83.4%。主要原因是</w:t>
      </w:r>
      <w:r>
        <w:rPr>
          <w:rFonts w:eastAsia="仿宋_GB2312" w:cs="Times New Roman" w:hint="eastAsia"/>
          <w:sz w:val="32"/>
          <w:szCs w:val="32"/>
        </w:rPr>
        <w:t>2022</w:t>
      </w:r>
      <w:r>
        <w:rPr>
          <w:rFonts w:eastAsia="仿宋_GB2312" w:cs="Times New Roman" w:hint="eastAsia"/>
          <w:sz w:val="32"/>
          <w:szCs w:val="32"/>
        </w:rPr>
        <w:t>年度减少了</w:t>
      </w:r>
      <w:r>
        <w:rPr>
          <w:rFonts w:ascii="Times New Roman" w:eastAsia="方正仿宋_GBK" w:hAnsi="Times New Roman" w:cs="Times New Roman" w:hint="eastAsia"/>
          <w:sz w:val="32"/>
          <w:szCs w:val="32"/>
        </w:rPr>
        <w:t>抗疫特别国债（面向重大公共卫生突发事件的智慧医疗一期项目建设（智慧万州子项目））</w:t>
      </w:r>
      <w:r>
        <w:rPr>
          <w:rFonts w:eastAsia="仿宋_GB2312" w:cs="Times New Roman" w:hint="eastAsia"/>
          <w:sz w:val="32"/>
          <w:szCs w:val="32"/>
        </w:rPr>
        <w:t>。</w:t>
      </w:r>
    </w:p>
    <w:p w:rsidR="006E4FA3" w:rsidRDefault="00BB760D">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（三）一般公共预算财政拨款收入支出决算情况说明</w:t>
      </w:r>
    </w:p>
    <w:p w:rsidR="006E4FA3" w:rsidRDefault="00BB760D">
      <w:pPr>
        <w:spacing w:line="600" w:lineRule="exact"/>
        <w:ind w:firstLineChars="200" w:firstLine="640"/>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sz w:val="32"/>
          <w:szCs w:val="32"/>
        </w:rPr>
        <w:t>1.收入情况。2022年度一般公共预算财政拨款收入1,154.08万元，较上年决算数增加28.85万元，增长2.6%。主要原因是增加了万州区政府政务通信电话会议系统服务费项目资金、2021年“小切口、大民生”创新应用专项资金。较年初预算数增加255.93万元，增长28.5%。主要原因是追加万州区政府政务通信电话会议系统服务费、2021年“小切口、大民生”创新应用专项资金、区本级机关事业单位公务员绩效奖金（绩效工资）及离休补贴和健康休养费（公务员绩效奖金-基础绩效奖）、抗疫特别国债（面向重大公共卫生突发事件的智慧医疗一期项目建设（智慧万州子项目））等。此外，年初财政拨款结转和结余0万</w:t>
      </w:r>
      <w:r>
        <w:rPr>
          <w:rFonts w:ascii="方正仿宋_GBK" w:eastAsia="方正仿宋_GBK" w:hAnsi="方正仿宋_GBK" w:cs="方正仿宋_GBK" w:hint="eastAsia"/>
          <w:sz w:val="32"/>
          <w:szCs w:val="32"/>
        </w:rPr>
        <w:lastRenderedPageBreak/>
        <w:t>元。</w:t>
      </w:r>
    </w:p>
    <w:p w:rsidR="006E4FA3" w:rsidRDefault="00BB760D">
      <w:pPr>
        <w:spacing w:line="600" w:lineRule="exact"/>
        <w:ind w:firstLineChars="200" w:firstLine="640"/>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sz w:val="32"/>
          <w:szCs w:val="32"/>
        </w:rPr>
        <w:t>2.支出情况。2022年度一般公共预算财政拨款支出1,154.08万元，较上年决算数增加24.58万元，增长2.2%。主要原因是增加了万州区政府政务通信电话会议系统服务费项目资金、2021年“小切口、大民生”创新应用专项资金。较年初预算数增加255.93万元，增长28.5%。主要原因是追加万州区政府政务通信电话会议系统服务费、2021年“小切口、大民生”创新应用专项资金、区本级机关事业单位公务员绩效奖金（绩效工资）及离休补贴和健康休养费（公务员绩效奖金-基础绩效奖）、抗疫特别国债（面向重大公共卫生突发事件的智慧医疗一期项目建设（智慧万州子项目））等。</w:t>
      </w:r>
    </w:p>
    <w:p w:rsidR="006E4FA3" w:rsidRDefault="00BB760D">
      <w:pPr>
        <w:spacing w:line="600" w:lineRule="exact"/>
        <w:ind w:firstLineChars="200" w:firstLine="640"/>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sz w:val="32"/>
          <w:szCs w:val="32"/>
        </w:rPr>
        <w:t>3.结转结余情况。2022年度年末一般公共预算财政拨款结转和结余0万元，较上年决算数增加0万元，增长0.0%，与上年持平。</w:t>
      </w:r>
    </w:p>
    <w:p w:rsidR="006E4FA3" w:rsidRDefault="00BB760D">
      <w:pPr>
        <w:spacing w:line="600" w:lineRule="exact"/>
        <w:ind w:firstLineChars="200" w:firstLine="640"/>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sz w:val="32"/>
          <w:szCs w:val="32"/>
        </w:rPr>
        <w:t>4.比较情况。本部门2022年度一般公共预算财政拨款支出主要用于以下几个方面：</w:t>
      </w:r>
    </w:p>
    <w:p w:rsidR="006E4FA3" w:rsidRDefault="00BB760D">
      <w:pPr>
        <w:spacing w:line="600" w:lineRule="exact"/>
        <w:ind w:firstLineChars="200" w:firstLine="640"/>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sz w:val="32"/>
          <w:szCs w:val="32"/>
        </w:rPr>
        <w:t>（1）一般公共服务支出954.72万元，占82.7%，较年初预算数增加168.36万元，增长21.4%，主要原因是追加万州区政府政务通信电话会议系统服务费、区本级机关事业单位公务员绩效奖金（绩效工资）及离休补贴和健康休养费（公务员绩效奖金-基础绩效奖）</w:t>
      </w:r>
      <w:r>
        <w:rPr>
          <w:rFonts w:ascii="Times New Roman" w:eastAsia="方正仿宋_GBK" w:hAnsi="Times New Roman" w:cs="Times New Roman" w:hint="eastAsia"/>
          <w:color w:val="000000" w:themeColor="text1"/>
          <w:sz w:val="32"/>
          <w:szCs w:val="32"/>
          <w:shd w:val="clear" w:color="auto" w:fill="FFFFFF"/>
        </w:rPr>
        <w:t>、</w:t>
      </w:r>
      <w:r>
        <w:rPr>
          <w:rFonts w:ascii="Times New Roman" w:eastAsia="方正仿宋_GBK" w:hAnsi="Times New Roman" w:cs="Times New Roman" w:hint="eastAsia"/>
          <w:color w:val="000000" w:themeColor="text1"/>
          <w:sz w:val="32"/>
          <w:szCs w:val="32"/>
        </w:rPr>
        <w:t>抗疫特别国债（面向重大公共卫生突发事件的</w:t>
      </w:r>
      <w:r>
        <w:rPr>
          <w:rFonts w:ascii="Times New Roman" w:eastAsia="方正仿宋_GBK" w:hAnsi="Times New Roman" w:cs="Times New Roman" w:hint="eastAsia"/>
          <w:color w:val="000000" w:themeColor="text1"/>
          <w:sz w:val="32"/>
          <w:szCs w:val="32"/>
        </w:rPr>
        <w:lastRenderedPageBreak/>
        <w:t>智慧医疗一期项目建设（智慧万州子项目））</w:t>
      </w:r>
      <w:r>
        <w:rPr>
          <w:rFonts w:ascii="方正仿宋_GBK" w:eastAsia="方正仿宋_GBK" w:hAnsi="方正仿宋_GBK" w:cs="方正仿宋_GBK" w:hint="eastAsia"/>
          <w:sz w:val="32"/>
          <w:szCs w:val="32"/>
        </w:rPr>
        <w:t>。</w:t>
      </w:r>
    </w:p>
    <w:p w:rsidR="006E4FA3" w:rsidRDefault="00BB760D">
      <w:pPr>
        <w:spacing w:line="600" w:lineRule="exact"/>
        <w:ind w:firstLineChars="200" w:firstLine="640"/>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sz w:val="32"/>
          <w:szCs w:val="32"/>
        </w:rPr>
        <w:t>（2）社会保障与就业支出78.69万元，占6.8%，较年初预算数增加23.39万元，增长42.3%，主要原因是</w:t>
      </w:r>
      <w:r>
        <w:rPr>
          <w:rFonts w:ascii="Times New Roman" w:eastAsia="方正仿宋_GBK" w:hAnsi="Times New Roman" w:cs="Times New Roman" w:hint="eastAsia"/>
          <w:color w:val="000000"/>
          <w:sz w:val="32"/>
          <w:szCs w:val="32"/>
          <w:shd w:val="clear" w:color="auto" w:fill="FFFFFF"/>
        </w:rPr>
        <w:t>追加了</w:t>
      </w:r>
      <w:r>
        <w:rPr>
          <w:rFonts w:ascii="Times New Roman" w:eastAsia="方正仿宋_GBK" w:hAnsi="Times New Roman" w:cs="Times New Roman" w:hint="eastAsia"/>
          <w:color w:val="000000"/>
          <w:sz w:val="32"/>
          <w:szCs w:val="32"/>
          <w:shd w:val="clear" w:color="auto" w:fill="FFFFFF"/>
        </w:rPr>
        <w:t>2021</w:t>
      </w:r>
      <w:r>
        <w:rPr>
          <w:rFonts w:ascii="Times New Roman" w:eastAsia="方正仿宋_GBK" w:hAnsi="Times New Roman" w:cs="Times New Roman" w:hint="eastAsia"/>
          <w:color w:val="000000"/>
          <w:sz w:val="32"/>
          <w:szCs w:val="32"/>
          <w:shd w:val="clear" w:color="auto" w:fill="FFFFFF"/>
        </w:rPr>
        <w:t>年度</w:t>
      </w:r>
      <w:r>
        <w:rPr>
          <w:rFonts w:ascii="Times New Roman" w:eastAsia="方正仿宋_GBK" w:hAnsi="Times New Roman" w:cs="Times New Roman" w:hint="eastAsia"/>
          <w:color w:val="000000" w:themeColor="text1"/>
          <w:sz w:val="32"/>
          <w:szCs w:val="32"/>
          <w:shd w:val="clear" w:color="auto" w:fill="FFFFFF"/>
        </w:rPr>
        <w:t>退休职工健康休养费。</w:t>
      </w:r>
    </w:p>
    <w:p w:rsidR="006E4FA3" w:rsidRDefault="00BB760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（3）卫生健康支出33.93万元，占2.9%，较年初预算数增加4.73万元，增长16.2%，主要原因是追加了融入重庆市社区排查系统接口开发资金。</w:t>
      </w:r>
    </w:p>
    <w:p w:rsidR="006E4FA3" w:rsidRDefault="00BB760D">
      <w:pPr>
        <w:spacing w:line="600" w:lineRule="exact"/>
        <w:ind w:firstLineChars="200" w:firstLine="640"/>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sz w:val="32"/>
          <w:szCs w:val="32"/>
        </w:rPr>
        <w:t>（4）资源勘探信息等支出60万元，占5.2%，较年初预算数增加60万元，增长100.0%，主要原因是年初无预算，2022年增加了“小切口、大民生”创新应用专项资金。</w:t>
      </w:r>
    </w:p>
    <w:p w:rsidR="006E4FA3" w:rsidRDefault="00BB760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（5）住房保障支出26.74万元，占2.3%，较年初预算数减少0.57万元，下降2.1%，与年初预算基本持平。</w:t>
      </w:r>
    </w:p>
    <w:p w:rsidR="006E4FA3" w:rsidRDefault="00BB760D">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（四）一般公共预算财政拨款基本支出决算情况说明</w:t>
      </w:r>
    </w:p>
    <w:p w:rsidR="006E4FA3" w:rsidRDefault="00BB760D">
      <w:pPr>
        <w:spacing w:line="600" w:lineRule="exact"/>
        <w:ind w:firstLineChars="200" w:firstLine="640"/>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sz w:val="32"/>
          <w:szCs w:val="32"/>
        </w:rPr>
        <w:t>2022年度一般公共预算财政拨款基本支出610.60万元。其中：人员经费541.45万元，较上年决算数增加25.94万元，增长5%，主要原因是</w:t>
      </w:r>
      <w:r>
        <w:rPr>
          <w:rFonts w:ascii="Times New Roman" w:eastAsia="方正仿宋_GBK" w:hAnsi="Times New Roman" w:cs="Times New Roman" w:hint="eastAsia"/>
          <w:color w:val="000000"/>
          <w:sz w:val="32"/>
          <w:szCs w:val="32"/>
          <w:shd w:val="clear" w:color="auto" w:fill="FFFFFF"/>
        </w:rPr>
        <w:t>2021</w:t>
      </w:r>
      <w:r>
        <w:rPr>
          <w:rFonts w:ascii="Times New Roman" w:eastAsia="方正仿宋_GBK" w:hAnsi="Times New Roman" w:cs="Times New Roman" w:hint="eastAsia"/>
          <w:color w:val="000000"/>
          <w:sz w:val="32"/>
          <w:szCs w:val="32"/>
          <w:shd w:val="clear" w:color="auto" w:fill="FFFFFF"/>
        </w:rPr>
        <w:t>年</w:t>
      </w:r>
      <w:r>
        <w:rPr>
          <w:rFonts w:ascii="Times New Roman" w:eastAsia="方正仿宋_GBK" w:hAnsi="Times New Roman" w:cs="Times New Roman" w:hint="eastAsia"/>
          <w:color w:val="000000"/>
          <w:sz w:val="32"/>
          <w:szCs w:val="32"/>
          <w:shd w:val="clear" w:color="auto" w:fill="FFFFFF"/>
        </w:rPr>
        <w:t>9</w:t>
      </w:r>
      <w:r>
        <w:rPr>
          <w:rFonts w:ascii="Times New Roman" w:eastAsia="方正仿宋_GBK" w:hAnsi="Times New Roman" w:cs="Times New Roman" w:hint="eastAsia"/>
          <w:color w:val="000000"/>
          <w:sz w:val="32"/>
          <w:szCs w:val="32"/>
          <w:shd w:val="clear" w:color="auto" w:fill="FFFFFF"/>
        </w:rPr>
        <w:t>月党政信息中心新招录</w:t>
      </w:r>
      <w:r>
        <w:rPr>
          <w:rFonts w:ascii="Times New Roman" w:eastAsia="方正仿宋_GBK" w:hAnsi="Times New Roman" w:cs="Times New Roman" w:hint="eastAsia"/>
          <w:color w:val="000000"/>
          <w:sz w:val="32"/>
          <w:szCs w:val="32"/>
          <w:shd w:val="clear" w:color="auto" w:fill="FFFFFF"/>
        </w:rPr>
        <w:t>1</w:t>
      </w:r>
      <w:r>
        <w:rPr>
          <w:rFonts w:ascii="Times New Roman" w:eastAsia="方正仿宋_GBK" w:hAnsi="Times New Roman" w:cs="Times New Roman" w:hint="eastAsia"/>
          <w:color w:val="000000"/>
          <w:sz w:val="32"/>
          <w:szCs w:val="32"/>
          <w:shd w:val="clear" w:color="auto" w:fill="FFFFFF"/>
        </w:rPr>
        <w:t>人，</w:t>
      </w:r>
      <w:r>
        <w:rPr>
          <w:rFonts w:ascii="方正仿宋_GBK" w:eastAsia="方正仿宋_GBK" w:hAnsi="方正仿宋_GBK" w:cs="方正仿宋_GBK" w:hint="eastAsia"/>
          <w:sz w:val="32"/>
          <w:szCs w:val="32"/>
        </w:rPr>
        <w:t>增加人员工资</w:t>
      </w:r>
      <w:r>
        <w:rPr>
          <w:rFonts w:ascii="Times New Roman" w:eastAsia="方正仿宋_GBK" w:hAnsi="Times New Roman" w:cs="Times New Roman" w:hint="eastAsia"/>
          <w:color w:val="000000"/>
          <w:sz w:val="32"/>
          <w:szCs w:val="32"/>
          <w:shd w:val="clear" w:color="auto" w:fill="FFFFFF"/>
        </w:rPr>
        <w:t>。</w:t>
      </w:r>
      <w:r>
        <w:rPr>
          <w:rFonts w:ascii="方正仿宋_GBK" w:eastAsia="方正仿宋_GBK" w:hAnsi="方正仿宋_GBK" w:cs="方正仿宋_GBK" w:hint="eastAsia"/>
          <w:sz w:val="32"/>
          <w:szCs w:val="32"/>
        </w:rPr>
        <w:t>人员经费用途主要包括基本工资、津贴补贴、奖金、社会保障缴费、住房公积金、医疗费、其他工资福利支出及对个人和家庭的生活补助。公用经费69.15万元，较上年决算数减少46.43万元，下降40.2%，主要原因是人员调出造成经费减少，同时区级预算口径变化造成差旅费减少。公用经费用途主要包括</w:t>
      </w:r>
      <w:r>
        <w:rPr>
          <w:rFonts w:ascii="方正仿宋_GBK" w:eastAsia="方正仿宋_GBK" w:hAnsi="方正仿宋_GBK" w:cs="方正仿宋_GBK" w:hint="eastAsia"/>
          <w:sz w:val="32"/>
          <w:szCs w:val="32"/>
        </w:rPr>
        <w:lastRenderedPageBreak/>
        <w:t>办公费、邮电费、咨询费、差旅费等支出。</w:t>
      </w:r>
    </w:p>
    <w:p w:rsidR="006E4FA3" w:rsidRDefault="00BB760D">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（五）政府性基金预算收支决算情况说明</w:t>
      </w:r>
    </w:p>
    <w:p w:rsidR="006E4FA3" w:rsidRDefault="00BB760D">
      <w:pPr>
        <w:spacing w:line="600" w:lineRule="exact"/>
        <w:ind w:firstLineChars="200" w:firstLine="640"/>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sz w:val="32"/>
          <w:szCs w:val="32"/>
        </w:rPr>
        <w:t>2022年度政府性基金预算财政拨款年初结转结余0万元，年末结转结余0万元。本年收入41.02万元，较上年决算数减少6,037.88万元，下降99.3%，主要原因是</w:t>
      </w:r>
      <w:r>
        <w:rPr>
          <w:rFonts w:eastAsia="仿宋_GB2312" w:cs="Times New Roman" w:hint="eastAsia"/>
          <w:sz w:val="32"/>
          <w:szCs w:val="32"/>
        </w:rPr>
        <w:t>2022</w:t>
      </w:r>
      <w:r>
        <w:rPr>
          <w:rFonts w:eastAsia="仿宋_GB2312" w:cs="Times New Roman" w:hint="eastAsia"/>
          <w:sz w:val="32"/>
          <w:szCs w:val="32"/>
        </w:rPr>
        <w:t>年度减少了</w:t>
      </w:r>
      <w:r>
        <w:rPr>
          <w:rFonts w:ascii="Times New Roman" w:eastAsia="方正仿宋_GBK" w:hAnsi="Times New Roman" w:cs="Times New Roman" w:hint="eastAsia"/>
          <w:sz w:val="32"/>
          <w:szCs w:val="32"/>
        </w:rPr>
        <w:t>抗疫特别国债（面向重大公共卫生突发事件的智慧医疗一期项目建设（智慧万州子项目））</w:t>
      </w:r>
      <w:r>
        <w:rPr>
          <w:rFonts w:eastAsia="仿宋_GB2312" w:cs="Times New Roman" w:hint="eastAsia"/>
          <w:sz w:val="32"/>
          <w:szCs w:val="32"/>
        </w:rPr>
        <w:t>。</w:t>
      </w:r>
      <w:r>
        <w:rPr>
          <w:rFonts w:ascii="方正仿宋_GBK" w:eastAsia="方正仿宋_GBK" w:hAnsi="方正仿宋_GBK" w:cs="方正仿宋_GBK" w:hint="eastAsia"/>
          <w:sz w:val="32"/>
          <w:szCs w:val="32"/>
        </w:rPr>
        <w:t>本年支出41.02万元，较上年决算数减少6,037.88万元，下降99.3%，主要原因是</w:t>
      </w:r>
      <w:r>
        <w:rPr>
          <w:rFonts w:eastAsia="仿宋_GB2312" w:cs="Times New Roman" w:hint="eastAsia"/>
          <w:sz w:val="32"/>
          <w:szCs w:val="32"/>
        </w:rPr>
        <w:t>2022</w:t>
      </w:r>
      <w:r>
        <w:rPr>
          <w:rFonts w:eastAsia="仿宋_GB2312" w:cs="Times New Roman" w:hint="eastAsia"/>
          <w:sz w:val="32"/>
          <w:szCs w:val="32"/>
        </w:rPr>
        <w:t>年度减少了</w:t>
      </w:r>
      <w:r>
        <w:rPr>
          <w:rFonts w:ascii="Times New Roman" w:eastAsia="方正仿宋_GBK" w:hAnsi="Times New Roman" w:cs="Times New Roman" w:hint="eastAsia"/>
          <w:sz w:val="32"/>
          <w:szCs w:val="32"/>
        </w:rPr>
        <w:t>抗疫特别国债（面向重大公共卫生突发事件的智慧医疗一期项目建设（智慧万州子项目））</w:t>
      </w:r>
      <w:r>
        <w:rPr>
          <w:rFonts w:eastAsia="仿宋_GB2312" w:cs="Times New Roman" w:hint="eastAsia"/>
          <w:sz w:val="32"/>
          <w:szCs w:val="32"/>
        </w:rPr>
        <w:t>。</w:t>
      </w:r>
    </w:p>
    <w:p w:rsidR="006E4FA3" w:rsidRDefault="00BB760D">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（六）国有资本经营预算财政拨款支出决算情况说明</w:t>
      </w:r>
    </w:p>
    <w:p w:rsidR="006E4FA3" w:rsidRDefault="00BB760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本部门2022年度无国有资本经营预算财政拨款支出。</w:t>
      </w:r>
    </w:p>
    <w:p w:rsidR="006E4FA3" w:rsidRDefault="00BB760D">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三、“三公”经费情况说明</w:t>
      </w:r>
    </w:p>
    <w:p w:rsidR="006E4FA3" w:rsidRDefault="00BB760D">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（一）“三公”经费支出总体情况说明</w:t>
      </w:r>
    </w:p>
    <w:p w:rsidR="006E4FA3" w:rsidRDefault="00BB760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2022年度“三公”经费支出共计1.74万元，较年初预算数减少0.06万元，下降3.3%，主要原因是认真贯彻落实中央八项规定精神，从严控制“三公”经费，严格落实公车使用规定，从严控制公车运行维护成本，强化公务接待支出管理，严格遵守公务接待开支范围和开支标准，规范因公出国（境）活动，全年未安排人员出国出访。较上年支出数减少0.03万元，下降1.7%，主要原因是认真贯彻落实中央八项规定精神，从严控制“三公”</w:t>
      </w:r>
      <w:r>
        <w:rPr>
          <w:rFonts w:ascii="方正仿宋_GBK" w:eastAsia="方正仿宋_GBK" w:hAnsi="方正仿宋_GBK" w:cs="方正仿宋_GBK" w:hint="eastAsia"/>
          <w:sz w:val="32"/>
          <w:szCs w:val="32"/>
        </w:rPr>
        <w:lastRenderedPageBreak/>
        <w:t>经费，严格落实公车使用规定，从严控制公车运行维护成本，强化公务接待支出管理，严格遵守公务接待开支范围和开支标准，规范因公出国（境）活动，全年未安排人员出国出访。</w:t>
      </w:r>
    </w:p>
    <w:p w:rsidR="006E4FA3" w:rsidRDefault="00BB760D">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（二）“三公”经费分项支出情况</w:t>
      </w:r>
    </w:p>
    <w:p w:rsidR="006E4FA3" w:rsidRDefault="00BB760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2022年度本部门因公出国（境）费用0万元。费用支出较年初预算数增加0万元，增长0.0%。较上年支出数增加0万元，增长0.0%。与年初预算和上年决算持平。</w:t>
      </w:r>
    </w:p>
    <w:p w:rsidR="006E4FA3" w:rsidRDefault="00BB760D">
      <w:pPr>
        <w:spacing w:line="600" w:lineRule="exact"/>
        <w:ind w:firstLineChars="200" w:firstLine="640"/>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sz w:val="32"/>
          <w:szCs w:val="32"/>
        </w:rPr>
        <w:t>公务车购置费0万元。费用支出较年初预算数增加0万元，增长0.0%。较上年支出数增加0万元，增长0.0%。与年初预算和上年决算持平。</w:t>
      </w:r>
    </w:p>
    <w:p w:rsidR="006E4FA3" w:rsidRDefault="00BB760D">
      <w:pPr>
        <w:spacing w:line="600" w:lineRule="exact"/>
        <w:ind w:firstLineChars="200" w:firstLine="640"/>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sz w:val="32"/>
          <w:szCs w:val="32"/>
        </w:rPr>
        <w:t>公务</w:t>
      </w:r>
      <w:r w:rsidR="001A7F9F">
        <w:rPr>
          <w:rFonts w:ascii="方正仿宋_GBK" w:eastAsia="方正仿宋_GBK" w:hAnsi="方正仿宋_GBK" w:cs="方正仿宋_GBK" w:hint="eastAsia"/>
          <w:sz w:val="32"/>
          <w:szCs w:val="32"/>
        </w:rPr>
        <w:t>用</w:t>
      </w:r>
      <w:r>
        <w:rPr>
          <w:rFonts w:ascii="方正仿宋_GBK" w:eastAsia="方正仿宋_GBK" w:hAnsi="方正仿宋_GBK" w:cs="方正仿宋_GBK" w:hint="eastAsia"/>
          <w:sz w:val="32"/>
          <w:szCs w:val="32"/>
        </w:rPr>
        <w:t>车运行维护费0.80万元，主要用于机要文件交换、市内因公出行等工作所需车辆的燃料费、维修费、过桥过路费、保险费等。费用支出较年初预算数增加0万元，增长0.0%，与年初预算持平。较上年支出数增加0.01万元，增长1.3%，主要原因是2022年招商引资工作导致经费增加。</w:t>
      </w:r>
    </w:p>
    <w:p w:rsidR="006E4FA3" w:rsidRDefault="00BB760D">
      <w:pPr>
        <w:spacing w:line="600" w:lineRule="exact"/>
        <w:ind w:firstLineChars="200" w:firstLine="640"/>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sz w:val="32"/>
          <w:szCs w:val="32"/>
        </w:rPr>
        <w:t>公务接待费0.94万元，主要用于接待上级部门检查指导工作，招商引资等接待支出。费用支出较年初预算数减少0.06万元，下降6%，主要原因是本单位严格贯彻落实中央八项规定精神，严格执行公务接待开支范围和开支标准，严格控制陪餐人数。较上年支出数减少0.04万元，下降4.1%，主要原因是本单位严格贯彻落实中央八项规定精神，严格执行公务接待开支范围和开</w:t>
      </w:r>
      <w:r>
        <w:rPr>
          <w:rFonts w:ascii="方正仿宋_GBK" w:eastAsia="方正仿宋_GBK" w:hAnsi="方正仿宋_GBK" w:cs="方正仿宋_GBK" w:hint="eastAsia"/>
          <w:sz w:val="32"/>
          <w:szCs w:val="32"/>
        </w:rPr>
        <w:lastRenderedPageBreak/>
        <w:t>支标准，严格控制陪餐人数。</w:t>
      </w:r>
    </w:p>
    <w:p w:rsidR="006E4FA3" w:rsidRDefault="00BB760D">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（三）“三公”经费实物量情况</w:t>
      </w:r>
    </w:p>
    <w:p w:rsidR="006E4FA3" w:rsidRDefault="00BB760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2022年度本部门因公出国（境）共计0个团组，0人；公务用车购置0辆，公务车保有量为1辆；国内公务接待40批次139人，其中：国内外事接待0批次，0人；国（境）外公务接待0批次，0人。2022年本部门人均接待费67.68元，车均购置费0万元，车均维护费0.8万元。</w:t>
      </w:r>
    </w:p>
    <w:p w:rsidR="006E4FA3" w:rsidRDefault="00BB760D">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四、其他需要说明的事项</w:t>
      </w:r>
    </w:p>
    <w:p w:rsidR="006E4FA3" w:rsidRDefault="00BB760D">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（一）机关运行经费支出情况说明</w:t>
      </w:r>
    </w:p>
    <w:p w:rsidR="006E4FA3" w:rsidRDefault="00BB760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2022年度本部门机关运行经费支出32.14万元，较上年减少12.78万元，下降28.5%，主要原因是人员调出造成经费减少。比年初预算数增加4.04万元，增加14.4%，主要原因是增加了工会经费、差旅费等。机关运行经费主要用于开支办公费、差旅费、</w:t>
      </w:r>
      <w:r w:rsidR="001A7F9F">
        <w:rPr>
          <w:rFonts w:ascii="方正仿宋_GBK" w:eastAsia="方正仿宋_GBK" w:hAnsi="方正仿宋_GBK" w:cs="方正仿宋_GBK" w:hint="eastAsia"/>
          <w:sz w:val="32"/>
          <w:szCs w:val="32"/>
        </w:rPr>
        <w:t>水</w:t>
      </w:r>
      <w:r>
        <w:rPr>
          <w:rFonts w:ascii="方正仿宋_GBK" w:eastAsia="方正仿宋_GBK" w:hAnsi="方正仿宋_GBK" w:cs="方正仿宋_GBK" w:hint="eastAsia"/>
          <w:sz w:val="32"/>
          <w:szCs w:val="32"/>
        </w:rPr>
        <w:t>电费、邮电费、劳务费、物业管理费、公务</w:t>
      </w:r>
      <w:r w:rsidR="001A7F9F">
        <w:rPr>
          <w:rFonts w:ascii="方正仿宋_GBK" w:eastAsia="方正仿宋_GBK" w:hAnsi="方正仿宋_GBK" w:cs="方正仿宋_GBK" w:hint="eastAsia"/>
          <w:sz w:val="32"/>
          <w:szCs w:val="32"/>
        </w:rPr>
        <w:t>用</w:t>
      </w:r>
      <w:r>
        <w:rPr>
          <w:rFonts w:ascii="方正仿宋_GBK" w:eastAsia="方正仿宋_GBK" w:hAnsi="方正仿宋_GBK" w:cs="方正仿宋_GBK" w:hint="eastAsia"/>
          <w:sz w:val="32"/>
          <w:szCs w:val="32"/>
        </w:rPr>
        <w:t>车运行维护费、其他交通费等。</w:t>
      </w:r>
    </w:p>
    <w:p w:rsidR="006E4FA3" w:rsidRDefault="00BB760D">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（二）国有资产占用情况说明</w:t>
      </w:r>
      <w:bookmarkStart w:id="0" w:name="_GoBack"/>
      <w:bookmarkEnd w:id="0"/>
    </w:p>
    <w:p w:rsidR="006E4FA3" w:rsidRDefault="00BB760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截至2022年12月31日，本部门共有车辆1辆，其中，副部（省）级及以上领导用车0辆、主要领导干部用车0辆、机要通信用车1辆、应急保障用车0辆、执法执勤用车0辆，特种专业技术用车0辆，离退休干部用车0辆，其他用车0辆。单价100万元（含）以上设备（不含车辆）5台（套）。</w:t>
      </w:r>
    </w:p>
    <w:p w:rsidR="006E4FA3" w:rsidRDefault="00BB760D">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lastRenderedPageBreak/>
        <w:t>（三）政府采购支出情况说明</w:t>
      </w:r>
    </w:p>
    <w:p w:rsidR="006E4FA3" w:rsidRDefault="00BB760D">
      <w:pPr>
        <w:spacing w:line="600" w:lineRule="exact"/>
        <w:ind w:firstLineChars="200" w:firstLine="640"/>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sz w:val="32"/>
          <w:szCs w:val="32"/>
        </w:rPr>
        <w:t>2022年度本部门政府采购支出总额358.77万元，其中：政府采购货物支出174.79万元、政府采购工程支出0万元、政府采购服务支出183.98万元。授予中小企业合同金额174.79万元，占政府采购支出总额的48.7%，其中：授予小微企业合同金额174.79万元，占政府采购支出总额的48.7%。主要用于采购</w:t>
      </w:r>
      <w:r>
        <w:rPr>
          <w:rFonts w:ascii="Times New Roman" w:eastAsia="方正仿宋_GBK" w:hAnsi="Times New Roman" w:cs="Times New Roman"/>
          <w:color w:val="000000"/>
          <w:sz w:val="32"/>
          <w:szCs w:val="32"/>
          <w:shd w:val="clear" w:color="auto" w:fill="FFFFFF"/>
        </w:rPr>
        <w:t>万州区互联网安全接入升级改造系统服务</w:t>
      </w:r>
      <w:r>
        <w:rPr>
          <w:rFonts w:ascii="Times New Roman" w:eastAsia="方正仿宋_GBK" w:hAnsi="Times New Roman" w:cs="Times New Roman" w:hint="eastAsia"/>
          <w:color w:val="000000"/>
          <w:sz w:val="32"/>
          <w:szCs w:val="32"/>
          <w:shd w:val="clear" w:color="auto" w:fill="FFFFFF"/>
        </w:rPr>
        <w:t>、</w:t>
      </w:r>
      <w:r>
        <w:rPr>
          <w:rFonts w:ascii="方正仿宋_GBK" w:eastAsia="方正仿宋_GBK" w:hAnsi="方正仿宋_GBK" w:cs="方正仿宋_GBK" w:hint="eastAsia"/>
          <w:sz w:val="32"/>
          <w:szCs w:val="32"/>
        </w:rPr>
        <w:t>万州区富民小区与学府小区智慧升级改造建设项目</w:t>
      </w:r>
      <w:r>
        <w:rPr>
          <w:rFonts w:ascii="Times New Roman" w:eastAsia="方正仿宋_GBK" w:hAnsi="Times New Roman" w:cs="Times New Roman"/>
          <w:color w:val="000000"/>
          <w:sz w:val="32"/>
          <w:szCs w:val="32"/>
          <w:shd w:val="clear" w:color="auto" w:fill="FFFFFF"/>
        </w:rPr>
        <w:t>。</w:t>
      </w:r>
    </w:p>
    <w:p w:rsidR="006E4FA3" w:rsidRDefault="00BB760D">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五、预算绩效管理情况说明</w:t>
      </w:r>
    </w:p>
    <w:p w:rsidR="006E4FA3" w:rsidRDefault="00BB760D">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（一）预算绩效管理工作开展情况</w:t>
      </w:r>
    </w:p>
    <w:p w:rsidR="006E4FA3" w:rsidRDefault="00BB760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根据预算绩效管理要求，我局组织部门本级及所属单位对部门整体和21个一般性项目开展了绩效自评，涉及财政拨款项目支出584.5 万元。</w:t>
      </w:r>
    </w:p>
    <w:p w:rsidR="006E4FA3" w:rsidRDefault="00BB760D">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（二）绩效自评结果</w:t>
      </w:r>
    </w:p>
    <w:tbl>
      <w:tblPr>
        <w:tblW w:w="8860" w:type="dxa"/>
        <w:tblInd w:w="93" w:type="dxa"/>
        <w:tblLayout w:type="fixed"/>
        <w:tblLook w:val="04A0"/>
      </w:tblPr>
      <w:tblGrid>
        <w:gridCol w:w="504"/>
        <w:gridCol w:w="96"/>
        <w:gridCol w:w="222"/>
        <w:gridCol w:w="495"/>
        <w:gridCol w:w="96"/>
        <w:gridCol w:w="430"/>
        <w:gridCol w:w="374"/>
        <w:gridCol w:w="96"/>
        <w:gridCol w:w="684"/>
        <w:gridCol w:w="765"/>
        <w:gridCol w:w="705"/>
        <w:gridCol w:w="735"/>
        <w:gridCol w:w="172"/>
        <w:gridCol w:w="788"/>
        <w:gridCol w:w="122"/>
        <w:gridCol w:w="583"/>
        <w:gridCol w:w="401"/>
        <w:gridCol w:w="288"/>
        <w:gridCol w:w="417"/>
        <w:gridCol w:w="270"/>
        <w:gridCol w:w="97"/>
        <w:gridCol w:w="15"/>
        <w:gridCol w:w="280"/>
        <w:gridCol w:w="225"/>
      </w:tblGrid>
      <w:tr w:rsidR="006E4FA3">
        <w:trPr>
          <w:trHeight w:val="596"/>
        </w:trPr>
        <w:tc>
          <w:tcPr>
            <w:tcW w:w="8860" w:type="dxa"/>
            <w:gridSpan w:val="24"/>
            <w:tcBorders>
              <w:top w:val="nil"/>
              <w:left w:val="nil"/>
              <w:bottom w:val="nil"/>
              <w:right w:val="nil"/>
            </w:tcBorders>
            <w:noWrap/>
            <w:vAlign w:val="center"/>
          </w:tcPr>
          <w:p w:rsidR="006E4FA3" w:rsidRDefault="00BB760D">
            <w:pPr>
              <w:widowControl/>
              <w:spacing w:line="600" w:lineRule="exact"/>
              <w:jc w:val="center"/>
              <w:textAlignment w:val="center"/>
              <w:rPr>
                <w:rFonts w:ascii="Times New Roman" w:eastAsia="方正小标宋_GBK" w:hAnsi="Times New Roman" w:cs="Times New Roman"/>
                <w:sz w:val="36"/>
                <w:szCs w:val="36"/>
              </w:rPr>
            </w:pPr>
            <w:r>
              <w:rPr>
                <w:rFonts w:ascii="Times New Roman" w:eastAsia="方正小标宋_GBK" w:hAnsi="Times New Roman" w:cs="Times New Roman"/>
                <w:kern w:val="0"/>
                <w:sz w:val="36"/>
                <w:szCs w:val="36"/>
              </w:rPr>
              <w:t>2022</w:t>
            </w:r>
            <w:r>
              <w:rPr>
                <w:rFonts w:ascii="Times New Roman" w:eastAsia="方正小标宋_GBK" w:hAnsi="Times New Roman" w:cs="Times New Roman"/>
                <w:kern w:val="0"/>
                <w:sz w:val="36"/>
                <w:szCs w:val="36"/>
              </w:rPr>
              <w:t>年度部门整体绩效自评表</w:t>
            </w:r>
          </w:p>
        </w:tc>
      </w:tr>
      <w:tr w:rsidR="006E4FA3">
        <w:trPr>
          <w:trHeight w:val="606"/>
        </w:trPr>
        <w:tc>
          <w:tcPr>
            <w:tcW w:w="822"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BB760D">
            <w:pPr>
              <w:widowControl/>
              <w:spacing w:line="600" w:lineRule="exact"/>
              <w:jc w:val="center"/>
              <w:textAlignment w:val="center"/>
              <w:rPr>
                <w:rFonts w:ascii="方正仿宋_GBK" w:eastAsia="方正仿宋_GBK" w:hAnsi="方正仿宋_GBK" w:cs="方正仿宋_GBK"/>
                <w:sz w:val="22"/>
                <w:szCs w:val="22"/>
              </w:rPr>
            </w:pPr>
            <w:r>
              <w:rPr>
                <w:rFonts w:ascii="方正黑体_GBK" w:eastAsia="方正黑体_GBK" w:hAnsi="方正黑体_GBK" w:cs="方正黑体_GBK" w:hint="eastAsia"/>
                <w:kern w:val="0"/>
                <w:sz w:val="22"/>
                <w:szCs w:val="22"/>
              </w:rPr>
              <w:t>主管部门</w:t>
            </w:r>
          </w:p>
        </w:tc>
        <w:tc>
          <w:tcPr>
            <w:tcW w:w="1021"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重庆市万州区大数据应用发展管理局</w:t>
            </w:r>
          </w:p>
        </w:tc>
        <w:tc>
          <w:tcPr>
            <w:tcW w:w="1154"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BB760D">
            <w:pPr>
              <w:widowControl/>
              <w:spacing w:line="600" w:lineRule="exact"/>
              <w:jc w:val="center"/>
              <w:textAlignment w:val="center"/>
              <w:rPr>
                <w:rFonts w:ascii="方正仿宋_GBK" w:eastAsia="方正仿宋_GBK" w:hAnsi="方正仿宋_GBK" w:cs="方正仿宋_GBK"/>
                <w:sz w:val="22"/>
                <w:szCs w:val="22"/>
              </w:rPr>
            </w:pPr>
            <w:r>
              <w:rPr>
                <w:rFonts w:ascii="方正黑体_GBK" w:eastAsia="方正黑体_GBK" w:hAnsi="方正黑体_GBK" w:cs="方正黑体_GBK" w:hint="eastAsia"/>
                <w:kern w:val="0"/>
                <w:sz w:val="22"/>
                <w:szCs w:val="22"/>
              </w:rPr>
              <w:t>部门</w:t>
            </w:r>
            <w:r>
              <w:rPr>
                <w:rFonts w:ascii="方正黑体_GBK" w:eastAsia="方正黑体_GBK" w:hAnsi="方正黑体_GBK" w:cs="方正黑体_GBK" w:hint="eastAsia"/>
                <w:kern w:val="0"/>
                <w:sz w:val="22"/>
                <w:szCs w:val="22"/>
              </w:rPr>
              <w:br/>
              <w:t>联系人</w:t>
            </w:r>
          </w:p>
        </w:tc>
        <w:tc>
          <w:tcPr>
            <w:tcW w:w="1470"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widowControl/>
              <w:spacing w:line="600" w:lineRule="exact"/>
              <w:jc w:val="center"/>
              <w:textAlignment w:val="center"/>
              <w:rPr>
                <w:rFonts w:ascii="方正仿宋_GBK" w:eastAsia="方正仿宋_GBK" w:hAnsi="方正仿宋_GBK" w:cs="方正仿宋_GBK"/>
                <w:kern w:val="0"/>
                <w:sz w:val="22"/>
                <w:szCs w:val="22"/>
              </w:rPr>
            </w:pPr>
            <w:r>
              <w:rPr>
                <w:rFonts w:ascii="方正仿宋_GBK" w:eastAsia="方正仿宋_GBK" w:hAnsi="方正仿宋_GBK" w:cs="方正仿宋_GBK" w:hint="eastAsia"/>
                <w:kern w:val="0"/>
                <w:sz w:val="22"/>
                <w:szCs w:val="22"/>
              </w:rPr>
              <w:t>李彦霖</w:t>
            </w:r>
          </w:p>
        </w:tc>
        <w:tc>
          <w:tcPr>
            <w:tcW w:w="907"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widowControl/>
              <w:spacing w:line="600" w:lineRule="exact"/>
              <w:jc w:val="center"/>
              <w:textAlignment w:val="center"/>
              <w:rPr>
                <w:rFonts w:ascii="方正黑体_GBK" w:eastAsia="方正黑体_GBK" w:hAnsi="方正黑体_GBK" w:cs="方正黑体_GBK"/>
                <w:kern w:val="0"/>
                <w:sz w:val="22"/>
                <w:szCs w:val="22"/>
              </w:rPr>
            </w:pPr>
            <w:r>
              <w:rPr>
                <w:rFonts w:ascii="方正黑体_GBK" w:eastAsia="方正黑体_GBK" w:hAnsi="方正黑体_GBK" w:cs="方正黑体_GBK" w:hint="eastAsia"/>
                <w:kern w:val="0"/>
                <w:sz w:val="22"/>
                <w:szCs w:val="22"/>
              </w:rPr>
              <w:t>联系电话</w:t>
            </w:r>
          </w:p>
        </w:tc>
        <w:tc>
          <w:tcPr>
            <w:tcW w:w="1894" w:type="dxa"/>
            <w:gridSpan w:val="4"/>
            <w:tcBorders>
              <w:top w:val="single" w:sz="4" w:space="0" w:color="000000"/>
              <w:left w:val="single" w:sz="4" w:space="0" w:color="000000"/>
              <w:bottom w:val="single" w:sz="4" w:space="0" w:color="000000"/>
              <w:right w:val="single" w:sz="4" w:space="0" w:color="000000"/>
            </w:tcBorders>
            <w:noWrap/>
            <w:vAlign w:val="center"/>
          </w:tcPr>
          <w:p w:rsidR="006E4FA3" w:rsidRPr="001A7F9F" w:rsidRDefault="001A7F9F">
            <w:pPr>
              <w:widowControl/>
              <w:spacing w:line="600" w:lineRule="exact"/>
              <w:jc w:val="center"/>
              <w:textAlignment w:val="center"/>
              <w:rPr>
                <w:rFonts w:ascii="方正仿宋_GBK" w:eastAsia="方正仿宋_GBK" w:hAnsi="方正仿宋_GBK" w:cs="方正仿宋_GBK"/>
                <w:kern w:val="0"/>
                <w:sz w:val="22"/>
                <w:szCs w:val="22"/>
              </w:rPr>
            </w:pPr>
            <w:r w:rsidRPr="001A7F9F">
              <w:rPr>
                <w:rFonts w:ascii="方正仿宋_GBK" w:eastAsia="方正仿宋_GBK" w:hAnsi="方正仿宋_GBK" w:cs="方正仿宋_GBK" w:hint="eastAsia"/>
                <w:sz w:val="22"/>
                <w:szCs w:val="22"/>
              </w:rPr>
              <w:t>023－58966399</w:t>
            </w:r>
          </w:p>
        </w:tc>
        <w:tc>
          <w:tcPr>
            <w:tcW w:w="975"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BB760D">
            <w:pPr>
              <w:widowControl/>
              <w:spacing w:line="600" w:lineRule="exact"/>
              <w:jc w:val="center"/>
              <w:textAlignment w:val="center"/>
              <w:rPr>
                <w:rFonts w:ascii="方正黑体_GBK" w:eastAsia="方正黑体_GBK" w:hAnsi="方正黑体_GBK" w:cs="方正黑体_GBK"/>
                <w:kern w:val="0"/>
                <w:sz w:val="22"/>
                <w:szCs w:val="22"/>
              </w:rPr>
            </w:pPr>
            <w:r>
              <w:rPr>
                <w:rFonts w:ascii="方正黑体_GBK" w:eastAsia="方正黑体_GBK" w:hAnsi="方正黑体_GBK" w:cs="方正黑体_GBK" w:hint="eastAsia"/>
                <w:kern w:val="0"/>
                <w:sz w:val="22"/>
                <w:szCs w:val="22"/>
              </w:rPr>
              <w:t>自评总分</w:t>
            </w:r>
            <w:r>
              <w:rPr>
                <w:rFonts w:ascii="方正黑体_GBK" w:eastAsia="方正黑体_GBK" w:hAnsi="方正黑体_GBK" w:cs="方正黑体_GBK" w:hint="eastAsia"/>
                <w:kern w:val="0"/>
                <w:sz w:val="22"/>
                <w:szCs w:val="22"/>
              </w:rPr>
              <w:br/>
              <w:t>（分）</w:t>
            </w:r>
          </w:p>
        </w:tc>
        <w:tc>
          <w:tcPr>
            <w:tcW w:w="617" w:type="dxa"/>
            <w:gridSpan w:val="4"/>
            <w:tcBorders>
              <w:top w:val="single" w:sz="4" w:space="0" w:color="000000"/>
              <w:left w:val="single" w:sz="4" w:space="0" w:color="000000"/>
              <w:bottom w:val="single" w:sz="4" w:space="0" w:color="000000"/>
              <w:right w:val="single" w:sz="4" w:space="0" w:color="000000"/>
            </w:tcBorders>
            <w:noWrap/>
            <w:vAlign w:val="center"/>
          </w:tcPr>
          <w:p w:rsidR="006E4FA3" w:rsidRDefault="00BB760D">
            <w:pPr>
              <w:widowControl/>
              <w:spacing w:line="600" w:lineRule="exact"/>
              <w:jc w:val="center"/>
              <w:textAlignment w:val="center"/>
              <w:rPr>
                <w:rFonts w:ascii="方正仿宋_GBK" w:eastAsia="方正仿宋_GBK" w:hAnsi="方正仿宋_GBK" w:cs="方正仿宋_GBK"/>
                <w:kern w:val="0"/>
                <w:sz w:val="22"/>
                <w:szCs w:val="22"/>
              </w:rPr>
            </w:pPr>
            <w:r>
              <w:rPr>
                <w:rFonts w:ascii="方正仿宋_GBK" w:eastAsia="方正仿宋_GBK" w:hAnsi="方正仿宋_GBK" w:cs="方正仿宋_GBK" w:hint="eastAsia"/>
                <w:kern w:val="0"/>
                <w:sz w:val="22"/>
                <w:szCs w:val="22"/>
              </w:rPr>
              <w:t>99.8</w:t>
            </w:r>
          </w:p>
        </w:tc>
      </w:tr>
      <w:tr w:rsidR="006E4FA3">
        <w:trPr>
          <w:trHeight w:val="440"/>
        </w:trPr>
        <w:tc>
          <w:tcPr>
            <w:tcW w:w="822" w:type="dxa"/>
            <w:gridSpan w:val="3"/>
            <w:vMerge w:val="restart"/>
            <w:tcBorders>
              <w:top w:val="single" w:sz="4" w:space="0" w:color="000000"/>
              <w:left w:val="single" w:sz="4" w:space="0" w:color="000000"/>
              <w:bottom w:val="single" w:sz="4" w:space="0" w:color="000000"/>
              <w:right w:val="single" w:sz="4" w:space="0" w:color="000000"/>
            </w:tcBorders>
            <w:noWrap/>
            <w:vAlign w:val="center"/>
          </w:tcPr>
          <w:p w:rsidR="006E4FA3" w:rsidRDefault="00BB760D">
            <w:pPr>
              <w:widowControl/>
              <w:spacing w:line="600" w:lineRule="exact"/>
              <w:jc w:val="center"/>
              <w:textAlignment w:val="center"/>
              <w:rPr>
                <w:rFonts w:ascii="方正黑体_GBK" w:eastAsia="方正黑体_GBK" w:hAnsi="方正黑体_GBK" w:cs="方正黑体_GBK"/>
                <w:kern w:val="0"/>
                <w:sz w:val="22"/>
                <w:szCs w:val="22"/>
              </w:rPr>
            </w:pPr>
            <w:r>
              <w:rPr>
                <w:rFonts w:ascii="方正黑体_GBK" w:eastAsia="方正黑体_GBK" w:hAnsi="方正黑体_GBK" w:cs="方正黑体_GBK" w:hint="eastAsia"/>
                <w:kern w:val="0"/>
                <w:sz w:val="22"/>
                <w:szCs w:val="22"/>
              </w:rPr>
              <w:lastRenderedPageBreak/>
              <w:t>当年绩效</w:t>
            </w:r>
            <w:r>
              <w:rPr>
                <w:rFonts w:ascii="方正黑体_GBK" w:eastAsia="方正黑体_GBK" w:hAnsi="方正黑体_GBK" w:cs="方正黑体_GBK" w:hint="eastAsia"/>
                <w:kern w:val="0"/>
                <w:sz w:val="22"/>
                <w:szCs w:val="22"/>
              </w:rPr>
              <w:br/>
              <w:t>目标</w:t>
            </w:r>
          </w:p>
        </w:tc>
        <w:tc>
          <w:tcPr>
            <w:tcW w:w="2175" w:type="dxa"/>
            <w:gridSpan w:val="6"/>
            <w:tcBorders>
              <w:top w:val="single" w:sz="4" w:space="0" w:color="000000"/>
              <w:left w:val="single" w:sz="4" w:space="0" w:color="000000"/>
              <w:bottom w:val="single" w:sz="4" w:space="0" w:color="000000"/>
              <w:right w:val="single" w:sz="4" w:space="0" w:color="000000"/>
            </w:tcBorders>
            <w:noWrap/>
            <w:vAlign w:val="center"/>
          </w:tcPr>
          <w:p w:rsidR="006E4FA3" w:rsidRDefault="00BB760D">
            <w:pPr>
              <w:widowControl/>
              <w:spacing w:line="600" w:lineRule="exact"/>
              <w:jc w:val="center"/>
              <w:textAlignment w:val="center"/>
              <w:rPr>
                <w:rFonts w:ascii="方正仿宋_GBK" w:eastAsia="方正仿宋_GBK" w:hAnsi="方正仿宋_GBK" w:cs="方正仿宋_GBK"/>
                <w:sz w:val="22"/>
                <w:szCs w:val="22"/>
              </w:rPr>
            </w:pPr>
            <w:r>
              <w:rPr>
                <w:rFonts w:ascii="方正黑体_GBK" w:eastAsia="方正黑体_GBK" w:hAnsi="方正黑体_GBK" w:cs="方正黑体_GBK" w:hint="eastAsia"/>
                <w:kern w:val="0"/>
                <w:sz w:val="22"/>
                <w:szCs w:val="22"/>
              </w:rPr>
              <w:t>年初绩效目标</w:t>
            </w:r>
          </w:p>
        </w:tc>
        <w:tc>
          <w:tcPr>
            <w:tcW w:w="2377" w:type="dxa"/>
            <w:gridSpan w:val="4"/>
            <w:tcBorders>
              <w:top w:val="single" w:sz="4" w:space="0" w:color="000000"/>
              <w:left w:val="single" w:sz="4" w:space="0" w:color="000000"/>
              <w:bottom w:val="single" w:sz="4" w:space="0" w:color="000000"/>
              <w:right w:val="single" w:sz="4" w:space="0" w:color="000000"/>
            </w:tcBorders>
            <w:noWrap/>
            <w:vAlign w:val="center"/>
          </w:tcPr>
          <w:p w:rsidR="006E4FA3" w:rsidRDefault="00BB760D">
            <w:pPr>
              <w:widowControl/>
              <w:spacing w:line="600" w:lineRule="exact"/>
              <w:jc w:val="center"/>
              <w:textAlignment w:val="center"/>
              <w:rPr>
                <w:rFonts w:ascii="方正黑体_GBK" w:eastAsia="方正黑体_GBK" w:hAnsi="方正黑体_GBK" w:cs="方正黑体_GBK"/>
                <w:kern w:val="0"/>
                <w:sz w:val="22"/>
                <w:szCs w:val="22"/>
              </w:rPr>
            </w:pPr>
            <w:r>
              <w:rPr>
                <w:rFonts w:ascii="方正黑体_GBK" w:eastAsia="方正黑体_GBK" w:hAnsi="方正黑体_GBK" w:cs="方正黑体_GBK" w:hint="eastAsia"/>
                <w:kern w:val="0"/>
                <w:sz w:val="22"/>
                <w:szCs w:val="22"/>
              </w:rPr>
              <w:t>全年（调整）绩效目标</w:t>
            </w:r>
          </w:p>
        </w:tc>
        <w:tc>
          <w:tcPr>
            <w:tcW w:w="3486" w:type="dxa"/>
            <w:gridSpan w:val="11"/>
            <w:tcBorders>
              <w:top w:val="single" w:sz="4" w:space="0" w:color="000000"/>
              <w:left w:val="single" w:sz="4" w:space="0" w:color="000000"/>
              <w:bottom w:val="single" w:sz="4" w:space="0" w:color="000000"/>
              <w:right w:val="single" w:sz="4" w:space="0" w:color="000000"/>
            </w:tcBorders>
            <w:noWrap/>
            <w:vAlign w:val="center"/>
          </w:tcPr>
          <w:p w:rsidR="006E4FA3" w:rsidRDefault="00BB760D">
            <w:pPr>
              <w:widowControl/>
              <w:spacing w:line="600" w:lineRule="exact"/>
              <w:jc w:val="center"/>
              <w:textAlignment w:val="center"/>
              <w:rPr>
                <w:rFonts w:ascii="方正黑体_GBK" w:eastAsia="方正黑体_GBK" w:hAnsi="方正黑体_GBK" w:cs="方正黑体_GBK"/>
                <w:kern w:val="0"/>
                <w:sz w:val="22"/>
                <w:szCs w:val="22"/>
              </w:rPr>
            </w:pPr>
            <w:r>
              <w:rPr>
                <w:rFonts w:ascii="方正黑体_GBK" w:eastAsia="方正黑体_GBK" w:hAnsi="方正黑体_GBK" w:cs="方正黑体_GBK" w:hint="eastAsia"/>
                <w:kern w:val="0"/>
                <w:sz w:val="22"/>
                <w:szCs w:val="22"/>
              </w:rPr>
              <w:t>全年目标实际完成情况</w:t>
            </w:r>
          </w:p>
        </w:tc>
      </w:tr>
      <w:tr w:rsidR="006E4FA3">
        <w:trPr>
          <w:trHeight w:val="1242"/>
        </w:trPr>
        <w:tc>
          <w:tcPr>
            <w:tcW w:w="822" w:type="dxa"/>
            <w:gridSpan w:val="3"/>
            <w:vMerge/>
            <w:tcBorders>
              <w:top w:val="single" w:sz="4" w:space="0" w:color="000000"/>
              <w:left w:val="single" w:sz="4" w:space="0" w:color="000000"/>
              <w:bottom w:val="single" w:sz="4" w:space="0" w:color="000000"/>
              <w:right w:val="single" w:sz="4" w:space="0" w:color="000000"/>
            </w:tcBorders>
            <w:noWrap/>
            <w:vAlign w:val="center"/>
          </w:tcPr>
          <w:p w:rsidR="006E4FA3" w:rsidRDefault="006E4FA3">
            <w:pPr>
              <w:spacing w:line="600" w:lineRule="exact"/>
              <w:jc w:val="center"/>
              <w:rPr>
                <w:rFonts w:ascii="方正仿宋_GBK" w:eastAsia="方正仿宋_GBK" w:hAnsi="方正仿宋_GBK" w:cs="方正仿宋_GBK"/>
                <w:sz w:val="22"/>
                <w:szCs w:val="22"/>
              </w:rPr>
            </w:pPr>
          </w:p>
        </w:tc>
        <w:tc>
          <w:tcPr>
            <w:tcW w:w="2175" w:type="dxa"/>
            <w:gridSpan w:val="6"/>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left"/>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贯彻落实全市大数据、人工智能、信息化相关政策法规和相关地方行业技术规范和标准；负责研究拟订全区大数据、人工智能、信息化发展战略，编制全区大数据、人工智能、信息化发展规划和年度计划；拟定相关政策措施和评价考核体系并组织实施；负责数据资源建设、管理，促进大数据政用、民用、商用；负责全区大数据应用发展管理；负责推进全区信息化应用工作；负责协调全区信</w:t>
            </w:r>
            <w:r>
              <w:rPr>
                <w:rFonts w:ascii="方正仿宋_GBK" w:eastAsia="方正仿宋_GBK" w:hAnsi="方正仿宋_GBK" w:cs="方正仿宋_GBK" w:hint="eastAsia"/>
                <w:sz w:val="22"/>
                <w:szCs w:val="22"/>
              </w:rPr>
              <w:lastRenderedPageBreak/>
              <w:t>息基础设施建设；负责推动大数据、人工智能、信息化领域对外交流合作；负责全区数字经济发展统计；负责推动促进线上业态、线上服务、线上管理快速发展；负责推动平台经济发展;招商引资，数字经济市场主体培育；完成区委和区政府交办的其他任务。</w:t>
            </w:r>
          </w:p>
        </w:tc>
        <w:tc>
          <w:tcPr>
            <w:tcW w:w="2377" w:type="dxa"/>
            <w:gridSpan w:val="4"/>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lastRenderedPageBreak/>
              <w:t>贯彻落实全市大数据、人工智能、信息化相关政策法规和相关地方行业技术规范和标准；负责研究拟订全区大数据、人工智能、信息化发展战略，编制全区大数据、人工智能、信息化发展规划和年度计划；拟定相关政策措施和评价考核体系并组织实施；负责数据资源建设、管理，促进大数据政用、民用、商用；负责全区大数据应用发展管理；负责推进全区信息化应用工作；负责协调全区信息基础设施建设；负责推动大数据、人工智能、信息</w:t>
            </w:r>
            <w:r>
              <w:rPr>
                <w:rFonts w:ascii="方正仿宋_GBK" w:eastAsia="方正仿宋_GBK" w:hAnsi="方正仿宋_GBK" w:cs="方正仿宋_GBK" w:hint="eastAsia"/>
                <w:sz w:val="22"/>
                <w:szCs w:val="22"/>
              </w:rPr>
              <w:lastRenderedPageBreak/>
              <w:t>化领域对外交流合作；负责全区数字经济发展统计；负责推动促进线上业态、线上服务、线上管理快速发展；负责推动平台经济发展;招商引资，数字经济市场主体培育；完成区委和区政府交办的其他任务。</w:t>
            </w:r>
          </w:p>
        </w:tc>
        <w:tc>
          <w:tcPr>
            <w:tcW w:w="3486" w:type="dxa"/>
            <w:gridSpan w:val="11"/>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left"/>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lastRenderedPageBreak/>
              <w:t>一是制定规划机制。牵头编制《万州区通信基础设施布局规划（2021-2035年）》，推动成立万州区数据安全共享协调机制，建成“智慧万州”安全保障体系，牵头编制全区数字经济“十四五”发展规划。</w:t>
            </w:r>
          </w:p>
          <w:p w:rsidR="006E4FA3" w:rsidRDefault="00BB760D">
            <w:pPr>
              <w:spacing w:line="600" w:lineRule="exact"/>
              <w:jc w:val="left"/>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二是推动应用发展。实现主要城区和镇乡中心场镇5G信号全覆盖。积极开展信号补盲，完成2022年电信普遍服务试点项目验收。获批并建成重庆政务云（异地）灾备中心。推动智慧万州政务云、渝东北CDN数据中心、三峡库区健康医疗大数据应用研发中心等区级重点项目建设。成功申报市区政务数据协同试点区，有效推进“证照分离”改革，建成“证照分离主题数据库”、“智慧万州”安全保障体系、数智政务一体化平台，启动建设万</w:t>
            </w:r>
            <w:r>
              <w:rPr>
                <w:rFonts w:ascii="方正仿宋_GBK" w:eastAsia="方正仿宋_GBK" w:hAnsi="方正仿宋_GBK" w:cs="方正仿宋_GBK" w:hint="eastAsia"/>
                <w:sz w:val="22"/>
                <w:szCs w:val="22"/>
              </w:rPr>
              <w:lastRenderedPageBreak/>
              <w:t>州区自然人数据库，强化数治能力。有序推进“智慧医疗”项目建设，项目入选中国信息协会“2022数字政府创新成果与实践案例”并获得市级专项资金奖励。集成智慧小区、乡村治理等融跨平台和智慧场景应用30余个。</w:t>
            </w:r>
          </w:p>
          <w:p w:rsidR="006E4FA3" w:rsidRDefault="00BB760D">
            <w:pPr>
              <w:spacing w:line="600" w:lineRule="exact"/>
              <w:jc w:val="left"/>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三是推动线上服务。上线政策和金融服务“万商惠”大数据平台。加强政务信息化项目建设规范管理，审核部门申报各类信息化项目41个，备案资金30422.55万元，审减2625.11万元。</w:t>
            </w:r>
          </w:p>
          <w:p w:rsidR="006E4FA3" w:rsidRDefault="00BB760D">
            <w:pPr>
              <w:spacing w:line="600" w:lineRule="exact"/>
              <w:jc w:val="left"/>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四是推动数字经济。在册备案的16家平台企业实现税收6.8亿</w:t>
            </w:r>
            <w:r w:rsidR="001A7F9F">
              <w:rPr>
                <w:rFonts w:ascii="方正仿宋_GBK" w:eastAsia="方正仿宋_GBK" w:hAnsi="方正仿宋_GBK" w:cs="方正仿宋_GBK" w:hint="eastAsia"/>
                <w:sz w:val="22"/>
                <w:szCs w:val="22"/>
              </w:rPr>
              <w:t>元</w:t>
            </w:r>
            <w:r>
              <w:rPr>
                <w:rFonts w:ascii="方正仿宋_GBK" w:eastAsia="方正仿宋_GBK" w:hAnsi="方正仿宋_GBK" w:cs="方正仿宋_GBK" w:hint="eastAsia"/>
                <w:sz w:val="22"/>
                <w:szCs w:val="22"/>
              </w:rPr>
              <w:t>。战略性新兴产业和数字经济产业项目入库市级高技术领域重大项目已达21个，年度投资达24.02亿元。2022年度数字经济发展质效考核在全市24个考核区县中位列17名，较去年前进2个位次。</w:t>
            </w:r>
          </w:p>
          <w:p w:rsidR="006E4FA3" w:rsidRDefault="00BB760D">
            <w:pPr>
              <w:spacing w:line="600" w:lineRule="exact"/>
              <w:jc w:val="left"/>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lastRenderedPageBreak/>
              <w:t>五是推动重点工作。重新组建万州区通发办，积极协调运营商投入资金500余万元参与全区创文、楼栋工作日、双亮等重点工作的弱电线路整治迁移工作，全面参与重大活动通信保障工作。积极推广“渝快政”协同办公平台。</w:t>
            </w:r>
          </w:p>
        </w:tc>
      </w:tr>
      <w:tr w:rsidR="006E4FA3">
        <w:trPr>
          <w:trHeight w:val="652"/>
        </w:trPr>
        <w:tc>
          <w:tcPr>
            <w:tcW w:w="822" w:type="dxa"/>
            <w:gridSpan w:val="3"/>
            <w:vMerge w:val="restart"/>
            <w:tcBorders>
              <w:top w:val="single" w:sz="4" w:space="0" w:color="000000"/>
              <w:left w:val="single" w:sz="4" w:space="0" w:color="000000"/>
              <w:bottom w:val="single" w:sz="4" w:space="0" w:color="000000"/>
              <w:right w:val="single" w:sz="4" w:space="0" w:color="000000"/>
            </w:tcBorders>
            <w:noWrap/>
            <w:textDirection w:val="tbRlV"/>
            <w:vAlign w:val="center"/>
          </w:tcPr>
          <w:p w:rsidR="006E4FA3" w:rsidRDefault="00BB760D">
            <w:pPr>
              <w:widowControl/>
              <w:spacing w:line="600" w:lineRule="exact"/>
              <w:jc w:val="center"/>
              <w:textAlignment w:val="center"/>
              <w:rPr>
                <w:rFonts w:ascii="方正黑体_GBK" w:eastAsia="方正黑体_GBK" w:hAnsi="方正黑体_GBK" w:cs="方正黑体_GBK"/>
                <w:kern w:val="0"/>
                <w:sz w:val="22"/>
                <w:szCs w:val="22"/>
              </w:rPr>
            </w:pPr>
            <w:r>
              <w:rPr>
                <w:rFonts w:ascii="方正黑体_GBK" w:eastAsia="方正黑体_GBK" w:hAnsi="方正黑体_GBK" w:cs="方正黑体_GBK" w:hint="eastAsia"/>
                <w:kern w:val="0"/>
                <w:sz w:val="22"/>
                <w:szCs w:val="22"/>
              </w:rPr>
              <w:lastRenderedPageBreak/>
              <w:t>绩效指标</w:t>
            </w:r>
          </w:p>
        </w:tc>
        <w:tc>
          <w:tcPr>
            <w:tcW w:w="1021"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BB760D">
            <w:pPr>
              <w:widowControl/>
              <w:spacing w:line="600" w:lineRule="exact"/>
              <w:jc w:val="center"/>
              <w:textAlignment w:val="center"/>
              <w:rPr>
                <w:rFonts w:ascii="方正黑体_GBK" w:eastAsia="方正黑体_GBK" w:hAnsi="方正黑体_GBK" w:cs="方正黑体_GBK"/>
                <w:kern w:val="0"/>
                <w:sz w:val="22"/>
                <w:szCs w:val="22"/>
              </w:rPr>
            </w:pPr>
            <w:r>
              <w:rPr>
                <w:rFonts w:ascii="方正黑体_GBK" w:eastAsia="方正黑体_GBK" w:hAnsi="方正黑体_GBK" w:cs="方正黑体_GBK" w:hint="eastAsia"/>
                <w:kern w:val="0"/>
                <w:sz w:val="22"/>
                <w:szCs w:val="22"/>
              </w:rPr>
              <w:t>指标名称</w:t>
            </w:r>
          </w:p>
        </w:tc>
        <w:tc>
          <w:tcPr>
            <w:tcW w:w="1154"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BB760D">
            <w:pPr>
              <w:widowControl/>
              <w:spacing w:line="600" w:lineRule="exact"/>
              <w:jc w:val="center"/>
              <w:textAlignment w:val="center"/>
              <w:rPr>
                <w:rFonts w:ascii="方正仿宋_GBK" w:eastAsia="方正仿宋_GBK" w:hAnsi="方正仿宋_GBK" w:cs="方正仿宋_GBK"/>
                <w:sz w:val="22"/>
                <w:szCs w:val="22"/>
              </w:rPr>
            </w:pPr>
            <w:r>
              <w:rPr>
                <w:rFonts w:ascii="方正黑体_GBK" w:eastAsia="方正黑体_GBK" w:hAnsi="方正黑体_GBK" w:cs="方正黑体_GBK" w:hint="eastAsia"/>
                <w:kern w:val="0"/>
                <w:sz w:val="22"/>
                <w:szCs w:val="22"/>
              </w:rPr>
              <w:t>计量</w:t>
            </w:r>
            <w:r>
              <w:rPr>
                <w:rFonts w:ascii="方正黑体_GBK" w:eastAsia="方正黑体_GBK" w:hAnsi="方正黑体_GBK" w:cs="方正黑体_GBK" w:hint="eastAsia"/>
                <w:kern w:val="0"/>
                <w:sz w:val="22"/>
                <w:szCs w:val="22"/>
              </w:rPr>
              <w:br/>
              <w:t>单位</w:t>
            </w:r>
          </w:p>
        </w:tc>
        <w:tc>
          <w:tcPr>
            <w:tcW w:w="76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widowControl/>
              <w:spacing w:line="600" w:lineRule="exact"/>
              <w:jc w:val="center"/>
              <w:textAlignment w:val="center"/>
              <w:rPr>
                <w:rFonts w:ascii="方正黑体_GBK" w:eastAsia="方正黑体_GBK" w:hAnsi="方正黑体_GBK" w:cs="方正黑体_GBK"/>
                <w:kern w:val="0"/>
                <w:sz w:val="22"/>
                <w:szCs w:val="22"/>
              </w:rPr>
            </w:pPr>
            <w:r>
              <w:rPr>
                <w:rFonts w:ascii="方正黑体_GBK" w:eastAsia="方正黑体_GBK" w:hAnsi="方正黑体_GBK" w:cs="方正黑体_GBK" w:hint="eastAsia"/>
                <w:kern w:val="0"/>
                <w:sz w:val="22"/>
                <w:szCs w:val="22"/>
              </w:rPr>
              <w:t>指标</w:t>
            </w:r>
            <w:r>
              <w:rPr>
                <w:rFonts w:ascii="方正黑体_GBK" w:eastAsia="方正黑体_GBK" w:hAnsi="方正黑体_GBK" w:cs="方正黑体_GBK" w:hint="eastAsia"/>
                <w:kern w:val="0"/>
                <w:sz w:val="22"/>
                <w:szCs w:val="22"/>
              </w:rPr>
              <w:br/>
              <w:t>性质</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widowControl/>
              <w:spacing w:line="600" w:lineRule="exact"/>
              <w:jc w:val="center"/>
              <w:textAlignment w:val="center"/>
              <w:rPr>
                <w:rFonts w:ascii="方正黑体_GBK" w:eastAsia="方正黑体_GBK" w:hAnsi="方正黑体_GBK" w:cs="方正黑体_GBK"/>
                <w:kern w:val="0"/>
                <w:sz w:val="22"/>
                <w:szCs w:val="22"/>
              </w:rPr>
            </w:pPr>
            <w:r>
              <w:rPr>
                <w:rFonts w:ascii="方正黑体_GBK" w:eastAsia="方正黑体_GBK" w:hAnsi="方正黑体_GBK" w:cs="方正黑体_GBK" w:hint="eastAsia"/>
                <w:kern w:val="0"/>
                <w:sz w:val="22"/>
                <w:szCs w:val="22"/>
              </w:rPr>
              <w:t>指标值</w:t>
            </w:r>
          </w:p>
        </w:tc>
        <w:tc>
          <w:tcPr>
            <w:tcW w:w="907"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widowControl/>
              <w:spacing w:line="600" w:lineRule="exact"/>
              <w:jc w:val="center"/>
              <w:textAlignment w:val="center"/>
              <w:rPr>
                <w:rFonts w:ascii="方正黑体_GBK" w:eastAsia="方正黑体_GBK" w:hAnsi="方正黑体_GBK" w:cs="方正黑体_GBK"/>
                <w:kern w:val="0"/>
                <w:sz w:val="22"/>
                <w:szCs w:val="22"/>
              </w:rPr>
            </w:pPr>
            <w:r>
              <w:rPr>
                <w:rFonts w:ascii="方正黑体_GBK" w:eastAsia="方正黑体_GBK" w:hAnsi="方正黑体_GBK" w:cs="方正黑体_GBK" w:hint="eastAsia"/>
                <w:kern w:val="0"/>
                <w:sz w:val="22"/>
                <w:szCs w:val="22"/>
              </w:rPr>
              <w:t>指标权重</w:t>
            </w:r>
            <w:r>
              <w:rPr>
                <w:rFonts w:ascii="方正黑体_GBK" w:eastAsia="方正黑体_GBK" w:hAnsi="方正黑体_GBK" w:cs="方正黑体_GBK" w:hint="eastAsia"/>
                <w:kern w:val="0"/>
                <w:sz w:val="22"/>
                <w:szCs w:val="22"/>
              </w:rPr>
              <w:br/>
              <w:t>（分）</w:t>
            </w:r>
          </w:p>
        </w:tc>
        <w:tc>
          <w:tcPr>
            <w:tcW w:w="910"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widowControl/>
              <w:spacing w:line="600" w:lineRule="exact"/>
              <w:jc w:val="center"/>
              <w:textAlignment w:val="center"/>
              <w:rPr>
                <w:rFonts w:ascii="方正黑体_GBK" w:eastAsia="方正黑体_GBK" w:hAnsi="方正黑体_GBK" w:cs="方正黑体_GBK"/>
                <w:kern w:val="0"/>
                <w:sz w:val="22"/>
                <w:szCs w:val="22"/>
              </w:rPr>
            </w:pPr>
            <w:r>
              <w:rPr>
                <w:rFonts w:ascii="方正黑体_GBK" w:eastAsia="方正黑体_GBK" w:hAnsi="方正黑体_GBK" w:cs="方正黑体_GBK" w:hint="eastAsia"/>
                <w:kern w:val="0"/>
                <w:sz w:val="22"/>
                <w:szCs w:val="22"/>
              </w:rPr>
              <w:t>全年</w:t>
            </w:r>
            <w:r>
              <w:rPr>
                <w:rFonts w:ascii="方正黑体_GBK" w:eastAsia="方正黑体_GBK" w:hAnsi="方正黑体_GBK" w:cs="方正黑体_GBK" w:hint="eastAsia"/>
                <w:kern w:val="0"/>
                <w:sz w:val="22"/>
                <w:szCs w:val="22"/>
              </w:rPr>
              <w:br/>
              <w:t>完成值</w:t>
            </w:r>
          </w:p>
        </w:tc>
        <w:tc>
          <w:tcPr>
            <w:tcW w:w="984"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widowControl/>
              <w:spacing w:line="600" w:lineRule="exact"/>
              <w:jc w:val="center"/>
              <w:textAlignment w:val="center"/>
              <w:rPr>
                <w:rFonts w:ascii="方正黑体_GBK" w:eastAsia="方正黑体_GBK" w:hAnsi="方正黑体_GBK" w:cs="方正黑体_GBK"/>
                <w:kern w:val="0"/>
                <w:sz w:val="22"/>
                <w:szCs w:val="22"/>
              </w:rPr>
            </w:pPr>
            <w:r>
              <w:rPr>
                <w:rFonts w:ascii="方正黑体_GBK" w:eastAsia="方正黑体_GBK" w:hAnsi="方正黑体_GBK" w:cs="方正黑体_GBK" w:hint="eastAsia"/>
                <w:kern w:val="0"/>
                <w:sz w:val="22"/>
                <w:szCs w:val="22"/>
              </w:rPr>
              <w:t>指标得分</w:t>
            </w:r>
            <w:r>
              <w:rPr>
                <w:rFonts w:ascii="方正黑体_GBK" w:eastAsia="方正黑体_GBK" w:hAnsi="方正黑体_GBK" w:cs="方正黑体_GBK" w:hint="eastAsia"/>
                <w:kern w:val="0"/>
                <w:sz w:val="22"/>
                <w:szCs w:val="22"/>
              </w:rPr>
              <w:br/>
              <w:t>（分）</w:t>
            </w:r>
          </w:p>
        </w:tc>
        <w:tc>
          <w:tcPr>
            <w:tcW w:w="1592" w:type="dxa"/>
            <w:gridSpan w:val="7"/>
            <w:tcBorders>
              <w:top w:val="single" w:sz="4" w:space="0" w:color="000000"/>
              <w:left w:val="single" w:sz="4" w:space="0" w:color="000000"/>
              <w:bottom w:val="single" w:sz="4" w:space="0" w:color="000000"/>
              <w:right w:val="single" w:sz="4" w:space="0" w:color="000000"/>
            </w:tcBorders>
            <w:noWrap/>
            <w:vAlign w:val="center"/>
          </w:tcPr>
          <w:p w:rsidR="006E4FA3" w:rsidRDefault="00BB760D">
            <w:pPr>
              <w:widowControl/>
              <w:spacing w:line="600" w:lineRule="exact"/>
              <w:jc w:val="center"/>
              <w:textAlignment w:val="center"/>
              <w:rPr>
                <w:rFonts w:ascii="方正黑体_GBK" w:eastAsia="方正黑体_GBK" w:hAnsi="方正黑体_GBK" w:cs="方正黑体_GBK"/>
                <w:kern w:val="0"/>
                <w:sz w:val="22"/>
                <w:szCs w:val="22"/>
              </w:rPr>
            </w:pPr>
            <w:r>
              <w:rPr>
                <w:rFonts w:ascii="方正黑体_GBK" w:eastAsia="方正黑体_GBK" w:hAnsi="方正黑体_GBK" w:cs="方正黑体_GBK" w:hint="eastAsia"/>
                <w:kern w:val="0"/>
                <w:sz w:val="22"/>
                <w:szCs w:val="22"/>
              </w:rPr>
              <w:t>说明</w:t>
            </w:r>
          </w:p>
        </w:tc>
      </w:tr>
      <w:tr w:rsidR="006E4FA3">
        <w:trPr>
          <w:trHeight w:val="629"/>
        </w:trPr>
        <w:tc>
          <w:tcPr>
            <w:tcW w:w="822" w:type="dxa"/>
            <w:gridSpan w:val="3"/>
            <w:vMerge/>
            <w:tcBorders>
              <w:top w:val="single" w:sz="4" w:space="0" w:color="000000"/>
              <w:left w:val="single" w:sz="4" w:space="0" w:color="000000"/>
              <w:bottom w:val="single" w:sz="4" w:space="0" w:color="000000"/>
              <w:right w:val="single" w:sz="4" w:space="0" w:color="000000"/>
            </w:tcBorders>
            <w:noWrap/>
            <w:textDirection w:val="tbRlV"/>
            <w:vAlign w:val="center"/>
          </w:tcPr>
          <w:p w:rsidR="006E4FA3" w:rsidRDefault="006E4FA3">
            <w:pPr>
              <w:spacing w:line="600" w:lineRule="exact"/>
              <w:jc w:val="center"/>
              <w:rPr>
                <w:rFonts w:ascii="方正仿宋_GBK" w:eastAsia="方正仿宋_GBK" w:hAnsi="方正仿宋_GBK" w:cs="方正仿宋_GBK"/>
                <w:sz w:val="22"/>
                <w:szCs w:val="22"/>
              </w:rPr>
            </w:pPr>
          </w:p>
        </w:tc>
        <w:tc>
          <w:tcPr>
            <w:tcW w:w="1021"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717724">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年度预算执行率</w:t>
            </w:r>
          </w:p>
        </w:tc>
        <w:tc>
          <w:tcPr>
            <w:tcW w:w="1154"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717724">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p>
        </w:tc>
        <w:tc>
          <w:tcPr>
            <w:tcW w:w="76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6E4FA3" w:rsidRDefault="00717724">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100</w:t>
            </w:r>
          </w:p>
        </w:tc>
        <w:tc>
          <w:tcPr>
            <w:tcW w:w="907"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10</w:t>
            </w:r>
          </w:p>
        </w:tc>
        <w:tc>
          <w:tcPr>
            <w:tcW w:w="910"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717724">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98</w:t>
            </w:r>
          </w:p>
        </w:tc>
        <w:tc>
          <w:tcPr>
            <w:tcW w:w="984"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9.8</w:t>
            </w:r>
          </w:p>
        </w:tc>
        <w:tc>
          <w:tcPr>
            <w:tcW w:w="1592" w:type="dxa"/>
            <w:gridSpan w:val="7"/>
            <w:tcBorders>
              <w:top w:val="single" w:sz="4" w:space="0" w:color="000000"/>
              <w:left w:val="single" w:sz="4" w:space="0" w:color="000000"/>
              <w:bottom w:val="single" w:sz="4" w:space="0" w:color="000000"/>
              <w:right w:val="single" w:sz="4" w:space="0" w:color="000000"/>
            </w:tcBorders>
            <w:noWrap/>
            <w:vAlign w:val="center"/>
          </w:tcPr>
          <w:p w:rsidR="006E4FA3" w:rsidRDefault="006E4FA3">
            <w:pPr>
              <w:spacing w:line="600" w:lineRule="exact"/>
              <w:rPr>
                <w:rFonts w:ascii="方正仿宋_GBK" w:eastAsia="方正仿宋_GBK" w:hAnsi="方正仿宋_GBK" w:cs="方正仿宋_GBK"/>
                <w:sz w:val="22"/>
                <w:szCs w:val="22"/>
              </w:rPr>
            </w:pPr>
          </w:p>
        </w:tc>
      </w:tr>
      <w:tr w:rsidR="006E4FA3">
        <w:trPr>
          <w:trHeight w:val="629"/>
        </w:trPr>
        <w:tc>
          <w:tcPr>
            <w:tcW w:w="822" w:type="dxa"/>
            <w:gridSpan w:val="3"/>
            <w:vMerge/>
            <w:tcBorders>
              <w:top w:val="single" w:sz="4" w:space="0" w:color="000000"/>
              <w:left w:val="single" w:sz="4" w:space="0" w:color="000000"/>
              <w:bottom w:val="single" w:sz="4" w:space="0" w:color="000000"/>
              <w:right w:val="single" w:sz="4" w:space="0" w:color="000000"/>
            </w:tcBorders>
            <w:noWrap/>
            <w:textDirection w:val="tbRlV"/>
            <w:vAlign w:val="center"/>
          </w:tcPr>
          <w:p w:rsidR="006E4FA3" w:rsidRDefault="006E4FA3">
            <w:pPr>
              <w:spacing w:line="600" w:lineRule="exact"/>
              <w:jc w:val="center"/>
              <w:rPr>
                <w:rFonts w:ascii="方正仿宋_GBK" w:eastAsia="方正仿宋_GBK" w:hAnsi="方正仿宋_GBK" w:cs="方正仿宋_GBK"/>
                <w:sz w:val="22"/>
                <w:szCs w:val="22"/>
              </w:rPr>
            </w:pPr>
          </w:p>
        </w:tc>
        <w:tc>
          <w:tcPr>
            <w:tcW w:w="1021"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年稳定运行天数</w:t>
            </w:r>
          </w:p>
        </w:tc>
        <w:tc>
          <w:tcPr>
            <w:tcW w:w="1154"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天</w:t>
            </w:r>
          </w:p>
        </w:tc>
        <w:tc>
          <w:tcPr>
            <w:tcW w:w="76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360</w:t>
            </w:r>
          </w:p>
        </w:tc>
        <w:tc>
          <w:tcPr>
            <w:tcW w:w="907"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20</w:t>
            </w:r>
          </w:p>
        </w:tc>
        <w:tc>
          <w:tcPr>
            <w:tcW w:w="910"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360</w:t>
            </w:r>
          </w:p>
        </w:tc>
        <w:tc>
          <w:tcPr>
            <w:tcW w:w="984"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20</w:t>
            </w:r>
          </w:p>
        </w:tc>
        <w:tc>
          <w:tcPr>
            <w:tcW w:w="1592" w:type="dxa"/>
            <w:gridSpan w:val="7"/>
            <w:tcBorders>
              <w:top w:val="single" w:sz="4" w:space="0" w:color="000000"/>
              <w:left w:val="single" w:sz="4" w:space="0" w:color="000000"/>
              <w:bottom w:val="single" w:sz="4" w:space="0" w:color="000000"/>
              <w:right w:val="single" w:sz="4" w:space="0" w:color="000000"/>
            </w:tcBorders>
            <w:noWrap/>
            <w:vAlign w:val="center"/>
          </w:tcPr>
          <w:p w:rsidR="006E4FA3" w:rsidRDefault="006E4FA3">
            <w:pPr>
              <w:spacing w:line="600" w:lineRule="exact"/>
              <w:rPr>
                <w:rFonts w:ascii="方正仿宋_GBK" w:eastAsia="方正仿宋_GBK" w:hAnsi="方正仿宋_GBK" w:cs="方正仿宋_GBK"/>
                <w:sz w:val="22"/>
                <w:szCs w:val="22"/>
              </w:rPr>
            </w:pPr>
          </w:p>
        </w:tc>
      </w:tr>
      <w:tr w:rsidR="006E4FA3">
        <w:trPr>
          <w:trHeight w:val="629"/>
        </w:trPr>
        <w:tc>
          <w:tcPr>
            <w:tcW w:w="822" w:type="dxa"/>
            <w:gridSpan w:val="3"/>
            <w:vMerge/>
            <w:tcBorders>
              <w:top w:val="single" w:sz="4" w:space="0" w:color="000000"/>
              <w:left w:val="single" w:sz="4" w:space="0" w:color="000000"/>
              <w:bottom w:val="single" w:sz="4" w:space="0" w:color="000000"/>
              <w:right w:val="single" w:sz="4" w:space="0" w:color="000000"/>
            </w:tcBorders>
            <w:noWrap/>
            <w:textDirection w:val="tbRlV"/>
            <w:vAlign w:val="center"/>
          </w:tcPr>
          <w:p w:rsidR="006E4FA3" w:rsidRDefault="006E4FA3">
            <w:pPr>
              <w:spacing w:line="600" w:lineRule="exact"/>
              <w:jc w:val="center"/>
              <w:rPr>
                <w:rFonts w:ascii="方正仿宋_GBK" w:eastAsia="方正仿宋_GBK" w:hAnsi="方正仿宋_GBK" w:cs="方正仿宋_GBK"/>
                <w:sz w:val="22"/>
                <w:szCs w:val="22"/>
              </w:rPr>
            </w:pPr>
          </w:p>
        </w:tc>
        <w:tc>
          <w:tcPr>
            <w:tcW w:w="1021"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数据更新频率</w:t>
            </w:r>
          </w:p>
        </w:tc>
        <w:tc>
          <w:tcPr>
            <w:tcW w:w="1154"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年</w:t>
            </w:r>
          </w:p>
        </w:tc>
        <w:tc>
          <w:tcPr>
            <w:tcW w:w="76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w:t>
            </w:r>
          </w:p>
        </w:tc>
        <w:tc>
          <w:tcPr>
            <w:tcW w:w="907"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10</w:t>
            </w:r>
          </w:p>
        </w:tc>
        <w:tc>
          <w:tcPr>
            <w:tcW w:w="910"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w:t>
            </w:r>
          </w:p>
        </w:tc>
        <w:tc>
          <w:tcPr>
            <w:tcW w:w="984"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10</w:t>
            </w:r>
          </w:p>
        </w:tc>
        <w:tc>
          <w:tcPr>
            <w:tcW w:w="1592" w:type="dxa"/>
            <w:gridSpan w:val="7"/>
            <w:tcBorders>
              <w:top w:val="single" w:sz="4" w:space="0" w:color="000000"/>
              <w:left w:val="single" w:sz="4" w:space="0" w:color="000000"/>
              <w:bottom w:val="single" w:sz="4" w:space="0" w:color="000000"/>
              <w:right w:val="single" w:sz="4" w:space="0" w:color="000000"/>
            </w:tcBorders>
            <w:noWrap/>
            <w:vAlign w:val="center"/>
          </w:tcPr>
          <w:p w:rsidR="006E4FA3" w:rsidRDefault="006E4FA3">
            <w:pPr>
              <w:spacing w:line="600" w:lineRule="exact"/>
              <w:rPr>
                <w:rFonts w:ascii="方正仿宋_GBK" w:eastAsia="方正仿宋_GBK" w:hAnsi="方正仿宋_GBK" w:cs="方正仿宋_GBK"/>
                <w:sz w:val="22"/>
                <w:szCs w:val="22"/>
              </w:rPr>
            </w:pPr>
          </w:p>
        </w:tc>
      </w:tr>
      <w:tr w:rsidR="006E4FA3">
        <w:trPr>
          <w:trHeight w:val="629"/>
        </w:trPr>
        <w:tc>
          <w:tcPr>
            <w:tcW w:w="822" w:type="dxa"/>
            <w:gridSpan w:val="3"/>
            <w:vMerge/>
            <w:tcBorders>
              <w:top w:val="single" w:sz="4" w:space="0" w:color="000000"/>
              <w:left w:val="single" w:sz="4" w:space="0" w:color="000000"/>
              <w:bottom w:val="single" w:sz="4" w:space="0" w:color="000000"/>
              <w:right w:val="single" w:sz="4" w:space="0" w:color="000000"/>
            </w:tcBorders>
            <w:noWrap/>
            <w:textDirection w:val="tbRlV"/>
            <w:vAlign w:val="center"/>
          </w:tcPr>
          <w:p w:rsidR="006E4FA3" w:rsidRDefault="006E4FA3">
            <w:pPr>
              <w:spacing w:line="600" w:lineRule="exact"/>
              <w:jc w:val="center"/>
              <w:rPr>
                <w:rFonts w:ascii="方正仿宋_GBK" w:eastAsia="方正仿宋_GBK" w:hAnsi="方正仿宋_GBK" w:cs="方正仿宋_GBK"/>
                <w:sz w:val="22"/>
                <w:szCs w:val="22"/>
              </w:rPr>
            </w:pPr>
          </w:p>
        </w:tc>
        <w:tc>
          <w:tcPr>
            <w:tcW w:w="1021"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系统故障修复处理时</w:t>
            </w:r>
            <w:r>
              <w:rPr>
                <w:rFonts w:ascii="方正仿宋_GBK" w:eastAsia="方正仿宋_GBK" w:hAnsi="方正仿宋_GBK" w:cs="方正仿宋_GBK" w:hint="eastAsia"/>
                <w:sz w:val="22"/>
                <w:szCs w:val="22"/>
              </w:rPr>
              <w:lastRenderedPageBreak/>
              <w:t>间</w:t>
            </w:r>
          </w:p>
        </w:tc>
        <w:tc>
          <w:tcPr>
            <w:tcW w:w="1154"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lastRenderedPageBreak/>
              <w:t>小时</w:t>
            </w:r>
          </w:p>
        </w:tc>
        <w:tc>
          <w:tcPr>
            <w:tcW w:w="76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24</w:t>
            </w:r>
          </w:p>
        </w:tc>
        <w:tc>
          <w:tcPr>
            <w:tcW w:w="907"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20</w:t>
            </w:r>
          </w:p>
        </w:tc>
        <w:tc>
          <w:tcPr>
            <w:tcW w:w="910"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24</w:t>
            </w:r>
          </w:p>
        </w:tc>
        <w:tc>
          <w:tcPr>
            <w:tcW w:w="984"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20</w:t>
            </w:r>
          </w:p>
        </w:tc>
        <w:tc>
          <w:tcPr>
            <w:tcW w:w="1592" w:type="dxa"/>
            <w:gridSpan w:val="7"/>
            <w:tcBorders>
              <w:top w:val="single" w:sz="4" w:space="0" w:color="000000"/>
              <w:left w:val="single" w:sz="4" w:space="0" w:color="000000"/>
              <w:bottom w:val="single" w:sz="4" w:space="0" w:color="000000"/>
              <w:right w:val="single" w:sz="4" w:space="0" w:color="000000"/>
            </w:tcBorders>
            <w:noWrap/>
            <w:vAlign w:val="center"/>
          </w:tcPr>
          <w:p w:rsidR="006E4FA3" w:rsidRDefault="006E4FA3">
            <w:pPr>
              <w:spacing w:line="600" w:lineRule="exact"/>
              <w:rPr>
                <w:rFonts w:ascii="方正仿宋_GBK" w:eastAsia="方正仿宋_GBK" w:hAnsi="方正仿宋_GBK" w:cs="方正仿宋_GBK"/>
                <w:sz w:val="22"/>
                <w:szCs w:val="22"/>
              </w:rPr>
            </w:pPr>
          </w:p>
        </w:tc>
      </w:tr>
      <w:tr w:rsidR="006E4FA3">
        <w:trPr>
          <w:trHeight w:val="629"/>
        </w:trPr>
        <w:tc>
          <w:tcPr>
            <w:tcW w:w="822" w:type="dxa"/>
            <w:gridSpan w:val="3"/>
            <w:vMerge/>
            <w:tcBorders>
              <w:top w:val="single" w:sz="4" w:space="0" w:color="000000"/>
              <w:left w:val="single" w:sz="4" w:space="0" w:color="000000"/>
              <w:bottom w:val="single" w:sz="4" w:space="0" w:color="000000"/>
              <w:right w:val="single" w:sz="4" w:space="0" w:color="000000"/>
            </w:tcBorders>
            <w:noWrap/>
            <w:textDirection w:val="tbRlV"/>
            <w:vAlign w:val="center"/>
          </w:tcPr>
          <w:p w:rsidR="006E4FA3" w:rsidRDefault="006E4FA3">
            <w:pPr>
              <w:spacing w:line="600" w:lineRule="exact"/>
              <w:jc w:val="center"/>
              <w:rPr>
                <w:rFonts w:ascii="方正仿宋_GBK" w:eastAsia="方正仿宋_GBK" w:hAnsi="方正仿宋_GBK" w:cs="方正仿宋_GBK"/>
                <w:sz w:val="22"/>
                <w:szCs w:val="22"/>
              </w:rPr>
            </w:pPr>
          </w:p>
        </w:tc>
        <w:tc>
          <w:tcPr>
            <w:tcW w:w="1021"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年均维护成本增长率</w:t>
            </w:r>
          </w:p>
        </w:tc>
        <w:tc>
          <w:tcPr>
            <w:tcW w:w="1154"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p>
        </w:tc>
        <w:tc>
          <w:tcPr>
            <w:tcW w:w="76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10</w:t>
            </w:r>
          </w:p>
        </w:tc>
        <w:tc>
          <w:tcPr>
            <w:tcW w:w="907"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20</w:t>
            </w:r>
          </w:p>
        </w:tc>
        <w:tc>
          <w:tcPr>
            <w:tcW w:w="910"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8</w:t>
            </w:r>
          </w:p>
        </w:tc>
        <w:tc>
          <w:tcPr>
            <w:tcW w:w="984"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20</w:t>
            </w:r>
          </w:p>
        </w:tc>
        <w:tc>
          <w:tcPr>
            <w:tcW w:w="1592" w:type="dxa"/>
            <w:gridSpan w:val="7"/>
            <w:tcBorders>
              <w:top w:val="single" w:sz="4" w:space="0" w:color="000000"/>
              <w:left w:val="single" w:sz="4" w:space="0" w:color="000000"/>
              <w:bottom w:val="single" w:sz="4" w:space="0" w:color="000000"/>
              <w:right w:val="single" w:sz="4" w:space="0" w:color="000000"/>
            </w:tcBorders>
            <w:noWrap/>
            <w:vAlign w:val="center"/>
          </w:tcPr>
          <w:p w:rsidR="006E4FA3" w:rsidRDefault="006E4FA3">
            <w:pPr>
              <w:spacing w:line="600" w:lineRule="exact"/>
              <w:rPr>
                <w:rFonts w:ascii="方正仿宋_GBK" w:eastAsia="方正仿宋_GBK" w:hAnsi="方正仿宋_GBK" w:cs="方正仿宋_GBK"/>
                <w:sz w:val="22"/>
                <w:szCs w:val="22"/>
              </w:rPr>
            </w:pPr>
          </w:p>
        </w:tc>
      </w:tr>
      <w:tr w:rsidR="006E4FA3">
        <w:trPr>
          <w:trHeight w:val="629"/>
        </w:trPr>
        <w:tc>
          <w:tcPr>
            <w:tcW w:w="822" w:type="dxa"/>
            <w:gridSpan w:val="3"/>
            <w:vMerge/>
            <w:tcBorders>
              <w:top w:val="single" w:sz="4" w:space="0" w:color="000000"/>
              <w:left w:val="single" w:sz="4" w:space="0" w:color="000000"/>
              <w:bottom w:val="single" w:sz="4" w:space="0" w:color="000000"/>
              <w:right w:val="single" w:sz="4" w:space="0" w:color="000000"/>
            </w:tcBorders>
            <w:noWrap/>
            <w:textDirection w:val="tbRlV"/>
            <w:vAlign w:val="center"/>
          </w:tcPr>
          <w:p w:rsidR="006E4FA3" w:rsidRDefault="006E4FA3">
            <w:pPr>
              <w:spacing w:line="600" w:lineRule="exact"/>
              <w:jc w:val="center"/>
              <w:rPr>
                <w:rFonts w:ascii="方正仿宋_GBK" w:eastAsia="方正仿宋_GBK" w:hAnsi="方正仿宋_GBK" w:cs="方正仿宋_GBK"/>
                <w:sz w:val="22"/>
                <w:szCs w:val="22"/>
              </w:rPr>
            </w:pPr>
          </w:p>
        </w:tc>
        <w:tc>
          <w:tcPr>
            <w:tcW w:w="1021"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用户满意度</w:t>
            </w:r>
          </w:p>
        </w:tc>
        <w:tc>
          <w:tcPr>
            <w:tcW w:w="1154"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p>
        </w:tc>
        <w:tc>
          <w:tcPr>
            <w:tcW w:w="76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90</w:t>
            </w:r>
          </w:p>
        </w:tc>
        <w:tc>
          <w:tcPr>
            <w:tcW w:w="907"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30</w:t>
            </w:r>
          </w:p>
        </w:tc>
        <w:tc>
          <w:tcPr>
            <w:tcW w:w="910"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95</w:t>
            </w:r>
          </w:p>
        </w:tc>
        <w:tc>
          <w:tcPr>
            <w:tcW w:w="984"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30</w:t>
            </w:r>
          </w:p>
        </w:tc>
        <w:tc>
          <w:tcPr>
            <w:tcW w:w="1592" w:type="dxa"/>
            <w:gridSpan w:val="7"/>
            <w:tcBorders>
              <w:top w:val="single" w:sz="4" w:space="0" w:color="000000"/>
              <w:left w:val="single" w:sz="4" w:space="0" w:color="000000"/>
              <w:bottom w:val="single" w:sz="4" w:space="0" w:color="000000"/>
              <w:right w:val="single" w:sz="4" w:space="0" w:color="000000"/>
            </w:tcBorders>
            <w:noWrap/>
            <w:vAlign w:val="center"/>
          </w:tcPr>
          <w:p w:rsidR="006E4FA3" w:rsidRDefault="006E4FA3">
            <w:pPr>
              <w:spacing w:line="600" w:lineRule="exact"/>
              <w:rPr>
                <w:rFonts w:ascii="方正仿宋_GBK" w:eastAsia="方正仿宋_GBK" w:hAnsi="方正仿宋_GBK" w:cs="方正仿宋_GBK"/>
                <w:sz w:val="22"/>
                <w:szCs w:val="22"/>
              </w:rPr>
            </w:pPr>
          </w:p>
        </w:tc>
      </w:tr>
      <w:tr w:rsidR="006E4FA3">
        <w:trPr>
          <w:gridAfter w:val="3"/>
          <w:wAfter w:w="520" w:type="dxa"/>
          <w:trHeight w:val="780"/>
        </w:trPr>
        <w:tc>
          <w:tcPr>
            <w:tcW w:w="8340" w:type="dxa"/>
            <w:gridSpan w:val="21"/>
            <w:tcBorders>
              <w:top w:val="nil"/>
              <w:left w:val="nil"/>
              <w:bottom w:val="single" w:sz="4" w:space="0" w:color="000000"/>
              <w:right w:val="nil"/>
            </w:tcBorders>
            <w:noWrap/>
            <w:vAlign w:val="center"/>
          </w:tcPr>
          <w:p w:rsidR="006E4FA3" w:rsidRDefault="00BB760D">
            <w:pPr>
              <w:widowControl/>
              <w:spacing w:line="600" w:lineRule="exact"/>
              <w:jc w:val="center"/>
              <w:textAlignment w:val="center"/>
              <w:rPr>
                <w:rFonts w:ascii="Times New Roman" w:eastAsia="方正小标宋_GBK" w:hAnsi="Times New Roman" w:cs="Times New Roman"/>
                <w:sz w:val="36"/>
                <w:szCs w:val="36"/>
              </w:rPr>
            </w:pPr>
            <w:r>
              <w:rPr>
                <w:rFonts w:ascii="Times New Roman" w:eastAsia="方正小标宋_GBK" w:hAnsi="Times New Roman" w:cs="Times New Roman"/>
                <w:kern w:val="0"/>
                <w:sz w:val="36"/>
                <w:szCs w:val="36"/>
              </w:rPr>
              <w:t>2022</w:t>
            </w:r>
            <w:r>
              <w:rPr>
                <w:rFonts w:ascii="Times New Roman" w:eastAsia="方正小标宋_GBK" w:hAnsi="Times New Roman" w:cs="Times New Roman"/>
                <w:kern w:val="0"/>
                <w:sz w:val="36"/>
                <w:szCs w:val="36"/>
              </w:rPr>
              <w:t>年度重点专项项目支出绩效自评表</w:t>
            </w:r>
          </w:p>
        </w:tc>
      </w:tr>
      <w:tr w:rsidR="006E4FA3">
        <w:trPr>
          <w:gridAfter w:val="3"/>
          <w:wAfter w:w="520" w:type="dxa"/>
          <w:trHeight w:val="600"/>
        </w:trPr>
        <w:tc>
          <w:tcPr>
            <w:tcW w:w="504"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widowControl/>
              <w:spacing w:line="60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序号</w:t>
            </w:r>
          </w:p>
        </w:tc>
        <w:tc>
          <w:tcPr>
            <w:tcW w:w="813"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BB760D">
            <w:pPr>
              <w:widowControl/>
              <w:spacing w:line="60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项目名称</w:t>
            </w:r>
          </w:p>
        </w:tc>
        <w:tc>
          <w:tcPr>
            <w:tcW w:w="900"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BB760D">
            <w:pPr>
              <w:widowControl/>
              <w:spacing w:line="600" w:lineRule="exact"/>
              <w:jc w:val="center"/>
              <w:textAlignment w:val="center"/>
              <w:rPr>
                <w:rFonts w:ascii="Times New Roman" w:eastAsia="方正黑体_GBK" w:hAnsi="Times New Roman" w:cs="Times New Roman"/>
                <w:kern w:val="0"/>
                <w:sz w:val="22"/>
              </w:rPr>
            </w:pPr>
            <w:r>
              <w:rPr>
                <w:rFonts w:ascii="Times New Roman" w:eastAsia="方正黑体_GBK" w:hAnsi="Times New Roman" w:cs="Times New Roman"/>
                <w:kern w:val="0"/>
                <w:sz w:val="22"/>
              </w:rPr>
              <w:t>指标</w:t>
            </w:r>
          </w:p>
          <w:p w:rsidR="006E4FA3" w:rsidRDefault="00BB760D">
            <w:pPr>
              <w:widowControl/>
              <w:spacing w:line="60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名称</w:t>
            </w:r>
          </w:p>
        </w:tc>
        <w:tc>
          <w:tcPr>
            <w:tcW w:w="780"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widowControl/>
              <w:spacing w:line="60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指标性质</w:t>
            </w:r>
          </w:p>
        </w:tc>
        <w:tc>
          <w:tcPr>
            <w:tcW w:w="76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widowControl/>
              <w:spacing w:line="60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指标值</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widowControl/>
              <w:spacing w:line="60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计量单位</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widowControl/>
              <w:spacing w:line="60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指标权重</w:t>
            </w:r>
          </w:p>
        </w:tc>
        <w:tc>
          <w:tcPr>
            <w:tcW w:w="960"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widowControl/>
              <w:spacing w:line="60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全年完成值</w:t>
            </w:r>
          </w:p>
        </w:tc>
        <w:tc>
          <w:tcPr>
            <w:tcW w:w="705"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widowControl/>
              <w:spacing w:line="60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指标得分</w:t>
            </w:r>
          </w:p>
        </w:tc>
        <w:tc>
          <w:tcPr>
            <w:tcW w:w="689"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widowControl/>
              <w:spacing w:line="60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说明</w:t>
            </w:r>
          </w:p>
        </w:tc>
        <w:tc>
          <w:tcPr>
            <w:tcW w:w="784"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BB760D">
            <w:pPr>
              <w:widowControl/>
              <w:spacing w:line="60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自评得分</w:t>
            </w:r>
          </w:p>
        </w:tc>
      </w:tr>
      <w:tr w:rsidR="006E4FA3">
        <w:trPr>
          <w:gridAfter w:val="3"/>
          <w:wAfter w:w="520" w:type="dxa"/>
          <w:trHeight w:val="432"/>
        </w:trPr>
        <w:tc>
          <w:tcPr>
            <w:tcW w:w="504" w:type="dxa"/>
            <w:vMerge w:val="restart"/>
            <w:tcBorders>
              <w:top w:val="single" w:sz="4" w:space="0" w:color="000000"/>
              <w:left w:val="single" w:sz="4" w:space="0" w:color="000000"/>
              <w:right w:val="single" w:sz="4" w:space="0" w:color="000000"/>
            </w:tcBorders>
            <w:noWrap/>
            <w:vAlign w:val="center"/>
          </w:tcPr>
          <w:p w:rsidR="006E4FA3" w:rsidRDefault="00BB760D">
            <w:pPr>
              <w:spacing w:line="600" w:lineRule="exact"/>
              <w:jc w:val="center"/>
              <w:textAlignment w:val="center"/>
              <w:rPr>
                <w:rFonts w:ascii="方正仿宋_GBK" w:eastAsia="方正仿宋_GBK" w:hAnsi="方正仿宋_GBK" w:cs="方正仿宋_GBK"/>
                <w:sz w:val="22"/>
                <w:szCs w:val="22"/>
              </w:rPr>
            </w:pPr>
            <w:r>
              <w:rPr>
                <w:rFonts w:ascii="方正仿宋_GBK" w:eastAsia="方正仿宋_GBK" w:hAnsi="方正仿宋_GBK" w:cs="方正仿宋_GBK" w:hint="eastAsia"/>
                <w:kern w:val="0"/>
                <w:sz w:val="22"/>
                <w:szCs w:val="22"/>
              </w:rPr>
              <w:t>1</w:t>
            </w:r>
          </w:p>
        </w:tc>
        <w:tc>
          <w:tcPr>
            <w:tcW w:w="813" w:type="dxa"/>
            <w:gridSpan w:val="3"/>
            <w:vMerge w:val="restart"/>
            <w:tcBorders>
              <w:top w:val="single" w:sz="4" w:space="0" w:color="000000"/>
              <w:left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kern w:val="0"/>
                <w:sz w:val="22"/>
                <w:szCs w:val="22"/>
              </w:rPr>
              <w:t>面向重大公共卫生突发事件的智慧医疗一期项目建</w:t>
            </w:r>
            <w:r>
              <w:rPr>
                <w:rFonts w:ascii="方正仿宋_GBK" w:eastAsia="方正仿宋_GBK" w:hAnsi="方正仿宋_GBK" w:cs="方正仿宋_GBK" w:hint="eastAsia"/>
                <w:kern w:val="0"/>
                <w:sz w:val="22"/>
                <w:szCs w:val="22"/>
              </w:rPr>
              <w:lastRenderedPageBreak/>
              <w:t>设（智慧万州子项目）</w:t>
            </w:r>
          </w:p>
        </w:tc>
        <w:tc>
          <w:tcPr>
            <w:tcW w:w="900"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717724">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lastRenderedPageBreak/>
              <w:t>年度</w:t>
            </w:r>
            <w:r w:rsidR="00BB760D">
              <w:rPr>
                <w:rFonts w:ascii="方正仿宋_GBK" w:eastAsia="方正仿宋_GBK" w:hAnsi="方正仿宋_GBK" w:cs="方正仿宋_GBK" w:hint="eastAsia"/>
                <w:sz w:val="22"/>
                <w:szCs w:val="22"/>
              </w:rPr>
              <w:t>预算执行率</w:t>
            </w:r>
          </w:p>
        </w:tc>
        <w:tc>
          <w:tcPr>
            <w:tcW w:w="780"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p>
        </w:tc>
        <w:tc>
          <w:tcPr>
            <w:tcW w:w="76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100</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10</w:t>
            </w:r>
          </w:p>
        </w:tc>
        <w:tc>
          <w:tcPr>
            <w:tcW w:w="960"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100</w:t>
            </w:r>
          </w:p>
        </w:tc>
        <w:tc>
          <w:tcPr>
            <w:tcW w:w="705"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10</w:t>
            </w:r>
          </w:p>
        </w:tc>
        <w:tc>
          <w:tcPr>
            <w:tcW w:w="689"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6E4FA3">
            <w:pPr>
              <w:spacing w:line="320" w:lineRule="exact"/>
              <w:jc w:val="center"/>
              <w:rPr>
                <w:rFonts w:ascii="方正仿宋_GBK" w:eastAsia="方正仿宋_GBK" w:hAnsi="方正仿宋_GBK" w:cs="方正仿宋_GBK"/>
                <w:color w:val="FF0000"/>
                <w:sz w:val="22"/>
                <w:szCs w:val="22"/>
              </w:rPr>
            </w:pPr>
          </w:p>
        </w:tc>
        <w:tc>
          <w:tcPr>
            <w:tcW w:w="784"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6E4FA3">
            <w:pPr>
              <w:spacing w:line="600" w:lineRule="exact"/>
              <w:jc w:val="center"/>
              <w:rPr>
                <w:rFonts w:ascii="方正仿宋_GBK" w:eastAsia="方正仿宋_GBK" w:hAnsi="方正仿宋_GBK" w:cs="方正仿宋_GBK"/>
                <w:sz w:val="22"/>
                <w:szCs w:val="22"/>
              </w:rPr>
            </w:pPr>
          </w:p>
        </w:tc>
      </w:tr>
      <w:tr w:rsidR="006E4FA3">
        <w:trPr>
          <w:gridAfter w:val="3"/>
          <w:wAfter w:w="520" w:type="dxa"/>
          <w:trHeight w:val="432"/>
        </w:trPr>
        <w:tc>
          <w:tcPr>
            <w:tcW w:w="504" w:type="dxa"/>
            <w:vMerge/>
            <w:tcBorders>
              <w:left w:val="single" w:sz="4" w:space="0" w:color="000000"/>
              <w:right w:val="single" w:sz="4" w:space="0" w:color="000000"/>
            </w:tcBorders>
            <w:noWrap/>
            <w:vAlign w:val="center"/>
          </w:tcPr>
          <w:p w:rsidR="006E4FA3" w:rsidRDefault="006E4FA3">
            <w:pPr>
              <w:spacing w:line="600" w:lineRule="exact"/>
              <w:jc w:val="center"/>
              <w:textAlignment w:val="center"/>
              <w:rPr>
                <w:rFonts w:ascii="方正仿宋_GBK" w:eastAsia="方正仿宋_GBK" w:hAnsi="方正仿宋_GBK" w:cs="方正仿宋_GBK"/>
                <w:sz w:val="22"/>
                <w:szCs w:val="22"/>
              </w:rPr>
            </w:pPr>
          </w:p>
        </w:tc>
        <w:tc>
          <w:tcPr>
            <w:tcW w:w="813" w:type="dxa"/>
            <w:gridSpan w:val="3"/>
            <w:vMerge/>
            <w:tcBorders>
              <w:left w:val="single" w:sz="4" w:space="0" w:color="000000"/>
              <w:right w:val="single" w:sz="4" w:space="0" w:color="000000"/>
            </w:tcBorders>
            <w:noWrap/>
            <w:vAlign w:val="center"/>
          </w:tcPr>
          <w:p w:rsidR="006E4FA3" w:rsidRDefault="006E4FA3">
            <w:pPr>
              <w:spacing w:line="600" w:lineRule="exact"/>
              <w:jc w:val="center"/>
              <w:rPr>
                <w:rFonts w:ascii="方正仿宋_GBK" w:eastAsia="方正仿宋_GBK" w:hAnsi="方正仿宋_GBK" w:cs="方正仿宋_GBK"/>
                <w:sz w:val="22"/>
                <w:szCs w:val="22"/>
              </w:rPr>
            </w:pPr>
          </w:p>
        </w:tc>
        <w:tc>
          <w:tcPr>
            <w:tcW w:w="900"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购买服务数量</w:t>
            </w:r>
          </w:p>
        </w:tc>
        <w:tc>
          <w:tcPr>
            <w:tcW w:w="780"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p>
        </w:tc>
        <w:tc>
          <w:tcPr>
            <w:tcW w:w="76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项</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20</w:t>
            </w:r>
          </w:p>
        </w:tc>
        <w:tc>
          <w:tcPr>
            <w:tcW w:w="960"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w:t>
            </w:r>
          </w:p>
        </w:tc>
        <w:tc>
          <w:tcPr>
            <w:tcW w:w="705"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20</w:t>
            </w:r>
          </w:p>
        </w:tc>
        <w:tc>
          <w:tcPr>
            <w:tcW w:w="689"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6E4FA3">
            <w:pPr>
              <w:spacing w:line="600" w:lineRule="exact"/>
              <w:jc w:val="center"/>
              <w:rPr>
                <w:rFonts w:ascii="方正仿宋_GBK" w:eastAsia="方正仿宋_GBK" w:hAnsi="方正仿宋_GBK" w:cs="方正仿宋_GBK"/>
                <w:sz w:val="22"/>
                <w:szCs w:val="22"/>
              </w:rPr>
            </w:pPr>
          </w:p>
        </w:tc>
        <w:tc>
          <w:tcPr>
            <w:tcW w:w="784" w:type="dxa"/>
            <w:gridSpan w:val="3"/>
            <w:vMerge w:val="restart"/>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100</w:t>
            </w:r>
          </w:p>
        </w:tc>
      </w:tr>
      <w:tr w:rsidR="006E4FA3">
        <w:trPr>
          <w:gridAfter w:val="3"/>
          <w:wAfter w:w="520" w:type="dxa"/>
          <w:trHeight w:val="432"/>
        </w:trPr>
        <w:tc>
          <w:tcPr>
            <w:tcW w:w="504" w:type="dxa"/>
            <w:vMerge/>
            <w:tcBorders>
              <w:left w:val="single" w:sz="4" w:space="0" w:color="000000"/>
              <w:right w:val="single" w:sz="4" w:space="0" w:color="000000"/>
            </w:tcBorders>
            <w:noWrap/>
            <w:vAlign w:val="center"/>
          </w:tcPr>
          <w:p w:rsidR="006E4FA3" w:rsidRDefault="006E4FA3">
            <w:pPr>
              <w:spacing w:line="600" w:lineRule="exact"/>
              <w:jc w:val="center"/>
              <w:textAlignment w:val="center"/>
              <w:rPr>
                <w:rFonts w:ascii="方正仿宋_GBK" w:eastAsia="方正仿宋_GBK" w:hAnsi="方正仿宋_GBK" w:cs="方正仿宋_GBK"/>
                <w:sz w:val="22"/>
                <w:szCs w:val="22"/>
              </w:rPr>
            </w:pPr>
          </w:p>
        </w:tc>
        <w:tc>
          <w:tcPr>
            <w:tcW w:w="813" w:type="dxa"/>
            <w:gridSpan w:val="3"/>
            <w:vMerge/>
            <w:tcBorders>
              <w:left w:val="single" w:sz="4" w:space="0" w:color="000000"/>
              <w:right w:val="single" w:sz="4" w:space="0" w:color="000000"/>
            </w:tcBorders>
            <w:noWrap/>
            <w:vAlign w:val="center"/>
          </w:tcPr>
          <w:p w:rsidR="006E4FA3" w:rsidRDefault="006E4FA3">
            <w:pPr>
              <w:spacing w:line="600" w:lineRule="exact"/>
              <w:jc w:val="center"/>
              <w:rPr>
                <w:rFonts w:ascii="方正仿宋_GBK" w:eastAsia="方正仿宋_GBK" w:hAnsi="方正仿宋_GBK" w:cs="方正仿宋_GBK"/>
                <w:sz w:val="22"/>
                <w:szCs w:val="22"/>
              </w:rPr>
            </w:pPr>
          </w:p>
        </w:tc>
        <w:tc>
          <w:tcPr>
            <w:tcW w:w="900"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服务质量达标率</w:t>
            </w:r>
          </w:p>
        </w:tc>
        <w:tc>
          <w:tcPr>
            <w:tcW w:w="780"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p>
        </w:tc>
        <w:tc>
          <w:tcPr>
            <w:tcW w:w="76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90</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20</w:t>
            </w:r>
          </w:p>
        </w:tc>
        <w:tc>
          <w:tcPr>
            <w:tcW w:w="960"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95</w:t>
            </w:r>
          </w:p>
        </w:tc>
        <w:tc>
          <w:tcPr>
            <w:tcW w:w="705"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20</w:t>
            </w:r>
          </w:p>
        </w:tc>
        <w:tc>
          <w:tcPr>
            <w:tcW w:w="689"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6E4FA3">
            <w:pPr>
              <w:spacing w:line="600" w:lineRule="exact"/>
              <w:jc w:val="center"/>
              <w:rPr>
                <w:rFonts w:ascii="方正仿宋_GBK" w:eastAsia="方正仿宋_GBK" w:hAnsi="方正仿宋_GBK" w:cs="方正仿宋_GBK"/>
                <w:sz w:val="22"/>
                <w:szCs w:val="22"/>
              </w:rPr>
            </w:pPr>
          </w:p>
        </w:tc>
        <w:tc>
          <w:tcPr>
            <w:tcW w:w="784" w:type="dxa"/>
            <w:gridSpan w:val="3"/>
            <w:vMerge/>
            <w:tcBorders>
              <w:top w:val="single" w:sz="4" w:space="0" w:color="000000"/>
              <w:left w:val="single" w:sz="4" w:space="0" w:color="000000"/>
              <w:bottom w:val="single" w:sz="4" w:space="0" w:color="000000"/>
              <w:right w:val="single" w:sz="4" w:space="0" w:color="000000"/>
            </w:tcBorders>
            <w:noWrap/>
            <w:vAlign w:val="center"/>
          </w:tcPr>
          <w:p w:rsidR="006E4FA3" w:rsidRDefault="006E4FA3">
            <w:pPr>
              <w:spacing w:line="600" w:lineRule="exact"/>
              <w:jc w:val="center"/>
              <w:rPr>
                <w:rFonts w:ascii="方正仿宋_GBK" w:eastAsia="方正仿宋_GBK" w:hAnsi="方正仿宋_GBK" w:cs="方正仿宋_GBK"/>
                <w:sz w:val="22"/>
                <w:szCs w:val="22"/>
              </w:rPr>
            </w:pPr>
          </w:p>
        </w:tc>
      </w:tr>
      <w:tr w:rsidR="006E4FA3">
        <w:trPr>
          <w:gridAfter w:val="3"/>
          <w:wAfter w:w="520" w:type="dxa"/>
          <w:trHeight w:val="432"/>
        </w:trPr>
        <w:tc>
          <w:tcPr>
            <w:tcW w:w="504" w:type="dxa"/>
            <w:vMerge/>
            <w:tcBorders>
              <w:left w:val="single" w:sz="4" w:space="0" w:color="000000"/>
              <w:right w:val="single" w:sz="4" w:space="0" w:color="000000"/>
            </w:tcBorders>
            <w:noWrap/>
            <w:vAlign w:val="center"/>
          </w:tcPr>
          <w:p w:rsidR="006E4FA3" w:rsidRDefault="006E4FA3">
            <w:pPr>
              <w:spacing w:line="600" w:lineRule="exact"/>
              <w:jc w:val="center"/>
              <w:textAlignment w:val="center"/>
              <w:rPr>
                <w:rFonts w:ascii="方正仿宋_GBK" w:eastAsia="方正仿宋_GBK" w:hAnsi="方正仿宋_GBK" w:cs="方正仿宋_GBK"/>
                <w:sz w:val="22"/>
                <w:szCs w:val="22"/>
              </w:rPr>
            </w:pPr>
          </w:p>
        </w:tc>
        <w:tc>
          <w:tcPr>
            <w:tcW w:w="813" w:type="dxa"/>
            <w:gridSpan w:val="3"/>
            <w:vMerge/>
            <w:tcBorders>
              <w:left w:val="single" w:sz="4" w:space="0" w:color="000000"/>
              <w:right w:val="single" w:sz="4" w:space="0" w:color="000000"/>
            </w:tcBorders>
            <w:noWrap/>
            <w:vAlign w:val="center"/>
          </w:tcPr>
          <w:p w:rsidR="006E4FA3" w:rsidRDefault="006E4FA3">
            <w:pPr>
              <w:spacing w:line="600" w:lineRule="exact"/>
              <w:jc w:val="center"/>
              <w:rPr>
                <w:rFonts w:ascii="方正仿宋_GBK" w:eastAsia="方正仿宋_GBK" w:hAnsi="方正仿宋_GBK" w:cs="方正仿宋_GBK"/>
                <w:sz w:val="22"/>
                <w:szCs w:val="22"/>
              </w:rPr>
            </w:pPr>
          </w:p>
        </w:tc>
        <w:tc>
          <w:tcPr>
            <w:tcW w:w="900"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购买服务完成率</w:t>
            </w:r>
          </w:p>
        </w:tc>
        <w:tc>
          <w:tcPr>
            <w:tcW w:w="780"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p>
        </w:tc>
        <w:tc>
          <w:tcPr>
            <w:tcW w:w="76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95</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20</w:t>
            </w:r>
          </w:p>
        </w:tc>
        <w:tc>
          <w:tcPr>
            <w:tcW w:w="960"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100</w:t>
            </w:r>
          </w:p>
        </w:tc>
        <w:tc>
          <w:tcPr>
            <w:tcW w:w="705"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20</w:t>
            </w:r>
          </w:p>
        </w:tc>
        <w:tc>
          <w:tcPr>
            <w:tcW w:w="689"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6E4FA3">
            <w:pPr>
              <w:spacing w:line="600" w:lineRule="exact"/>
              <w:jc w:val="center"/>
              <w:rPr>
                <w:rFonts w:ascii="方正仿宋_GBK" w:eastAsia="方正仿宋_GBK" w:hAnsi="方正仿宋_GBK" w:cs="方正仿宋_GBK"/>
                <w:sz w:val="22"/>
                <w:szCs w:val="22"/>
              </w:rPr>
            </w:pPr>
          </w:p>
        </w:tc>
        <w:tc>
          <w:tcPr>
            <w:tcW w:w="784" w:type="dxa"/>
            <w:gridSpan w:val="3"/>
            <w:vMerge/>
            <w:tcBorders>
              <w:top w:val="single" w:sz="4" w:space="0" w:color="000000"/>
              <w:left w:val="single" w:sz="4" w:space="0" w:color="000000"/>
              <w:bottom w:val="single" w:sz="4" w:space="0" w:color="000000"/>
              <w:right w:val="single" w:sz="4" w:space="0" w:color="000000"/>
            </w:tcBorders>
            <w:noWrap/>
            <w:vAlign w:val="center"/>
          </w:tcPr>
          <w:p w:rsidR="006E4FA3" w:rsidRDefault="006E4FA3">
            <w:pPr>
              <w:spacing w:line="600" w:lineRule="exact"/>
              <w:jc w:val="center"/>
              <w:rPr>
                <w:rFonts w:ascii="方正仿宋_GBK" w:eastAsia="方正仿宋_GBK" w:hAnsi="方正仿宋_GBK" w:cs="方正仿宋_GBK"/>
                <w:sz w:val="22"/>
                <w:szCs w:val="22"/>
              </w:rPr>
            </w:pPr>
          </w:p>
        </w:tc>
      </w:tr>
      <w:tr w:rsidR="006E4FA3">
        <w:trPr>
          <w:gridAfter w:val="3"/>
          <w:wAfter w:w="520" w:type="dxa"/>
          <w:trHeight w:val="432"/>
        </w:trPr>
        <w:tc>
          <w:tcPr>
            <w:tcW w:w="504" w:type="dxa"/>
            <w:vMerge/>
            <w:tcBorders>
              <w:left w:val="single" w:sz="4" w:space="0" w:color="000000"/>
              <w:right w:val="single" w:sz="4" w:space="0" w:color="000000"/>
            </w:tcBorders>
            <w:noWrap/>
            <w:vAlign w:val="center"/>
          </w:tcPr>
          <w:p w:rsidR="006E4FA3" w:rsidRDefault="006E4FA3">
            <w:pPr>
              <w:spacing w:line="600" w:lineRule="exact"/>
              <w:jc w:val="center"/>
              <w:textAlignment w:val="center"/>
              <w:rPr>
                <w:rFonts w:ascii="方正仿宋_GBK" w:eastAsia="方正仿宋_GBK" w:hAnsi="方正仿宋_GBK" w:cs="方正仿宋_GBK"/>
                <w:sz w:val="22"/>
                <w:szCs w:val="22"/>
              </w:rPr>
            </w:pPr>
          </w:p>
        </w:tc>
        <w:tc>
          <w:tcPr>
            <w:tcW w:w="813" w:type="dxa"/>
            <w:gridSpan w:val="3"/>
            <w:vMerge/>
            <w:tcBorders>
              <w:left w:val="single" w:sz="4" w:space="0" w:color="000000"/>
              <w:right w:val="single" w:sz="4" w:space="0" w:color="000000"/>
            </w:tcBorders>
            <w:noWrap/>
            <w:vAlign w:val="center"/>
          </w:tcPr>
          <w:p w:rsidR="006E4FA3" w:rsidRDefault="006E4FA3">
            <w:pPr>
              <w:spacing w:line="600" w:lineRule="exact"/>
              <w:jc w:val="center"/>
              <w:rPr>
                <w:rFonts w:ascii="方正仿宋_GBK" w:eastAsia="方正仿宋_GBK" w:hAnsi="方正仿宋_GBK" w:cs="方正仿宋_GBK"/>
                <w:sz w:val="22"/>
                <w:szCs w:val="22"/>
              </w:rPr>
            </w:pPr>
          </w:p>
        </w:tc>
        <w:tc>
          <w:tcPr>
            <w:tcW w:w="900"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系统正常使用年限</w:t>
            </w:r>
          </w:p>
        </w:tc>
        <w:tc>
          <w:tcPr>
            <w:tcW w:w="780"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p>
        </w:tc>
        <w:tc>
          <w:tcPr>
            <w:tcW w:w="76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6</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年</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20</w:t>
            </w:r>
          </w:p>
        </w:tc>
        <w:tc>
          <w:tcPr>
            <w:tcW w:w="960"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6</w:t>
            </w:r>
          </w:p>
        </w:tc>
        <w:tc>
          <w:tcPr>
            <w:tcW w:w="705"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20</w:t>
            </w:r>
          </w:p>
        </w:tc>
        <w:tc>
          <w:tcPr>
            <w:tcW w:w="689"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6E4FA3">
            <w:pPr>
              <w:spacing w:line="600" w:lineRule="exact"/>
              <w:jc w:val="center"/>
              <w:rPr>
                <w:rFonts w:ascii="方正仿宋_GBK" w:eastAsia="方正仿宋_GBK" w:hAnsi="方正仿宋_GBK" w:cs="方正仿宋_GBK"/>
                <w:sz w:val="22"/>
                <w:szCs w:val="22"/>
              </w:rPr>
            </w:pPr>
          </w:p>
        </w:tc>
        <w:tc>
          <w:tcPr>
            <w:tcW w:w="784" w:type="dxa"/>
            <w:gridSpan w:val="3"/>
            <w:vMerge/>
            <w:tcBorders>
              <w:top w:val="single" w:sz="4" w:space="0" w:color="000000"/>
              <w:left w:val="single" w:sz="4" w:space="0" w:color="000000"/>
              <w:bottom w:val="single" w:sz="4" w:space="0" w:color="000000"/>
              <w:right w:val="single" w:sz="4" w:space="0" w:color="000000"/>
            </w:tcBorders>
            <w:noWrap/>
            <w:vAlign w:val="center"/>
          </w:tcPr>
          <w:p w:rsidR="006E4FA3" w:rsidRDefault="006E4FA3">
            <w:pPr>
              <w:spacing w:line="600" w:lineRule="exact"/>
              <w:jc w:val="center"/>
              <w:rPr>
                <w:rFonts w:ascii="方正仿宋_GBK" w:eastAsia="方正仿宋_GBK" w:hAnsi="方正仿宋_GBK" w:cs="方正仿宋_GBK"/>
                <w:sz w:val="22"/>
                <w:szCs w:val="22"/>
              </w:rPr>
            </w:pPr>
          </w:p>
        </w:tc>
      </w:tr>
      <w:tr w:rsidR="006E4FA3">
        <w:trPr>
          <w:gridAfter w:val="3"/>
          <w:wAfter w:w="520" w:type="dxa"/>
          <w:trHeight w:val="432"/>
        </w:trPr>
        <w:tc>
          <w:tcPr>
            <w:tcW w:w="504" w:type="dxa"/>
            <w:vMerge/>
            <w:tcBorders>
              <w:left w:val="single" w:sz="4" w:space="0" w:color="000000"/>
              <w:right w:val="single" w:sz="4" w:space="0" w:color="000000"/>
            </w:tcBorders>
            <w:noWrap/>
            <w:vAlign w:val="center"/>
          </w:tcPr>
          <w:p w:rsidR="006E4FA3" w:rsidRDefault="006E4FA3">
            <w:pPr>
              <w:spacing w:line="600" w:lineRule="exact"/>
              <w:jc w:val="center"/>
              <w:textAlignment w:val="center"/>
              <w:rPr>
                <w:rFonts w:ascii="方正仿宋_GBK" w:eastAsia="方正仿宋_GBK" w:hAnsi="方正仿宋_GBK" w:cs="方正仿宋_GBK"/>
                <w:sz w:val="22"/>
                <w:szCs w:val="22"/>
              </w:rPr>
            </w:pPr>
          </w:p>
        </w:tc>
        <w:tc>
          <w:tcPr>
            <w:tcW w:w="813" w:type="dxa"/>
            <w:gridSpan w:val="3"/>
            <w:vMerge/>
            <w:tcBorders>
              <w:left w:val="single" w:sz="4" w:space="0" w:color="000000"/>
              <w:bottom w:val="single" w:sz="4" w:space="0" w:color="000000"/>
              <w:right w:val="single" w:sz="4" w:space="0" w:color="000000"/>
            </w:tcBorders>
            <w:noWrap/>
            <w:vAlign w:val="center"/>
          </w:tcPr>
          <w:p w:rsidR="006E4FA3" w:rsidRDefault="006E4FA3">
            <w:pPr>
              <w:spacing w:line="600" w:lineRule="exact"/>
              <w:jc w:val="center"/>
              <w:rPr>
                <w:rFonts w:ascii="方正仿宋_GBK" w:eastAsia="方正仿宋_GBK" w:hAnsi="方正仿宋_GBK" w:cs="方正仿宋_GBK"/>
                <w:sz w:val="22"/>
                <w:szCs w:val="22"/>
              </w:rPr>
            </w:pPr>
          </w:p>
        </w:tc>
        <w:tc>
          <w:tcPr>
            <w:tcW w:w="900"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服务对象满意度</w:t>
            </w:r>
          </w:p>
        </w:tc>
        <w:tc>
          <w:tcPr>
            <w:tcW w:w="780"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p>
        </w:tc>
        <w:tc>
          <w:tcPr>
            <w:tcW w:w="76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95</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10</w:t>
            </w:r>
          </w:p>
        </w:tc>
        <w:tc>
          <w:tcPr>
            <w:tcW w:w="960"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95</w:t>
            </w:r>
          </w:p>
        </w:tc>
        <w:tc>
          <w:tcPr>
            <w:tcW w:w="705"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20</w:t>
            </w:r>
          </w:p>
        </w:tc>
        <w:tc>
          <w:tcPr>
            <w:tcW w:w="689"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6E4FA3">
            <w:pPr>
              <w:spacing w:line="600" w:lineRule="exact"/>
              <w:jc w:val="center"/>
              <w:rPr>
                <w:rFonts w:ascii="方正仿宋_GBK" w:eastAsia="方正仿宋_GBK" w:hAnsi="方正仿宋_GBK" w:cs="方正仿宋_GBK"/>
                <w:sz w:val="22"/>
                <w:szCs w:val="22"/>
              </w:rPr>
            </w:pPr>
          </w:p>
        </w:tc>
        <w:tc>
          <w:tcPr>
            <w:tcW w:w="784" w:type="dxa"/>
            <w:gridSpan w:val="3"/>
            <w:vMerge/>
            <w:tcBorders>
              <w:top w:val="single" w:sz="4" w:space="0" w:color="000000"/>
              <w:left w:val="single" w:sz="4" w:space="0" w:color="000000"/>
              <w:bottom w:val="single" w:sz="4" w:space="0" w:color="000000"/>
              <w:right w:val="single" w:sz="4" w:space="0" w:color="000000"/>
            </w:tcBorders>
            <w:noWrap/>
            <w:vAlign w:val="center"/>
          </w:tcPr>
          <w:p w:rsidR="006E4FA3" w:rsidRDefault="006E4FA3">
            <w:pPr>
              <w:spacing w:line="600" w:lineRule="exact"/>
              <w:jc w:val="center"/>
              <w:rPr>
                <w:rFonts w:ascii="方正仿宋_GBK" w:eastAsia="方正仿宋_GBK" w:hAnsi="方正仿宋_GBK" w:cs="方正仿宋_GBK"/>
                <w:sz w:val="22"/>
                <w:szCs w:val="22"/>
              </w:rPr>
            </w:pPr>
          </w:p>
        </w:tc>
      </w:tr>
      <w:tr w:rsidR="006E4FA3">
        <w:trPr>
          <w:gridAfter w:val="2"/>
          <w:wAfter w:w="505" w:type="dxa"/>
          <w:trHeight w:val="780"/>
        </w:trPr>
        <w:tc>
          <w:tcPr>
            <w:tcW w:w="8355" w:type="dxa"/>
            <w:gridSpan w:val="22"/>
            <w:tcBorders>
              <w:top w:val="nil"/>
              <w:left w:val="nil"/>
              <w:bottom w:val="single" w:sz="4" w:space="0" w:color="000000"/>
              <w:right w:val="nil"/>
            </w:tcBorders>
            <w:noWrap/>
            <w:vAlign w:val="center"/>
          </w:tcPr>
          <w:p w:rsidR="006E4FA3" w:rsidRDefault="00BB760D">
            <w:pPr>
              <w:widowControl/>
              <w:spacing w:line="600" w:lineRule="exact"/>
              <w:jc w:val="center"/>
              <w:textAlignment w:val="center"/>
              <w:rPr>
                <w:rFonts w:ascii="Times New Roman" w:eastAsia="方正小标宋_GBK" w:hAnsi="Times New Roman" w:cs="Times New Roman"/>
                <w:sz w:val="36"/>
                <w:szCs w:val="36"/>
              </w:rPr>
            </w:pPr>
            <w:r>
              <w:rPr>
                <w:rFonts w:ascii="Times New Roman" w:eastAsia="方正小标宋_GBK" w:hAnsi="Times New Roman" w:cs="Times New Roman"/>
                <w:kern w:val="0"/>
                <w:sz w:val="36"/>
                <w:szCs w:val="36"/>
              </w:rPr>
              <w:t>2022</w:t>
            </w:r>
            <w:r>
              <w:rPr>
                <w:rFonts w:ascii="Times New Roman" w:eastAsia="方正小标宋_GBK" w:hAnsi="Times New Roman" w:cs="Times New Roman"/>
                <w:kern w:val="0"/>
                <w:sz w:val="36"/>
                <w:szCs w:val="36"/>
              </w:rPr>
              <w:t>年度一般性项目支出绩效自评表</w:t>
            </w:r>
          </w:p>
        </w:tc>
      </w:tr>
      <w:tr w:rsidR="006E4FA3">
        <w:trPr>
          <w:gridAfter w:val="1"/>
          <w:wAfter w:w="225" w:type="dxa"/>
          <w:trHeight w:val="600"/>
        </w:trPr>
        <w:tc>
          <w:tcPr>
            <w:tcW w:w="600"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widowControl/>
              <w:spacing w:line="60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序号</w:t>
            </w:r>
          </w:p>
        </w:tc>
        <w:tc>
          <w:tcPr>
            <w:tcW w:w="813"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BB760D">
            <w:pPr>
              <w:widowControl/>
              <w:spacing w:line="60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项目名称</w:t>
            </w:r>
          </w:p>
        </w:tc>
        <w:tc>
          <w:tcPr>
            <w:tcW w:w="900"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BB760D">
            <w:pPr>
              <w:widowControl/>
              <w:spacing w:line="60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指标名称</w:t>
            </w:r>
          </w:p>
        </w:tc>
        <w:tc>
          <w:tcPr>
            <w:tcW w:w="684"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widowControl/>
              <w:spacing w:line="60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指标性质</w:t>
            </w:r>
          </w:p>
        </w:tc>
        <w:tc>
          <w:tcPr>
            <w:tcW w:w="76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widowControl/>
              <w:spacing w:line="60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指标值</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widowControl/>
              <w:spacing w:line="60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计量单位</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widowControl/>
              <w:spacing w:line="60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指标权重</w:t>
            </w:r>
          </w:p>
        </w:tc>
        <w:tc>
          <w:tcPr>
            <w:tcW w:w="960"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widowControl/>
              <w:spacing w:line="60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全年完成值</w:t>
            </w:r>
          </w:p>
        </w:tc>
        <w:tc>
          <w:tcPr>
            <w:tcW w:w="705"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widowControl/>
              <w:spacing w:line="60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指标得分</w:t>
            </w:r>
          </w:p>
        </w:tc>
        <w:tc>
          <w:tcPr>
            <w:tcW w:w="1106"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BB760D">
            <w:pPr>
              <w:widowControl/>
              <w:spacing w:line="60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说明</w:t>
            </w:r>
          </w:p>
        </w:tc>
        <w:tc>
          <w:tcPr>
            <w:tcW w:w="662" w:type="dxa"/>
            <w:gridSpan w:val="4"/>
            <w:tcBorders>
              <w:top w:val="single" w:sz="4" w:space="0" w:color="000000"/>
              <w:left w:val="single" w:sz="4" w:space="0" w:color="000000"/>
              <w:bottom w:val="single" w:sz="4" w:space="0" w:color="000000"/>
              <w:right w:val="single" w:sz="4" w:space="0" w:color="000000"/>
            </w:tcBorders>
            <w:noWrap/>
            <w:vAlign w:val="center"/>
          </w:tcPr>
          <w:p w:rsidR="006E4FA3" w:rsidRDefault="00BB760D">
            <w:pPr>
              <w:widowControl/>
              <w:spacing w:line="60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自评得分</w:t>
            </w:r>
          </w:p>
        </w:tc>
      </w:tr>
      <w:tr w:rsidR="006E4FA3">
        <w:trPr>
          <w:gridAfter w:val="1"/>
          <w:wAfter w:w="225" w:type="dxa"/>
          <w:trHeight w:val="432"/>
        </w:trPr>
        <w:tc>
          <w:tcPr>
            <w:tcW w:w="600" w:type="dxa"/>
            <w:gridSpan w:val="2"/>
            <w:vMerge w:val="restart"/>
            <w:tcBorders>
              <w:top w:val="single" w:sz="4" w:space="0" w:color="000000"/>
              <w:left w:val="single" w:sz="4" w:space="0" w:color="000000"/>
              <w:right w:val="single" w:sz="4" w:space="0" w:color="000000"/>
            </w:tcBorders>
            <w:noWrap/>
            <w:vAlign w:val="center"/>
          </w:tcPr>
          <w:p w:rsidR="006E4FA3" w:rsidRDefault="00BB760D">
            <w:pPr>
              <w:spacing w:line="600" w:lineRule="exact"/>
              <w:jc w:val="center"/>
              <w:textAlignment w:val="center"/>
              <w:rPr>
                <w:rFonts w:ascii="方正仿宋_GBK" w:eastAsia="方正仿宋_GBK" w:hAnsi="方正仿宋_GBK" w:cs="方正仿宋_GBK"/>
                <w:sz w:val="22"/>
                <w:szCs w:val="22"/>
              </w:rPr>
            </w:pPr>
            <w:r>
              <w:rPr>
                <w:rFonts w:ascii="方正仿宋_GBK" w:eastAsia="方正仿宋_GBK" w:hAnsi="方正仿宋_GBK" w:cs="方正仿宋_GBK" w:hint="eastAsia"/>
                <w:kern w:val="0"/>
                <w:sz w:val="22"/>
                <w:szCs w:val="22"/>
              </w:rPr>
              <w:t>1</w:t>
            </w:r>
          </w:p>
        </w:tc>
        <w:tc>
          <w:tcPr>
            <w:tcW w:w="813" w:type="dxa"/>
            <w:gridSpan w:val="3"/>
            <w:vMerge w:val="restart"/>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万州区政府政务通信电话会议系统服务费</w:t>
            </w:r>
          </w:p>
        </w:tc>
        <w:tc>
          <w:tcPr>
            <w:tcW w:w="900"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717724">
            <w:pPr>
              <w:spacing w:line="600" w:lineRule="exact"/>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年度</w:t>
            </w:r>
            <w:r w:rsidR="00BB760D">
              <w:rPr>
                <w:rFonts w:ascii="方正仿宋_GBK" w:eastAsia="方正仿宋_GBK" w:hAnsi="方正仿宋_GBK" w:cs="方正仿宋_GBK" w:hint="eastAsia"/>
                <w:sz w:val="22"/>
                <w:szCs w:val="22"/>
              </w:rPr>
              <w:t>预算执行</w:t>
            </w:r>
            <w:r>
              <w:rPr>
                <w:rFonts w:ascii="方正仿宋_GBK" w:eastAsia="方正仿宋_GBK" w:hAnsi="方正仿宋_GBK" w:cs="方正仿宋_GBK" w:hint="eastAsia"/>
                <w:sz w:val="22"/>
                <w:szCs w:val="22"/>
              </w:rPr>
              <w:t>率</w:t>
            </w:r>
          </w:p>
        </w:tc>
        <w:tc>
          <w:tcPr>
            <w:tcW w:w="684"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color w:val="000000"/>
                <w:kern w:val="0"/>
                <w:sz w:val="22"/>
                <w:szCs w:val="22"/>
              </w:rPr>
              <w:t>＝</w:t>
            </w:r>
          </w:p>
        </w:tc>
        <w:tc>
          <w:tcPr>
            <w:tcW w:w="765" w:type="dxa"/>
            <w:tcBorders>
              <w:top w:val="single" w:sz="4" w:space="0" w:color="000000"/>
              <w:left w:val="single" w:sz="4" w:space="0" w:color="000000"/>
              <w:bottom w:val="single" w:sz="4" w:space="0" w:color="000000"/>
              <w:right w:val="single" w:sz="4" w:space="0" w:color="000000"/>
            </w:tcBorders>
            <w:noWrap/>
            <w:vAlign w:val="center"/>
          </w:tcPr>
          <w:p w:rsidR="006E4FA3" w:rsidRDefault="00717724">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100</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6E4FA3" w:rsidRDefault="00717724">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10</w:t>
            </w:r>
          </w:p>
        </w:tc>
        <w:tc>
          <w:tcPr>
            <w:tcW w:w="960"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717724">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100</w:t>
            </w:r>
          </w:p>
        </w:tc>
        <w:tc>
          <w:tcPr>
            <w:tcW w:w="705"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10</w:t>
            </w:r>
          </w:p>
        </w:tc>
        <w:tc>
          <w:tcPr>
            <w:tcW w:w="1106"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6E4FA3">
            <w:pPr>
              <w:spacing w:line="600" w:lineRule="exact"/>
              <w:rPr>
                <w:rFonts w:ascii="方正仿宋_GBK" w:eastAsia="方正仿宋_GBK" w:hAnsi="方正仿宋_GBK" w:cs="方正仿宋_GBK"/>
                <w:sz w:val="22"/>
                <w:szCs w:val="22"/>
              </w:rPr>
            </w:pPr>
          </w:p>
        </w:tc>
        <w:tc>
          <w:tcPr>
            <w:tcW w:w="662" w:type="dxa"/>
            <w:gridSpan w:val="4"/>
            <w:vMerge w:val="restart"/>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100</w:t>
            </w:r>
          </w:p>
        </w:tc>
      </w:tr>
      <w:tr w:rsidR="006E4FA3">
        <w:trPr>
          <w:gridAfter w:val="1"/>
          <w:wAfter w:w="225" w:type="dxa"/>
          <w:trHeight w:val="432"/>
        </w:trPr>
        <w:tc>
          <w:tcPr>
            <w:tcW w:w="600" w:type="dxa"/>
            <w:gridSpan w:val="2"/>
            <w:vMerge/>
            <w:tcBorders>
              <w:left w:val="single" w:sz="4" w:space="0" w:color="000000"/>
              <w:right w:val="single" w:sz="4" w:space="0" w:color="000000"/>
            </w:tcBorders>
            <w:noWrap/>
            <w:vAlign w:val="center"/>
          </w:tcPr>
          <w:p w:rsidR="006E4FA3" w:rsidRDefault="006E4FA3">
            <w:pPr>
              <w:spacing w:line="600" w:lineRule="exact"/>
              <w:jc w:val="center"/>
              <w:textAlignment w:val="center"/>
              <w:rPr>
                <w:rFonts w:ascii="方正仿宋_GBK" w:eastAsia="方正仿宋_GBK" w:hAnsi="方正仿宋_GBK" w:cs="方正仿宋_GBK"/>
                <w:sz w:val="22"/>
                <w:szCs w:val="22"/>
              </w:rPr>
            </w:pPr>
          </w:p>
        </w:tc>
        <w:tc>
          <w:tcPr>
            <w:tcW w:w="813" w:type="dxa"/>
            <w:gridSpan w:val="3"/>
            <w:vMerge/>
            <w:tcBorders>
              <w:top w:val="single" w:sz="4" w:space="0" w:color="000000"/>
              <w:left w:val="single" w:sz="4" w:space="0" w:color="000000"/>
              <w:bottom w:val="single" w:sz="4" w:space="0" w:color="000000"/>
              <w:right w:val="single" w:sz="4" w:space="0" w:color="000000"/>
            </w:tcBorders>
            <w:noWrap/>
            <w:vAlign w:val="center"/>
          </w:tcPr>
          <w:p w:rsidR="006E4FA3" w:rsidRDefault="006E4FA3">
            <w:pPr>
              <w:spacing w:line="600" w:lineRule="exact"/>
              <w:jc w:val="center"/>
              <w:rPr>
                <w:rFonts w:ascii="方正仿宋_GBK" w:eastAsia="方正仿宋_GBK" w:hAnsi="方正仿宋_GBK" w:cs="方正仿宋_GBK"/>
                <w:sz w:val="22"/>
                <w:szCs w:val="22"/>
              </w:rPr>
            </w:pPr>
          </w:p>
        </w:tc>
        <w:tc>
          <w:tcPr>
            <w:tcW w:w="900"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年稳定运行天数</w:t>
            </w:r>
          </w:p>
        </w:tc>
        <w:tc>
          <w:tcPr>
            <w:tcW w:w="684"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p>
        </w:tc>
        <w:tc>
          <w:tcPr>
            <w:tcW w:w="76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365</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天</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30</w:t>
            </w:r>
          </w:p>
        </w:tc>
        <w:tc>
          <w:tcPr>
            <w:tcW w:w="960"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365</w:t>
            </w:r>
          </w:p>
        </w:tc>
        <w:tc>
          <w:tcPr>
            <w:tcW w:w="705"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30</w:t>
            </w:r>
          </w:p>
        </w:tc>
        <w:tc>
          <w:tcPr>
            <w:tcW w:w="1106"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6E4FA3">
            <w:pPr>
              <w:spacing w:line="600" w:lineRule="exact"/>
              <w:rPr>
                <w:rFonts w:ascii="方正仿宋_GBK" w:eastAsia="方正仿宋_GBK" w:hAnsi="方正仿宋_GBK" w:cs="方正仿宋_GBK"/>
                <w:sz w:val="22"/>
                <w:szCs w:val="22"/>
              </w:rPr>
            </w:pPr>
          </w:p>
        </w:tc>
        <w:tc>
          <w:tcPr>
            <w:tcW w:w="662" w:type="dxa"/>
            <w:gridSpan w:val="4"/>
            <w:vMerge/>
            <w:tcBorders>
              <w:top w:val="single" w:sz="4" w:space="0" w:color="000000"/>
              <w:left w:val="single" w:sz="4" w:space="0" w:color="000000"/>
              <w:bottom w:val="single" w:sz="4" w:space="0" w:color="000000"/>
              <w:right w:val="single" w:sz="4" w:space="0" w:color="000000"/>
            </w:tcBorders>
            <w:noWrap/>
            <w:vAlign w:val="center"/>
          </w:tcPr>
          <w:p w:rsidR="006E4FA3" w:rsidRDefault="006E4FA3">
            <w:pPr>
              <w:spacing w:line="600" w:lineRule="exact"/>
              <w:jc w:val="center"/>
              <w:rPr>
                <w:rFonts w:ascii="方正仿宋_GBK" w:eastAsia="方正仿宋_GBK" w:hAnsi="方正仿宋_GBK" w:cs="方正仿宋_GBK"/>
                <w:sz w:val="22"/>
                <w:szCs w:val="22"/>
              </w:rPr>
            </w:pPr>
          </w:p>
        </w:tc>
      </w:tr>
      <w:tr w:rsidR="006E4FA3">
        <w:trPr>
          <w:gridAfter w:val="1"/>
          <w:wAfter w:w="225" w:type="dxa"/>
          <w:trHeight w:val="432"/>
        </w:trPr>
        <w:tc>
          <w:tcPr>
            <w:tcW w:w="600" w:type="dxa"/>
            <w:gridSpan w:val="2"/>
            <w:vMerge/>
            <w:tcBorders>
              <w:left w:val="single" w:sz="4" w:space="0" w:color="000000"/>
              <w:right w:val="single" w:sz="4" w:space="0" w:color="000000"/>
            </w:tcBorders>
            <w:noWrap/>
            <w:vAlign w:val="center"/>
          </w:tcPr>
          <w:p w:rsidR="006E4FA3" w:rsidRDefault="006E4FA3">
            <w:pPr>
              <w:spacing w:line="600" w:lineRule="exact"/>
              <w:jc w:val="center"/>
              <w:textAlignment w:val="center"/>
              <w:rPr>
                <w:rFonts w:ascii="方正仿宋_GBK" w:eastAsia="方正仿宋_GBK" w:hAnsi="方正仿宋_GBK" w:cs="方正仿宋_GBK"/>
                <w:sz w:val="22"/>
                <w:szCs w:val="22"/>
              </w:rPr>
            </w:pPr>
          </w:p>
        </w:tc>
        <w:tc>
          <w:tcPr>
            <w:tcW w:w="813" w:type="dxa"/>
            <w:gridSpan w:val="3"/>
            <w:vMerge/>
            <w:tcBorders>
              <w:top w:val="single" w:sz="4" w:space="0" w:color="000000"/>
              <w:left w:val="single" w:sz="4" w:space="0" w:color="000000"/>
              <w:bottom w:val="single" w:sz="4" w:space="0" w:color="000000"/>
              <w:right w:val="single" w:sz="4" w:space="0" w:color="000000"/>
            </w:tcBorders>
            <w:noWrap/>
            <w:vAlign w:val="center"/>
          </w:tcPr>
          <w:p w:rsidR="006E4FA3" w:rsidRDefault="006E4FA3">
            <w:pPr>
              <w:spacing w:line="600" w:lineRule="exact"/>
              <w:jc w:val="center"/>
              <w:rPr>
                <w:rFonts w:ascii="方正仿宋_GBK" w:eastAsia="方正仿宋_GBK" w:hAnsi="方正仿宋_GBK" w:cs="方正仿宋_GBK"/>
                <w:sz w:val="22"/>
                <w:szCs w:val="22"/>
              </w:rPr>
            </w:pPr>
          </w:p>
        </w:tc>
        <w:tc>
          <w:tcPr>
            <w:tcW w:w="900"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系统故障修复处理时间</w:t>
            </w:r>
          </w:p>
        </w:tc>
        <w:tc>
          <w:tcPr>
            <w:tcW w:w="684"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p>
        </w:tc>
        <w:tc>
          <w:tcPr>
            <w:tcW w:w="76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24</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小时</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30</w:t>
            </w:r>
          </w:p>
        </w:tc>
        <w:tc>
          <w:tcPr>
            <w:tcW w:w="960"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20</w:t>
            </w:r>
          </w:p>
        </w:tc>
        <w:tc>
          <w:tcPr>
            <w:tcW w:w="705"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30</w:t>
            </w:r>
          </w:p>
        </w:tc>
        <w:tc>
          <w:tcPr>
            <w:tcW w:w="1106"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6E4FA3">
            <w:pPr>
              <w:spacing w:line="600" w:lineRule="exact"/>
              <w:rPr>
                <w:rFonts w:ascii="方正仿宋_GBK" w:eastAsia="方正仿宋_GBK" w:hAnsi="方正仿宋_GBK" w:cs="方正仿宋_GBK"/>
                <w:sz w:val="22"/>
                <w:szCs w:val="22"/>
              </w:rPr>
            </w:pPr>
          </w:p>
        </w:tc>
        <w:tc>
          <w:tcPr>
            <w:tcW w:w="662" w:type="dxa"/>
            <w:gridSpan w:val="4"/>
            <w:vMerge/>
            <w:tcBorders>
              <w:top w:val="single" w:sz="4" w:space="0" w:color="000000"/>
              <w:left w:val="single" w:sz="4" w:space="0" w:color="000000"/>
              <w:bottom w:val="single" w:sz="4" w:space="0" w:color="000000"/>
              <w:right w:val="single" w:sz="4" w:space="0" w:color="000000"/>
            </w:tcBorders>
            <w:noWrap/>
            <w:vAlign w:val="center"/>
          </w:tcPr>
          <w:p w:rsidR="006E4FA3" w:rsidRDefault="006E4FA3">
            <w:pPr>
              <w:spacing w:line="600" w:lineRule="exact"/>
              <w:jc w:val="center"/>
              <w:rPr>
                <w:rFonts w:ascii="方正仿宋_GBK" w:eastAsia="方正仿宋_GBK" w:hAnsi="方正仿宋_GBK" w:cs="方正仿宋_GBK"/>
                <w:sz w:val="22"/>
                <w:szCs w:val="22"/>
              </w:rPr>
            </w:pPr>
          </w:p>
        </w:tc>
      </w:tr>
      <w:tr w:rsidR="006E4FA3">
        <w:trPr>
          <w:gridAfter w:val="1"/>
          <w:wAfter w:w="225" w:type="dxa"/>
          <w:trHeight w:val="432"/>
        </w:trPr>
        <w:tc>
          <w:tcPr>
            <w:tcW w:w="600" w:type="dxa"/>
            <w:gridSpan w:val="2"/>
            <w:vMerge/>
            <w:tcBorders>
              <w:left w:val="single" w:sz="4" w:space="0" w:color="000000"/>
              <w:right w:val="single" w:sz="4" w:space="0" w:color="000000"/>
            </w:tcBorders>
            <w:noWrap/>
            <w:vAlign w:val="center"/>
          </w:tcPr>
          <w:p w:rsidR="006E4FA3" w:rsidRDefault="006E4FA3">
            <w:pPr>
              <w:spacing w:line="600" w:lineRule="exact"/>
              <w:jc w:val="center"/>
              <w:textAlignment w:val="center"/>
              <w:rPr>
                <w:rFonts w:ascii="方正仿宋_GBK" w:eastAsia="方正仿宋_GBK" w:hAnsi="方正仿宋_GBK" w:cs="方正仿宋_GBK"/>
                <w:sz w:val="22"/>
                <w:szCs w:val="22"/>
              </w:rPr>
            </w:pPr>
          </w:p>
        </w:tc>
        <w:tc>
          <w:tcPr>
            <w:tcW w:w="813" w:type="dxa"/>
            <w:gridSpan w:val="3"/>
            <w:vMerge/>
            <w:tcBorders>
              <w:top w:val="single" w:sz="4" w:space="0" w:color="000000"/>
              <w:left w:val="single" w:sz="4" w:space="0" w:color="000000"/>
              <w:bottom w:val="single" w:sz="4" w:space="0" w:color="000000"/>
              <w:right w:val="single" w:sz="4" w:space="0" w:color="000000"/>
            </w:tcBorders>
            <w:noWrap/>
            <w:vAlign w:val="center"/>
          </w:tcPr>
          <w:p w:rsidR="006E4FA3" w:rsidRDefault="006E4FA3">
            <w:pPr>
              <w:spacing w:line="600" w:lineRule="exact"/>
              <w:jc w:val="center"/>
              <w:rPr>
                <w:rFonts w:ascii="方正仿宋_GBK" w:eastAsia="方正仿宋_GBK" w:hAnsi="方正仿宋_GBK" w:cs="方正仿宋_GBK"/>
                <w:sz w:val="22"/>
                <w:szCs w:val="22"/>
              </w:rPr>
            </w:pPr>
          </w:p>
        </w:tc>
        <w:tc>
          <w:tcPr>
            <w:tcW w:w="900"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提升工</w:t>
            </w:r>
            <w:r>
              <w:rPr>
                <w:rFonts w:ascii="方正仿宋_GBK" w:eastAsia="方正仿宋_GBK" w:hAnsi="方正仿宋_GBK" w:cs="方正仿宋_GBK" w:hint="eastAsia"/>
                <w:sz w:val="22"/>
                <w:szCs w:val="22"/>
              </w:rPr>
              <w:lastRenderedPageBreak/>
              <w:t>作效率</w:t>
            </w:r>
          </w:p>
        </w:tc>
        <w:tc>
          <w:tcPr>
            <w:tcW w:w="684"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lastRenderedPageBreak/>
              <w:t>≥</w:t>
            </w:r>
          </w:p>
        </w:tc>
        <w:tc>
          <w:tcPr>
            <w:tcW w:w="76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20</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20</w:t>
            </w:r>
          </w:p>
        </w:tc>
        <w:tc>
          <w:tcPr>
            <w:tcW w:w="960"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25</w:t>
            </w:r>
          </w:p>
        </w:tc>
        <w:tc>
          <w:tcPr>
            <w:tcW w:w="705"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20</w:t>
            </w:r>
          </w:p>
        </w:tc>
        <w:tc>
          <w:tcPr>
            <w:tcW w:w="1106"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6E4FA3">
            <w:pPr>
              <w:spacing w:line="600" w:lineRule="exact"/>
              <w:rPr>
                <w:rFonts w:ascii="方正仿宋_GBK" w:eastAsia="方正仿宋_GBK" w:hAnsi="方正仿宋_GBK" w:cs="方正仿宋_GBK"/>
                <w:sz w:val="22"/>
                <w:szCs w:val="22"/>
              </w:rPr>
            </w:pPr>
          </w:p>
        </w:tc>
        <w:tc>
          <w:tcPr>
            <w:tcW w:w="662" w:type="dxa"/>
            <w:gridSpan w:val="4"/>
            <w:vMerge/>
            <w:tcBorders>
              <w:top w:val="single" w:sz="4" w:space="0" w:color="000000"/>
              <w:left w:val="single" w:sz="4" w:space="0" w:color="000000"/>
              <w:bottom w:val="single" w:sz="4" w:space="0" w:color="000000"/>
              <w:right w:val="single" w:sz="4" w:space="0" w:color="000000"/>
            </w:tcBorders>
            <w:noWrap/>
            <w:vAlign w:val="center"/>
          </w:tcPr>
          <w:p w:rsidR="006E4FA3" w:rsidRDefault="006E4FA3">
            <w:pPr>
              <w:spacing w:line="600" w:lineRule="exact"/>
              <w:jc w:val="center"/>
              <w:rPr>
                <w:rFonts w:ascii="方正仿宋_GBK" w:eastAsia="方正仿宋_GBK" w:hAnsi="方正仿宋_GBK" w:cs="方正仿宋_GBK"/>
                <w:sz w:val="22"/>
                <w:szCs w:val="22"/>
              </w:rPr>
            </w:pPr>
          </w:p>
        </w:tc>
      </w:tr>
      <w:tr w:rsidR="006E4FA3">
        <w:trPr>
          <w:gridAfter w:val="1"/>
          <w:wAfter w:w="225" w:type="dxa"/>
          <w:trHeight w:val="432"/>
        </w:trPr>
        <w:tc>
          <w:tcPr>
            <w:tcW w:w="600" w:type="dxa"/>
            <w:gridSpan w:val="2"/>
            <w:vMerge/>
            <w:tcBorders>
              <w:left w:val="single" w:sz="4" w:space="0" w:color="000000"/>
              <w:right w:val="single" w:sz="4" w:space="0" w:color="000000"/>
            </w:tcBorders>
            <w:noWrap/>
            <w:vAlign w:val="center"/>
          </w:tcPr>
          <w:p w:rsidR="006E4FA3" w:rsidRDefault="006E4FA3">
            <w:pPr>
              <w:spacing w:line="600" w:lineRule="exact"/>
              <w:jc w:val="center"/>
              <w:textAlignment w:val="center"/>
              <w:rPr>
                <w:rFonts w:ascii="方正仿宋_GBK" w:eastAsia="方正仿宋_GBK" w:hAnsi="方正仿宋_GBK" w:cs="方正仿宋_GBK"/>
                <w:sz w:val="22"/>
                <w:szCs w:val="22"/>
              </w:rPr>
            </w:pPr>
          </w:p>
        </w:tc>
        <w:tc>
          <w:tcPr>
            <w:tcW w:w="813" w:type="dxa"/>
            <w:gridSpan w:val="3"/>
            <w:vMerge/>
            <w:tcBorders>
              <w:top w:val="single" w:sz="4" w:space="0" w:color="000000"/>
              <w:left w:val="single" w:sz="4" w:space="0" w:color="000000"/>
              <w:bottom w:val="single" w:sz="4" w:space="0" w:color="000000"/>
              <w:right w:val="single" w:sz="4" w:space="0" w:color="000000"/>
            </w:tcBorders>
            <w:noWrap/>
            <w:vAlign w:val="center"/>
          </w:tcPr>
          <w:p w:rsidR="006E4FA3" w:rsidRDefault="006E4FA3">
            <w:pPr>
              <w:spacing w:line="600" w:lineRule="exact"/>
              <w:jc w:val="center"/>
              <w:rPr>
                <w:rFonts w:ascii="方正仿宋_GBK" w:eastAsia="方正仿宋_GBK" w:hAnsi="方正仿宋_GBK" w:cs="方正仿宋_GBK"/>
                <w:sz w:val="22"/>
                <w:szCs w:val="22"/>
              </w:rPr>
            </w:pPr>
          </w:p>
        </w:tc>
        <w:tc>
          <w:tcPr>
            <w:tcW w:w="900"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使用者满意度</w:t>
            </w:r>
          </w:p>
        </w:tc>
        <w:tc>
          <w:tcPr>
            <w:tcW w:w="684"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p>
        </w:tc>
        <w:tc>
          <w:tcPr>
            <w:tcW w:w="76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95</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10</w:t>
            </w:r>
          </w:p>
        </w:tc>
        <w:tc>
          <w:tcPr>
            <w:tcW w:w="960"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95</w:t>
            </w:r>
          </w:p>
        </w:tc>
        <w:tc>
          <w:tcPr>
            <w:tcW w:w="705"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10</w:t>
            </w:r>
          </w:p>
        </w:tc>
        <w:tc>
          <w:tcPr>
            <w:tcW w:w="1106"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6E4FA3">
            <w:pPr>
              <w:spacing w:line="600" w:lineRule="exact"/>
              <w:rPr>
                <w:rFonts w:ascii="方正仿宋_GBK" w:eastAsia="方正仿宋_GBK" w:hAnsi="方正仿宋_GBK" w:cs="方正仿宋_GBK"/>
                <w:sz w:val="22"/>
                <w:szCs w:val="22"/>
              </w:rPr>
            </w:pPr>
          </w:p>
        </w:tc>
        <w:tc>
          <w:tcPr>
            <w:tcW w:w="662" w:type="dxa"/>
            <w:gridSpan w:val="4"/>
            <w:vMerge/>
            <w:tcBorders>
              <w:top w:val="single" w:sz="4" w:space="0" w:color="000000"/>
              <w:left w:val="single" w:sz="4" w:space="0" w:color="000000"/>
              <w:bottom w:val="single" w:sz="4" w:space="0" w:color="000000"/>
              <w:right w:val="single" w:sz="4" w:space="0" w:color="000000"/>
            </w:tcBorders>
            <w:noWrap/>
            <w:vAlign w:val="center"/>
          </w:tcPr>
          <w:p w:rsidR="006E4FA3" w:rsidRDefault="006E4FA3">
            <w:pPr>
              <w:spacing w:line="600" w:lineRule="exact"/>
              <w:jc w:val="center"/>
              <w:rPr>
                <w:rFonts w:ascii="方正仿宋_GBK" w:eastAsia="方正仿宋_GBK" w:hAnsi="方正仿宋_GBK" w:cs="方正仿宋_GBK"/>
                <w:sz w:val="22"/>
                <w:szCs w:val="22"/>
              </w:rPr>
            </w:pPr>
          </w:p>
        </w:tc>
      </w:tr>
      <w:tr w:rsidR="006E4FA3">
        <w:trPr>
          <w:gridAfter w:val="1"/>
          <w:wAfter w:w="225" w:type="dxa"/>
          <w:trHeight w:val="432"/>
        </w:trPr>
        <w:tc>
          <w:tcPr>
            <w:tcW w:w="600" w:type="dxa"/>
            <w:gridSpan w:val="2"/>
            <w:vMerge w:val="restart"/>
            <w:tcBorders>
              <w:top w:val="single" w:sz="4" w:space="0" w:color="000000"/>
              <w:left w:val="single" w:sz="4" w:space="0" w:color="000000"/>
              <w:right w:val="single" w:sz="4" w:space="0" w:color="000000"/>
            </w:tcBorders>
            <w:noWrap/>
            <w:vAlign w:val="center"/>
          </w:tcPr>
          <w:p w:rsidR="006E4FA3" w:rsidRDefault="00BB760D">
            <w:pPr>
              <w:spacing w:line="600" w:lineRule="exact"/>
              <w:jc w:val="center"/>
              <w:textAlignment w:val="center"/>
              <w:rPr>
                <w:rFonts w:ascii="方正仿宋_GBK" w:eastAsia="方正仿宋_GBK" w:hAnsi="方正仿宋_GBK" w:cs="方正仿宋_GBK"/>
                <w:sz w:val="22"/>
                <w:szCs w:val="22"/>
              </w:rPr>
            </w:pPr>
            <w:r>
              <w:rPr>
                <w:rFonts w:ascii="方正仿宋_GBK" w:eastAsia="方正仿宋_GBK" w:hAnsi="方正仿宋_GBK" w:cs="方正仿宋_GBK" w:hint="eastAsia"/>
                <w:kern w:val="0"/>
                <w:sz w:val="22"/>
                <w:szCs w:val="22"/>
              </w:rPr>
              <w:t>2</w:t>
            </w:r>
          </w:p>
        </w:tc>
        <w:tc>
          <w:tcPr>
            <w:tcW w:w="813" w:type="dxa"/>
            <w:gridSpan w:val="3"/>
            <w:vMerge w:val="restart"/>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全区政务信息化项目管理专项工作经费</w:t>
            </w:r>
          </w:p>
        </w:tc>
        <w:tc>
          <w:tcPr>
            <w:tcW w:w="900"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717724" w:rsidP="00717724">
            <w:pPr>
              <w:spacing w:line="600" w:lineRule="exact"/>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年度</w:t>
            </w:r>
            <w:r w:rsidR="00BB760D">
              <w:rPr>
                <w:rFonts w:ascii="方正仿宋_GBK" w:eastAsia="方正仿宋_GBK" w:hAnsi="方正仿宋_GBK" w:cs="方正仿宋_GBK" w:hint="eastAsia"/>
                <w:sz w:val="22"/>
                <w:szCs w:val="22"/>
              </w:rPr>
              <w:t>预算执行</w:t>
            </w:r>
            <w:r>
              <w:rPr>
                <w:rFonts w:ascii="方正仿宋_GBK" w:eastAsia="方正仿宋_GBK" w:hAnsi="方正仿宋_GBK" w:cs="方正仿宋_GBK" w:hint="eastAsia"/>
                <w:sz w:val="22"/>
                <w:szCs w:val="22"/>
              </w:rPr>
              <w:t>率</w:t>
            </w:r>
          </w:p>
        </w:tc>
        <w:tc>
          <w:tcPr>
            <w:tcW w:w="684"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color w:val="000000"/>
                <w:kern w:val="0"/>
                <w:sz w:val="22"/>
                <w:szCs w:val="22"/>
              </w:rPr>
              <w:t>＝</w:t>
            </w:r>
          </w:p>
        </w:tc>
        <w:tc>
          <w:tcPr>
            <w:tcW w:w="76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10</w:t>
            </w:r>
            <w:r w:rsidR="00717724">
              <w:rPr>
                <w:rFonts w:ascii="方正仿宋_GBK" w:eastAsia="方正仿宋_GBK" w:hAnsi="方正仿宋_GBK" w:cs="方正仿宋_GBK" w:hint="eastAsia"/>
                <w:sz w:val="22"/>
                <w:szCs w:val="22"/>
              </w:rPr>
              <w:t>0</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6E4FA3" w:rsidRDefault="00717724">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10</w:t>
            </w:r>
          </w:p>
        </w:tc>
        <w:tc>
          <w:tcPr>
            <w:tcW w:w="960"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10</w:t>
            </w:r>
            <w:r w:rsidR="00717724">
              <w:rPr>
                <w:rFonts w:ascii="方正仿宋_GBK" w:eastAsia="方正仿宋_GBK" w:hAnsi="方正仿宋_GBK" w:cs="方正仿宋_GBK" w:hint="eastAsia"/>
                <w:sz w:val="22"/>
                <w:szCs w:val="22"/>
              </w:rPr>
              <w:t>0</w:t>
            </w:r>
          </w:p>
        </w:tc>
        <w:tc>
          <w:tcPr>
            <w:tcW w:w="705"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10</w:t>
            </w:r>
          </w:p>
        </w:tc>
        <w:tc>
          <w:tcPr>
            <w:tcW w:w="1106"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6E4FA3">
            <w:pPr>
              <w:spacing w:line="600" w:lineRule="exact"/>
              <w:rPr>
                <w:rFonts w:ascii="方正仿宋_GBK" w:eastAsia="方正仿宋_GBK" w:hAnsi="方正仿宋_GBK" w:cs="方正仿宋_GBK"/>
                <w:sz w:val="22"/>
                <w:szCs w:val="22"/>
              </w:rPr>
            </w:pPr>
          </w:p>
        </w:tc>
        <w:tc>
          <w:tcPr>
            <w:tcW w:w="662" w:type="dxa"/>
            <w:gridSpan w:val="4"/>
            <w:vMerge w:val="restart"/>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100</w:t>
            </w:r>
          </w:p>
        </w:tc>
      </w:tr>
      <w:tr w:rsidR="006E4FA3">
        <w:trPr>
          <w:gridAfter w:val="1"/>
          <w:wAfter w:w="225" w:type="dxa"/>
          <w:trHeight w:val="432"/>
        </w:trPr>
        <w:tc>
          <w:tcPr>
            <w:tcW w:w="600" w:type="dxa"/>
            <w:gridSpan w:val="2"/>
            <w:vMerge/>
            <w:tcBorders>
              <w:left w:val="single" w:sz="4" w:space="0" w:color="000000"/>
              <w:right w:val="single" w:sz="4" w:space="0" w:color="000000"/>
            </w:tcBorders>
            <w:noWrap/>
            <w:vAlign w:val="center"/>
          </w:tcPr>
          <w:p w:rsidR="006E4FA3" w:rsidRDefault="006E4FA3">
            <w:pPr>
              <w:spacing w:line="600" w:lineRule="exact"/>
              <w:jc w:val="center"/>
              <w:textAlignment w:val="center"/>
              <w:rPr>
                <w:rFonts w:ascii="方正仿宋_GBK" w:eastAsia="方正仿宋_GBK" w:hAnsi="方正仿宋_GBK" w:cs="方正仿宋_GBK"/>
                <w:sz w:val="22"/>
                <w:szCs w:val="22"/>
              </w:rPr>
            </w:pPr>
          </w:p>
        </w:tc>
        <w:tc>
          <w:tcPr>
            <w:tcW w:w="813" w:type="dxa"/>
            <w:gridSpan w:val="3"/>
            <w:vMerge/>
            <w:tcBorders>
              <w:top w:val="single" w:sz="4" w:space="0" w:color="000000"/>
              <w:left w:val="single" w:sz="4" w:space="0" w:color="000000"/>
              <w:bottom w:val="single" w:sz="4" w:space="0" w:color="000000"/>
              <w:right w:val="single" w:sz="4" w:space="0" w:color="000000"/>
            </w:tcBorders>
            <w:noWrap/>
            <w:vAlign w:val="center"/>
          </w:tcPr>
          <w:p w:rsidR="006E4FA3" w:rsidRDefault="006E4FA3">
            <w:pPr>
              <w:spacing w:line="600" w:lineRule="exact"/>
              <w:jc w:val="center"/>
              <w:rPr>
                <w:rFonts w:ascii="方正仿宋_GBK" w:eastAsia="方正仿宋_GBK" w:hAnsi="方正仿宋_GBK" w:cs="方正仿宋_GBK"/>
                <w:sz w:val="22"/>
                <w:szCs w:val="22"/>
              </w:rPr>
            </w:pPr>
          </w:p>
        </w:tc>
        <w:tc>
          <w:tcPr>
            <w:tcW w:w="900"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审批件数</w:t>
            </w:r>
          </w:p>
        </w:tc>
        <w:tc>
          <w:tcPr>
            <w:tcW w:w="684"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p>
        </w:tc>
        <w:tc>
          <w:tcPr>
            <w:tcW w:w="76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3</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件</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15</w:t>
            </w:r>
          </w:p>
        </w:tc>
        <w:tc>
          <w:tcPr>
            <w:tcW w:w="960"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41</w:t>
            </w:r>
          </w:p>
        </w:tc>
        <w:tc>
          <w:tcPr>
            <w:tcW w:w="705"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15</w:t>
            </w:r>
          </w:p>
        </w:tc>
        <w:tc>
          <w:tcPr>
            <w:tcW w:w="1106"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全区信息化项目评审政策调整，实现全区信息项目全覆盖。</w:t>
            </w:r>
          </w:p>
        </w:tc>
        <w:tc>
          <w:tcPr>
            <w:tcW w:w="662" w:type="dxa"/>
            <w:gridSpan w:val="4"/>
            <w:vMerge/>
            <w:tcBorders>
              <w:top w:val="single" w:sz="4" w:space="0" w:color="000000"/>
              <w:left w:val="single" w:sz="4" w:space="0" w:color="000000"/>
              <w:bottom w:val="single" w:sz="4" w:space="0" w:color="000000"/>
              <w:right w:val="single" w:sz="4" w:space="0" w:color="000000"/>
            </w:tcBorders>
            <w:noWrap/>
            <w:vAlign w:val="center"/>
          </w:tcPr>
          <w:p w:rsidR="006E4FA3" w:rsidRDefault="006E4FA3">
            <w:pPr>
              <w:spacing w:line="600" w:lineRule="exact"/>
              <w:jc w:val="center"/>
              <w:rPr>
                <w:rFonts w:ascii="方正仿宋_GBK" w:eastAsia="方正仿宋_GBK" w:hAnsi="方正仿宋_GBK" w:cs="方正仿宋_GBK"/>
                <w:sz w:val="22"/>
                <w:szCs w:val="22"/>
              </w:rPr>
            </w:pPr>
          </w:p>
        </w:tc>
      </w:tr>
      <w:tr w:rsidR="006E4FA3">
        <w:trPr>
          <w:gridAfter w:val="1"/>
          <w:wAfter w:w="225" w:type="dxa"/>
          <w:trHeight w:val="432"/>
        </w:trPr>
        <w:tc>
          <w:tcPr>
            <w:tcW w:w="600" w:type="dxa"/>
            <w:gridSpan w:val="2"/>
            <w:vMerge/>
            <w:tcBorders>
              <w:left w:val="single" w:sz="4" w:space="0" w:color="000000"/>
              <w:right w:val="single" w:sz="4" w:space="0" w:color="000000"/>
            </w:tcBorders>
            <w:noWrap/>
            <w:vAlign w:val="center"/>
          </w:tcPr>
          <w:p w:rsidR="006E4FA3" w:rsidRDefault="006E4FA3">
            <w:pPr>
              <w:spacing w:line="600" w:lineRule="exact"/>
              <w:jc w:val="center"/>
              <w:textAlignment w:val="center"/>
              <w:rPr>
                <w:rFonts w:ascii="方正仿宋_GBK" w:eastAsia="方正仿宋_GBK" w:hAnsi="方正仿宋_GBK" w:cs="方正仿宋_GBK"/>
                <w:sz w:val="22"/>
                <w:szCs w:val="22"/>
              </w:rPr>
            </w:pPr>
          </w:p>
        </w:tc>
        <w:tc>
          <w:tcPr>
            <w:tcW w:w="813" w:type="dxa"/>
            <w:gridSpan w:val="3"/>
            <w:vMerge/>
            <w:tcBorders>
              <w:top w:val="single" w:sz="4" w:space="0" w:color="000000"/>
              <w:left w:val="single" w:sz="4" w:space="0" w:color="000000"/>
              <w:bottom w:val="single" w:sz="4" w:space="0" w:color="000000"/>
              <w:right w:val="single" w:sz="4" w:space="0" w:color="000000"/>
            </w:tcBorders>
            <w:noWrap/>
            <w:vAlign w:val="center"/>
          </w:tcPr>
          <w:p w:rsidR="006E4FA3" w:rsidRDefault="006E4FA3">
            <w:pPr>
              <w:spacing w:line="600" w:lineRule="exact"/>
              <w:jc w:val="center"/>
              <w:rPr>
                <w:rFonts w:ascii="方正仿宋_GBK" w:eastAsia="方正仿宋_GBK" w:hAnsi="方正仿宋_GBK" w:cs="方正仿宋_GBK"/>
                <w:sz w:val="22"/>
                <w:szCs w:val="22"/>
              </w:rPr>
            </w:pPr>
          </w:p>
        </w:tc>
        <w:tc>
          <w:tcPr>
            <w:tcW w:w="900"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审批周期</w:t>
            </w:r>
          </w:p>
        </w:tc>
        <w:tc>
          <w:tcPr>
            <w:tcW w:w="684"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p>
        </w:tc>
        <w:tc>
          <w:tcPr>
            <w:tcW w:w="76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14</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天</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15</w:t>
            </w:r>
          </w:p>
        </w:tc>
        <w:tc>
          <w:tcPr>
            <w:tcW w:w="960"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12</w:t>
            </w:r>
          </w:p>
        </w:tc>
        <w:tc>
          <w:tcPr>
            <w:tcW w:w="705"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15</w:t>
            </w:r>
          </w:p>
        </w:tc>
        <w:tc>
          <w:tcPr>
            <w:tcW w:w="1106"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6E4FA3">
            <w:pPr>
              <w:spacing w:line="600" w:lineRule="exact"/>
              <w:rPr>
                <w:rFonts w:ascii="方正仿宋_GBK" w:eastAsia="方正仿宋_GBK" w:hAnsi="方正仿宋_GBK" w:cs="方正仿宋_GBK"/>
                <w:sz w:val="22"/>
                <w:szCs w:val="22"/>
              </w:rPr>
            </w:pPr>
          </w:p>
        </w:tc>
        <w:tc>
          <w:tcPr>
            <w:tcW w:w="662" w:type="dxa"/>
            <w:gridSpan w:val="4"/>
            <w:vMerge/>
            <w:tcBorders>
              <w:top w:val="single" w:sz="4" w:space="0" w:color="000000"/>
              <w:left w:val="single" w:sz="4" w:space="0" w:color="000000"/>
              <w:bottom w:val="single" w:sz="4" w:space="0" w:color="000000"/>
              <w:right w:val="single" w:sz="4" w:space="0" w:color="000000"/>
            </w:tcBorders>
            <w:noWrap/>
            <w:vAlign w:val="center"/>
          </w:tcPr>
          <w:p w:rsidR="006E4FA3" w:rsidRDefault="006E4FA3">
            <w:pPr>
              <w:spacing w:line="600" w:lineRule="exact"/>
              <w:jc w:val="center"/>
              <w:rPr>
                <w:rFonts w:ascii="方正仿宋_GBK" w:eastAsia="方正仿宋_GBK" w:hAnsi="方正仿宋_GBK" w:cs="方正仿宋_GBK"/>
                <w:sz w:val="22"/>
                <w:szCs w:val="22"/>
              </w:rPr>
            </w:pPr>
          </w:p>
        </w:tc>
      </w:tr>
      <w:tr w:rsidR="006E4FA3">
        <w:trPr>
          <w:gridAfter w:val="1"/>
          <w:wAfter w:w="225" w:type="dxa"/>
          <w:trHeight w:val="432"/>
        </w:trPr>
        <w:tc>
          <w:tcPr>
            <w:tcW w:w="600" w:type="dxa"/>
            <w:gridSpan w:val="2"/>
            <w:vMerge/>
            <w:tcBorders>
              <w:left w:val="single" w:sz="4" w:space="0" w:color="000000"/>
              <w:right w:val="single" w:sz="4" w:space="0" w:color="000000"/>
            </w:tcBorders>
            <w:noWrap/>
            <w:vAlign w:val="center"/>
          </w:tcPr>
          <w:p w:rsidR="006E4FA3" w:rsidRDefault="006E4FA3">
            <w:pPr>
              <w:spacing w:line="600" w:lineRule="exact"/>
              <w:jc w:val="center"/>
              <w:textAlignment w:val="center"/>
              <w:rPr>
                <w:rFonts w:ascii="方正仿宋_GBK" w:eastAsia="方正仿宋_GBK" w:hAnsi="方正仿宋_GBK" w:cs="方正仿宋_GBK"/>
                <w:sz w:val="22"/>
                <w:szCs w:val="22"/>
              </w:rPr>
            </w:pPr>
          </w:p>
        </w:tc>
        <w:tc>
          <w:tcPr>
            <w:tcW w:w="813" w:type="dxa"/>
            <w:gridSpan w:val="3"/>
            <w:vMerge/>
            <w:tcBorders>
              <w:top w:val="single" w:sz="4" w:space="0" w:color="000000"/>
              <w:left w:val="single" w:sz="4" w:space="0" w:color="000000"/>
              <w:bottom w:val="single" w:sz="4" w:space="0" w:color="000000"/>
              <w:right w:val="single" w:sz="4" w:space="0" w:color="000000"/>
            </w:tcBorders>
            <w:noWrap/>
            <w:vAlign w:val="center"/>
          </w:tcPr>
          <w:p w:rsidR="006E4FA3" w:rsidRDefault="006E4FA3">
            <w:pPr>
              <w:spacing w:line="600" w:lineRule="exact"/>
              <w:jc w:val="center"/>
              <w:rPr>
                <w:rFonts w:ascii="方正仿宋_GBK" w:eastAsia="方正仿宋_GBK" w:hAnsi="方正仿宋_GBK" w:cs="方正仿宋_GBK"/>
                <w:sz w:val="22"/>
                <w:szCs w:val="22"/>
              </w:rPr>
            </w:pPr>
          </w:p>
        </w:tc>
        <w:tc>
          <w:tcPr>
            <w:tcW w:w="900"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及时办结率</w:t>
            </w:r>
          </w:p>
        </w:tc>
        <w:tc>
          <w:tcPr>
            <w:tcW w:w="684"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p>
        </w:tc>
        <w:tc>
          <w:tcPr>
            <w:tcW w:w="76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95</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30</w:t>
            </w:r>
          </w:p>
        </w:tc>
        <w:tc>
          <w:tcPr>
            <w:tcW w:w="960"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100</w:t>
            </w:r>
          </w:p>
        </w:tc>
        <w:tc>
          <w:tcPr>
            <w:tcW w:w="705"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30</w:t>
            </w:r>
          </w:p>
        </w:tc>
        <w:tc>
          <w:tcPr>
            <w:tcW w:w="1106"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6E4FA3">
            <w:pPr>
              <w:spacing w:line="600" w:lineRule="exact"/>
              <w:rPr>
                <w:rFonts w:ascii="方正仿宋_GBK" w:eastAsia="方正仿宋_GBK" w:hAnsi="方正仿宋_GBK" w:cs="方正仿宋_GBK"/>
                <w:sz w:val="22"/>
                <w:szCs w:val="22"/>
              </w:rPr>
            </w:pPr>
          </w:p>
        </w:tc>
        <w:tc>
          <w:tcPr>
            <w:tcW w:w="662" w:type="dxa"/>
            <w:gridSpan w:val="4"/>
            <w:vMerge/>
            <w:tcBorders>
              <w:top w:val="single" w:sz="4" w:space="0" w:color="000000"/>
              <w:left w:val="single" w:sz="4" w:space="0" w:color="000000"/>
              <w:bottom w:val="single" w:sz="4" w:space="0" w:color="000000"/>
              <w:right w:val="single" w:sz="4" w:space="0" w:color="000000"/>
            </w:tcBorders>
            <w:noWrap/>
            <w:vAlign w:val="center"/>
          </w:tcPr>
          <w:p w:rsidR="006E4FA3" w:rsidRDefault="006E4FA3">
            <w:pPr>
              <w:spacing w:line="600" w:lineRule="exact"/>
              <w:jc w:val="center"/>
              <w:rPr>
                <w:rFonts w:ascii="方正仿宋_GBK" w:eastAsia="方正仿宋_GBK" w:hAnsi="方正仿宋_GBK" w:cs="方正仿宋_GBK"/>
                <w:sz w:val="22"/>
                <w:szCs w:val="22"/>
              </w:rPr>
            </w:pPr>
          </w:p>
        </w:tc>
      </w:tr>
      <w:tr w:rsidR="006E4FA3">
        <w:trPr>
          <w:gridAfter w:val="1"/>
          <w:wAfter w:w="225" w:type="dxa"/>
          <w:trHeight w:val="432"/>
        </w:trPr>
        <w:tc>
          <w:tcPr>
            <w:tcW w:w="600" w:type="dxa"/>
            <w:gridSpan w:val="2"/>
            <w:vMerge/>
            <w:tcBorders>
              <w:left w:val="single" w:sz="4" w:space="0" w:color="000000"/>
              <w:right w:val="single" w:sz="4" w:space="0" w:color="000000"/>
            </w:tcBorders>
            <w:noWrap/>
            <w:vAlign w:val="center"/>
          </w:tcPr>
          <w:p w:rsidR="006E4FA3" w:rsidRDefault="006E4FA3">
            <w:pPr>
              <w:widowControl/>
              <w:spacing w:line="600" w:lineRule="exact"/>
              <w:jc w:val="center"/>
              <w:textAlignment w:val="center"/>
              <w:rPr>
                <w:rFonts w:ascii="方正仿宋_GBK" w:eastAsia="方正仿宋_GBK" w:hAnsi="方正仿宋_GBK" w:cs="方正仿宋_GBK"/>
                <w:sz w:val="22"/>
                <w:szCs w:val="22"/>
              </w:rPr>
            </w:pPr>
          </w:p>
        </w:tc>
        <w:tc>
          <w:tcPr>
            <w:tcW w:w="813" w:type="dxa"/>
            <w:gridSpan w:val="3"/>
            <w:vMerge/>
            <w:tcBorders>
              <w:top w:val="single" w:sz="4" w:space="0" w:color="000000"/>
              <w:left w:val="single" w:sz="4" w:space="0" w:color="000000"/>
              <w:bottom w:val="single" w:sz="4" w:space="0" w:color="000000"/>
              <w:right w:val="single" w:sz="4" w:space="0" w:color="000000"/>
            </w:tcBorders>
            <w:noWrap/>
            <w:vAlign w:val="center"/>
          </w:tcPr>
          <w:p w:rsidR="006E4FA3" w:rsidRDefault="006E4FA3">
            <w:pPr>
              <w:spacing w:line="600" w:lineRule="exact"/>
              <w:jc w:val="center"/>
              <w:rPr>
                <w:rFonts w:ascii="方正仿宋_GBK" w:eastAsia="方正仿宋_GBK" w:hAnsi="方正仿宋_GBK" w:cs="方正仿宋_GBK"/>
                <w:sz w:val="22"/>
                <w:szCs w:val="22"/>
              </w:rPr>
            </w:pPr>
          </w:p>
        </w:tc>
        <w:tc>
          <w:tcPr>
            <w:tcW w:w="900"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投诉率</w:t>
            </w:r>
          </w:p>
        </w:tc>
        <w:tc>
          <w:tcPr>
            <w:tcW w:w="684"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p>
        </w:tc>
        <w:tc>
          <w:tcPr>
            <w:tcW w:w="76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5</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30</w:t>
            </w:r>
          </w:p>
        </w:tc>
        <w:tc>
          <w:tcPr>
            <w:tcW w:w="960"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0</w:t>
            </w:r>
          </w:p>
        </w:tc>
        <w:tc>
          <w:tcPr>
            <w:tcW w:w="705"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30</w:t>
            </w:r>
          </w:p>
        </w:tc>
        <w:tc>
          <w:tcPr>
            <w:tcW w:w="1106"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BB760D">
            <w:pPr>
              <w:spacing w:line="600" w:lineRule="exact"/>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零投诉</w:t>
            </w:r>
          </w:p>
        </w:tc>
        <w:tc>
          <w:tcPr>
            <w:tcW w:w="662" w:type="dxa"/>
            <w:gridSpan w:val="4"/>
            <w:vMerge/>
            <w:tcBorders>
              <w:top w:val="single" w:sz="4" w:space="0" w:color="000000"/>
              <w:left w:val="single" w:sz="4" w:space="0" w:color="000000"/>
              <w:bottom w:val="single" w:sz="4" w:space="0" w:color="000000"/>
              <w:right w:val="single" w:sz="4" w:space="0" w:color="000000"/>
            </w:tcBorders>
            <w:noWrap/>
            <w:vAlign w:val="center"/>
          </w:tcPr>
          <w:p w:rsidR="006E4FA3" w:rsidRDefault="006E4FA3">
            <w:pPr>
              <w:spacing w:line="600" w:lineRule="exact"/>
              <w:jc w:val="center"/>
              <w:rPr>
                <w:rFonts w:ascii="方正仿宋_GBK" w:eastAsia="方正仿宋_GBK" w:hAnsi="方正仿宋_GBK" w:cs="方正仿宋_GBK"/>
                <w:sz w:val="22"/>
                <w:szCs w:val="22"/>
              </w:rPr>
            </w:pPr>
          </w:p>
        </w:tc>
      </w:tr>
      <w:tr w:rsidR="006E4FA3">
        <w:trPr>
          <w:gridAfter w:val="1"/>
          <w:wAfter w:w="225" w:type="dxa"/>
          <w:trHeight w:val="432"/>
        </w:trPr>
        <w:tc>
          <w:tcPr>
            <w:tcW w:w="600" w:type="dxa"/>
            <w:gridSpan w:val="2"/>
            <w:tcBorders>
              <w:left w:val="single" w:sz="4" w:space="0" w:color="000000"/>
              <w:bottom w:val="single" w:sz="4" w:space="0" w:color="000000"/>
              <w:right w:val="single" w:sz="4" w:space="0" w:color="000000"/>
            </w:tcBorders>
            <w:noWrap/>
            <w:vAlign w:val="center"/>
          </w:tcPr>
          <w:p w:rsidR="006E4FA3" w:rsidRDefault="006E4FA3">
            <w:pPr>
              <w:widowControl/>
              <w:spacing w:line="600" w:lineRule="exact"/>
              <w:jc w:val="center"/>
              <w:textAlignment w:val="center"/>
              <w:rPr>
                <w:rFonts w:ascii="方正仿宋_GBK" w:eastAsia="方正仿宋_GBK" w:hAnsi="方正仿宋_GBK" w:cs="方正仿宋_GBK"/>
                <w:sz w:val="22"/>
                <w:szCs w:val="22"/>
              </w:rPr>
            </w:pPr>
          </w:p>
        </w:tc>
        <w:tc>
          <w:tcPr>
            <w:tcW w:w="813"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6E4FA3">
            <w:pPr>
              <w:spacing w:line="600" w:lineRule="exact"/>
              <w:jc w:val="center"/>
              <w:rPr>
                <w:rFonts w:ascii="方正仿宋_GBK" w:eastAsia="方正仿宋_GBK" w:hAnsi="方正仿宋_GBK" w:cs="方正仿宋_GBK"/>
                <w:sz w:val="22"/>
                <w:szCs w:val="22"/>
              </w:rPr>
            </w:pPr>
          </w:p>
        </w:tc>
        <w:tc>
          <w:tcPr>
            <w:tcW w:w="900"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6E4FA3">
            <w:pPr>
              <w:spacing w:line="600" w:lineRule="exact"/>
              <w:rPr>
                <w:rFonts w:ascii="方正仿宋_GBK" w:eastAsia="方正仿宋_GBK" w:hAnsi="方正仿宋_GBK" w:cs="方正仿宋_GBK"/>
                <w:sz w:val="22"/>
                <w:szCs w:val="22"/>
              </w:rPr>
            </w:pPr>
          </w:p>
        </w:tc>
        <w:tc>
          <w:tcPr>
            <w:tcW w:w="684" w:type="dxa"/>
            <w:tcBorders>
              <w:top w:val="single" w:sz="4" w:space="0" w:color="000000"/>
              <w:left w:val="single" w:sz="4" w:space="0" w:color="000000"/>
              <w:bottom w:val="single" w:sz="4" w:space="0" w:color="000000"/>
              <w:right w:val="single" w:sz="4" w:space="0" w:color="000000"/>
            </w:tcBorders>
            <w:noWrap/>
            <w:vAlign w:val="center"/>
          </w:tcPr>
          <w:p w:rsidR="006E4FA3" w:rsidRDefault="006E4FA3">
            <w:pPr>
              <w:spacing w:line="600" w:lineRule="exact"/>
              <w:jc w:val="center"/>
              <w:rPr>
                <w:rFonts w:ascii="方正仿宋_GBK" w:eastAsia="方正仿宋_GBK" w:hAnsi="方正仿宋_GBK" w:cs="方正仿宋_GBK"/>
                <w:sz w:val="22"/>
                <w:szCs w:val="22"/>
              </w:rPr>
            </w:pPr>
          </w:p>
        </w:tc>
        <w:tc>
          <w:tcPr>
            <w:tcW w:w="765" w:type="dxa"/>
            <w:tcBorders>
              <w:top w:val="single" w:sz="4" w:space="0" w:color="000000"/>
              <w:left w:val="single" w:sz="4" w:space="0" w:color="000000"/>
              <w:bottom w:val="single" w:sz="4" w:space="0" w:color="000000"/>
              <w:right w:val="single" w:sz="4" w:space="0" w:color="000000"/>
            </w:tcBorders>
            <w:noWrap/>
            <w:vAlign w:val="center"/>
          </w:tcPr>
          <w:p w:rsidR="006E4FA3" w:rsidRDefault="006E4FA3">
            <w:pPr>
              <w:spacing w:line="600" w:lineRule="exact"/>
              <w:jc w:val="center"/>
              <w:rPr>
                <w:rFonts w:ascii="方正仿宋_GBK" w:eastAsia="方正仿宋_GBK" w:hAnsi="方正仿宋_GBK" w:cs="方正仿宋_GBK"/>
                <w:sz w:val="22"/>
                <w:szCs w:val="22"/>
              </w:rPr>
            </w:pPr>
          </w:p>
        </w:tc>
        <w:tc>
          <w:tcPr>
            <w:tcW w:w="705" w:type="dxa"/>
            <w:tcBorders>
              <w:top w:val="single" w:sz="4" w:space="0" w:color="000000"/>
              <w:left w:val="single" w:sz="4" w:space="0" w:color="000000"/>
              <w:bottom w:val="single" w:sz="4" w:space="0" w:color="000000"/>
              <w:right w:val="single" w:sz="4" w:space="0" w:color="000000"/>
            </w:tcBorders>
            <w:noWrap/>
            <w:vAlign w:val="center"/>
          </w:tcPr>
          <w:p w:rsidR="006E4FA3" w:rsidRDefault="006E4FA3">
            <w:pPr>
              <w:spacing w:line="600" w:lineRule="exact"/>
              <w:jc w:val="center"/>
              <w:rPr>
                <w:rFonts w:ascii="方正仿宋_GBK" w:eastAsia="方正仿宋_GBK" w:hAnsi="方正仿宋_GBK" w:cs="方正仿宋_GBK"/>
                <w:sz w:val="22"/>
                <w:szCs w:val="22"/>
              </w:rPr>
            </w:pPr>
          </w:p>
        </w:tc>
        <w:tc>
          <w:tcPr>
            <w:tcW w:w="735" w:type="dxa"/>
            <w:tcBorders>
              <w:top w:val="single" w:sz="4" w:space="0" w:color="000000"/>
              <w:left w:val="single" w:sz="4" w:space="0" w:color="000000"/>
              <w:bottom w:val="single" w:sz="4" w:space="0" w:color="000000"/>
              <w:right w:val="single" w:sz="4" w:space="0" w:color="000000"/>
            </w:tcBorders>
            <w:noWrap/>
            <w:vAlign w:val="center"/>
          </w:tcPr>
          <w:p w:rsidR="006E4FA3" w:rsidRDefault="006E4FA3">
            <w:pPr>
              <w:spacing w:line="600" w:lineRule="exact"/>
              <w:jc w:val="center"/>
              <w:rPr>
                <w:rFonts w:ascii="方正仿宋_GBK" w:eastAsia="方正仿宋_GBK" w:hAnsi="方正仿宋_GBK" w:cs="方正仿宋_GBK"/>
                <w:sz w:val="22"/>
                <w:szCs w:val="22"/>
              </w:rPr>
            </w:pPr>
          </w:p>
        </w:tc>
        <w:tc>
          <w:tcPr>
            <w:tcW w:w="960"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6E4FA3">
            <w:pPr>
              <w:spacing w:line="600" w:lineRule="exact"/>
              <w:jc w:val="center"/>
              <w:rPr>
                <w:rFonts w:ascii="方正仿宋_GBK" w:eastAsia="方正仿宋_GBK" w:hAnsi="方正仿宋_GBK" w:cs="方正仿宋_GBK"/>
                <w:sz w:val="22"/>
                <w:szCs w:val="22"/>
              </w:rPr>
            </w:pPr>
          </w:p>
        </w:tc>
        <w:tc>
          <w:tcPr>
            <w:tcW w:w="705" w:type="dxa"/>
            <w:gridSpan w:val="2"/>
            <w:tcBorders>
              <w:top w:val="single" w:sz="4" w:space="0" w:color="000000"/>
              <w:left w:val="single" w:sz="4" w:space="0" w:color="000000"/>
              <w:bottom w:val="single" w:sz="4" w:space="0" w:color="000000"/>
              <w:right w:val="single" w:sz="4" w:space="0" w:color="000000"/>
            </w:tcBorders>
            <w:noWrap/>
            <w:vAlign w:val="center"/>
          </w:tcPr>
          <w:p w:rsidR="006E4FA3" w:rsidRDefault="006E4FA3">
            <w:pPr>
              <w:spacing w:line="600" w:lineRule="exact"/>
              <w:jc w:val="center"/>
              <w:rPr>
                <w:rFonts w:ascii="方正仿宋_GBK" w:eastAsia="方正仿宋_GBK" w:hAnsi="方正仿宋_GBK" w:cs="方正仿宋_GBK"/>
                <w:sz w:val="22"/>
                <w:szCs w:val="22"/>
              </w:rPr>
            </w:pPr>
          </w:p>
        </w:tc>
        <w:tc>
          <w:tcPr>
            <w:tcW w:w="1106" w:type="dxa"/>
            <w:gridSpan w:val="3"/>
            <w:tcBorders>
              <w:top w:val="single" w:sz="4" w:space="0" w:color="000000"/>
              <w:left w:val="single" w:sz="4" w:space="0" w:color="000000"/>
              <w:bottom w:val="single" w:sz="4" w:space="0" w:color="000000"/>
              <w:right w:val="single" w:sz="4" w:space="0" w:color="000000"/>
            </w:tcBorders>
            <w:noWrap/>
            <w:vAlign w:val="center"/>
          </w:tcPr>
          <w:p w:rsidR="006E4FA3" w:rsidRDefault="006E4FA3">
            <w:pPr>
              <w:spacing w:line="600" w:lineRule="exact"/>
              <w:rPr>
                <w:rFonts w:ascii="方正仿宋_GBK" w:eastAsia="方正仿宋_GBK" w:hAnsi="方正仿宋_GBK" w:cs="方正仿宋_GBK"/>
                <w:sz w:val="22"/>
                <w:szCs w:val="22"/>
              </w:rPr>
            </w:pPr>
          </w:p>
        </w:tc>
        <w:tc>
          <w:tcPr>
            <w:tcW w:w="662" w:type="dxa"/>
            <w:gridSpan w:val="4"/>
            <w:tcBorders>
              <w:top w:val="single" w:sz="4" w:space="0" w:color="000000"/>
              <w:left w:val="single" w:sz="4" w:space="0" w:color="000000"/>
              <w:bottom w:val="single" w:sz="4" w:space="0" w:color="000000"/>
              <w:right w:val="single" w:sz="4" w:space="0" w:color="000000"/>
            </w:tcBorders>
            <w:noWrap/>
            <w:vAlign w:val="center"/>
          </w:tcPr>
          <w:p w:rsidR="006E4FA3" w:rsidRDefault="006E4FA3">
            <w:pPr>
              <w:spacing w:line="600" w:lineRule="exact"/>
              <w:jc w:val="center"/>
              <w:rPr>
                <w:rFonts w:ascii="方正仿宋_GBK" w:eastAsia="方正仿宋_GBK" w:hAnsi="方正仿宋_GBK" w:cs="方正仿宋_GBK"/>
                <w:sz w:val="22"/>
                <w:szCs w:val="22"/>
              </w:rPr>
            </w:pPr>
          </w:p>
        </w:tc>
      </w:tr>
    </w:tbl>
    <w:p w:rsidR="006E4FA3" w:rsidRDefault="006E4FA3">
      <w:pPr>
        <w:spacing w:line="600" w:lineRule="exact"/>
        <w:jc w:val="center"/>
        <w:rPr>
          <w:rFonts w:ascii="方正仿宋_GBK" w:eastAsia="方正仿宋_GBK" w:hAnsi="方正仿宋_GBK" w:cs="方正仿宋_GBK"/>
          <w:sz w:val="32"/>
          <w:szCs w:val="32"/>
        </w:rPr>
      </w:pPr>
    </w:p>
    <w:p w:rsidR="006E4FA3" w:rsidRDefault="00BB760D">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sz w:val="32"/>
          <w:szCs w:val="32"/>
        </w:rPr>
        <w:t>（</w:t>
      </w:r>
      <w:r>
        <w:rPr>
          <w:rFonts w:ascii="方正楷体_GBK" w:eastAsia="方正楷体_GBK" w:hAnsi="方正楷体_GBK" w:cs="方正楷体_GBK" w:hint="eastAsia"/>
          <w:sz w:val="32"/>
          <w:szCs w:val="32"/>
        </w:rPr>
        <w:t>三</w:t>
      </w:r>
      <w:r>
        <w:rPr>
          <w:rFonts w:ascii="方正楷体_GBK" w:eastAsia="方正楷体_GBK" w:hAnsi="方正楷体_GBK" w:cs="方正楷体_GBK"/>
          <w:sz w:val="32"/>
          <w:szCs w:val="32"/>
        </w:rPr>
        <w:t>）财政重点绩效评价情况</w:t>
      </w:r>
    </w:p>
    <w:p w:rsidR="006E4FA3" w:rsidRDefault="00BB760D">
      <w:pPr>
        <w:spacing w:line="600" w:lineRule="exact"/>
        <w:ind w:firstLineChars="200" w:firstLine="640"/>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sz w:val="32"/>
          <w:szCs w:val="32"/>
        </w:rPr>
        <w:lastRenderedPageBreak/>
        <w:t>区财政局委托第三方对政务信息系统（平台）2022年运维费用开展了重点绩效评价，涉及财政拨款项目资金6130万元，目前尚未反馈正式评价报告，区财政局将适时对重点绩效评价结果进行集中公开。</w:t>
      </w:r>
    </w:p>
    <w:p w:rsidR="006E4FA3" w:rsidRDefault="00BB760D">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六、专业名词解释</w:t>
      </w:r>
    </w:p>
    <w:p w:rsidR="006E4FA3" w:rsidRDefault="00BB760D">
      <w:pPr>
        <w:spacing w:line="60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（一）财政拨款收入</w:t>
      </w:r>
      <w:r>
        <w:rPr>
          <w:rFonts w:ascii="方正仿宋_GBK" w:eastAsia="方正仿宋_GBK" w:hAnsi="方正仿宋_GBK" w:cs="方正仿宋_GBK" w:hint="eastAsia"/>
          <w:sz w:val="32"/>
          <w:szCs w:val="32"/>
        </w:rPr>
        <w:t>：指本年度从本级财政部门取得的财政拨款，包括一般公共预算财政拨款和政府性基金预算财政拨款。</w:t>
      </w:r>
    </w:p>
    <w:p w:rsidR="006E4FA3" w:rsidRDefault="00BB760D">
      <w:pPr>
        <w:spacing w:line="60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（二）其他收入</w:t>
      </w:r>
      <w:r>
        <w:rPr>
          <w:rFonts w:ascii="方正仿宋_GBK" w:eastAsia="方正仿宋_GBK" w:hAnsi="方正仿宋_GBK" w:cs="方正仿宋_GBK" w:hint="eastAsia"/>
          <w:sz w:val="32"/>
          <w:szCs w:val="32"/>
        </w:rPr>
        <w:t>：指单位取得的除“财政拨款收入”、“事业收入”、“经营收入”等以外的收入。</w:t>
      </w:r>
    </w:p>
    <w:p w:rsidR="006E4FA3" w:rsidRDefault="00BB760D">
      <w:pPr>
        <w:spacing w:line="60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（三）基本支出</w:t>
      </w:r>
      <w:r>
        <w:rPr>
          <w:rFonts w:ascii="方正仿宋_GBK" w:eastAsia="方正仿宋_GBK" w:hAnsi="方正仿宋_GBK" w:cs="方正仿宋_GBK" w:hint="eastAsia"/>
          <w:sz w:val="32"/>
          <w:szCs w:val="32"/>
        </w:rPr>
        <w:t>：指为保障机构正常运转、完成日常工作任务而发生的人员经费和公用经费。</w:t>
      </w:r>
    </w:p>
    <w:p w:rsidR="006E4FA3" w:rsidRDefault="00BB760D">
      <w:pPr>
        <w:spacing w:line="60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（四）项目支出</w:t>
      </w:r>
      <w:r>
        <w:rPr>
          <w:rFonts w:ascii="方正仿宋_GBK" w:eastAsia="方正仿宋_GBK" w:hAnsi="方正仿宋_GBK" w:cs="方正仿宋_GBK" w:hint="eastAsia"/>
          <w:sz w:val="32"/>
          <w:szCs w:val="32"/>
        </w:rPr>
        <w:t>：指在基本支出之外为完成特定行政任务和事业发展目标所发生的支出。</w:t>
      </w:r>
    </w:p>
    <w:p w:rsidR="006E4FA3" w:rsidRDefault="00BB760D">
      <w:pPr>
        <w:spacing w:line="60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（五）“三公”经费</w:t>
      </w:r>
      <w:r>
        <w:rPr>
          <w:rFonts w:ascii="方正仿宋_GBK" w:eastAsia="方正仿宋_GBK" w:hAnsi="方正仿宋_GBK" w:cs="方正仿宋_GBK" w:hint="eastAsia"/>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6E4FA3" w:rsidRDefault="00BB760D">
      <w:pPr>
        <w:spacing w:line="60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lastRenderedPageBreak/>
        <w:t>（六）维护（修）费</w:t>
      </w:r>
      <w:r>
        <w:rPr>
          <w:rFonts w:ascii="方正仿宋_GBK" w:eastAsia="方正仿宋_GBK" w:hAnsi="方正仿宋_GBK" w:cs="方正仿宋_GBK" w:hint="eastAsia"/>
          <w:sz w:val="32"/>
          <w:szCs w:val="32"/>
        </w:rPr>
        <w:t>：反映单位日常开支的固定资产（不包括车船等交通工具）修理和维护费用，网络信息系统运行维护费用，以及按规定提取的修购基金。</w:t>
      </w:r>
    </w:p>
    <w:p w:rsidR="006E4FA3" w:rsidRDefault="00BB760D">
      <w:pPr>
        <w:pStyle w:val="a4"/>
        <w:widowControl/>
        <w:shd w:val="clear" w:color="auto" w:fill="FFFFFF"/>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（七）</w:t>
      </w:r>
      <w:r>
        <w:rPr>
          <w:rStyle w:val="a5"/>
          <w:rFonts w:ascii="方正楷体_GBK" w:eastAsia="方正楷体_GBK" w:hAnsi="方正楷体_GBK" w:cs="方正楷体_GBK"/>
          <w:b w:val="0"/>
          <w:bCs/>
          <w:color w:val="000000"/>
          <w:sz w:val="32"/>
          <w:szCs w:val="32"/>
          <w:shd w:val="clear" w:color="auto" w:fill="FFFFFF"/>
        </w:rPr>
        <w:t>机关运行经费：</w:t>
      </w:r>
      <w:r>
        <w:rPr>
          <w:rFonts w:ascii="Times New Roman" w:eastAsia="方正仿宋_GBK" w:hAnsi="Times New Roman"/>
          <w:color w:val="00000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6E4FA3" w:rsidRDefault="00BB760D">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七、决算公开联系方式及信息反馈渠道</w:t>
      </w:r>
    </w:p>
    <w:p w:rsidR="006E4FA3" w:rsidRDefault="00BB760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本单位决算公开信息反馈和联系方式：023－58966399</w:t>
      </w:r>
    </w:p>
    <w:sectPr w:rsidR="006E4FA3" w:rsidSect="006E4FA3">
      <w:pgSz w:w="11906" w:h="16838"/>
      <w:pgMar w:top="2041" w:right="1531" w:bottom="204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D0B" w:rsidRDefault="008B3D0B" w:rsidP="00717724">
      <w:r>
        <w:separator/>
      </w:r>
    </w:p>
  </w:endnote>
  <w:endnote w:type="continuationSeparator" w:id="1">
    <w:p w:rsidR="008B3D0B" w:rsidRDefault="008B3D0B" w:rsidP="007177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altName w:val="Arial Unicode MS"/>
    <w:charset w:val="86"/>
    <w:family w:val="auto"/>
    <w:pitch w:val="default"/>
    <w:sig w:usb0="00000000"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D0B" w:rsidRDefault="008B3D0B" w:rsidP="00717724">
      <w:r>
        <w:separator/>
      </w:r>
    </w:p>
  </w:footnote>
  <w:footnote w:type="continuationSeparator" w:id="1">
    <w:p w:rsidR="008B3D0B" w:rsidRDefault="008B3D0B" w:rsidP="007177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172A27"/>
    <w:rsid w:val="001A7F9F"/>
    <w:rsid w:val="006E4FA3"/>
    <w:rsid w:val="00717724"/>
    <w:rsid w:val="008B3D0B"/>
    <w:rsid w:val="00BB760D"/>
    <w:rsid w:val="00EF08AB"/>
    <w:rsid w:val="017E4093"/>
    <w:rsid w:val="027A6DA3"/>
    <w:rsid w:val="02D96E15"/>
    <w:rsid w:val="03C5567A"/>
    <w:rsid w:val="04FE7086"/>
    <w:rsid w:val="05AA5A43"/>
    <w:rsid w:val="07860C28"/>
    <w:rsid w:val="08780798"/>
    <w:rsid w:val="0B7219E2"/>
    <w:rsid w:val="0C2F42EB"/>
    <w:rsid w:val="11860E84"/>
    <w:rsid w:val="13136F70"/>
    <w:rsid w:val="18072BFC"/>
    <w:rsid w:val="192D68A6"/>
    <w:rsid w:val="1A591E3D"/>
    <w:rsid w:val="1ACD35A1"/>
    <w:rsid w:val="1DD8057E"/>
    <w:rsid w:val="1E581F87"/>
    <w:rsid w:val="23464FA8"/>
    <w:rsid w:val="26E93318"/>
    <w:rsid w:val="29D73D5B"/>
    <w:rsid w:val="2A8A0880"/>
    <w:rsid w:val="2CD22570"/>
    <w:rsid w:val="2EE244A7"/>
    <w:rsid w:val="2F292AFE"/>
    <w:rsid w:val="2F5003D3"/>
    <w:rsid w:val="2F83305D"/>
    <w:rsid w:val="32411DAA"/>
    <w:rsid w:val="3471172C"/>
    <w:rsid w:val="34C117E1"/>
    <w:rsid w:val="355351A6"/>
    <w:rsid w:val="35E83AC3"/>
    <w:rsid w:val="383F56D4"/>
    <w:rsid w:val="3BE62841"/>
    <w:rsid w:val="3C9741F0"/>
    <w:rsid w:val="42433FC3"/>
    <w:rsid w:val="43FA474C"/>
    <w:rsid w:val="45312CF4"/>
    <w:rsid w:val="486A0232"/>
    <w:rsid w:val="4C147B11"/>
    <w:rsid w:val="4C4C766B"/>
    <w:rsid w:val="4D7732F3"/>
    <w:rsid w:val="4DE211B9"/>
    <w:rsid w:val="4E533811"/>
    <w:rsid w:val="4F7E45C3"/>
    <w:rsid w:val="51AF0F63"/>
    <w:rsid w:val="52C738D1"/>
    <w:rsid w:val="5443644D"/>
    <w:rsid w:val="57B320C0"/>
    <w:rsid w:val="5B235EB2"/>
    <w:rsid w:val="5B6A72E6"/>
    <w:rsid w:val="5FA472EC"/>
    <w:rsid w:val="60CA7DE0"/>
    <w:rsid w:val="6183447A"/>
    <w:rsid w:val="61E560C6"/>
    <w:rsid w:val="6233706D"/>
    <w:rsid w:val="662B2C89"/>
    <w:rsid w:val="67580EA0"/>
    <w:rsid w:val="69221B72"/>
    <w:rsid w:val="6A613C5A"/>
    <w:rsid w:val="6C9662EC"/>
    <w:rsid w:val="6D96735C"/>
    <w:rsid w:val="6F65733F"/>
    <w:rsid w:val="70790E34"/>
    <w:rsid w:val="747152AA"/>
    <w:rsid w:val="762D41C0"/>
    <w:rsid w:val="7729079C"/>
    <w:rsid w:val="77602E15"/>
    <w:rsid w:val="77D86169"/>
    <w:rsid w:val="790814AA"/>
    <w:rsid w:val="79EE7ACD"/>
    <w:rsid w:val="7C6813C3"/>
    <w:rsid w:val="7DD77F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4FA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next w:val="a"/>
    <w:qFormat/>
    <w:rsid w:val="006E4FA3"/>
    <w:pPr>
      <w:widowControl w:val="0"/>
      <w:spacing w:line="540" w:lineRule="exact"/>
      <w:ind w:firstLineChars="200" w:firstLine="200"/>
      <w:jc w:val="both"/>
    </w:pPr>
    <w:rPr>
      <w:rFonts w:ascii="Calibri" w:eastAsia="仿宋_GB2312" w:hAnsi="Calibri"/>
      <w:kern w:val="2"/>
      <w:sz w:val="21"/>
      <w:szCs w:val="24"/>
    </w:rPr>
  </w:style>
  <w:style w:type="paragraph" w:styleId="a4">
    <w:name w:val="Normal (Web)"/>
    <w:basedOn w:val="a"/>
    <w:qFormat/>
    <w:rsid w:val="006E4FA3"/>
    <w:pPr>
      <w:spacing w:beforeAutospacing="1" w:afterAutospacing="1"/>
      <w:jc w:val="left"/>
    </w:pPr>
    <w:rPr>
      <w:rFonts w:cs="Times New Roman"/>
      <w:kern w:val="0"/>
      <w:sz w:val="24"/>
    </w:rPr>
  </w:style>
  <w:style w:type="character" w:styleId="a5">
    <w:name w:val="Strong"/>
    <w:basedOn w:val="a0"/>
    <w:qFormat/>
    <w:rsid w:val="006E4FA3"/>
    <w:rPr>
      <w:b/>
    </w:rPr>
  </w:style>
  <w:style w:type="paragraph" w:styleId="a6">
    <w:name w:val="List Paragraph"/>
    <w:basedOn w:val="a"/>
    <w:uiPriority w:val="34"/>
    <w:qFormat/>
    <w:rsid w:val="006E4FA3"/>
    <w:pPr>
      <w:ind w:firstLineChars="200" w:firstLine="420"/>
    </w:pPr>
  </w:style>
  <w:style w:type="paragraph" w:styleId="a7">
    <w:name w:val="header"/>
    <w:basedOn w:val="a"/>
    <w:link w:val="Char"/>
    <w:rsid w:val="007177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717724"/>
    <w:rPr>
      <w:rFonts w:asciiTheme="minorHAnsi" w:eastAsiaTheme="minorEastAsia" w:hAnsiTheme="minorHAnsi" w:cstheme="minorBidi"/>
      <w:kern w:val="2"/>
      <w:sz w:val="18"/>
      <w:szCs w:val="18"/>
    </w:rPr>
  </w:style>
  <w:style w:type="paragraph" w:styleId="a8">
    <w:name w:val="footer"/>
    <w:basedOn w:val="a"/>
    <w:link w:val="Char0"/>
    <w:rsid w:val="00717724"/>
    <w:pPr>
      <w:tabs>
        <w:tab w:val="center" w:pos="4153"/>
        <w:tab w:val="right" w:pos="8306"/>
      </w:tabs>
      <w:snapToGrid w:val="0"/>
      <w:jc w:val="left"/>
    </w:pPr>
    <w:rPr>
      <w:sz w:val="18"/>
      <w:szCs w:val="18"/>
    </w:rPr>
  </w:style>
  <w:style w:type="character" w:customStyle="1" w:styleId="Char0">
    <w:name w:val="页脚 Char"/>
    <w:basedOn w:val="a0"/>
    <w:link w:val="a8"/>
    <w:rsid w:val="00717724"/>
    <w:rPr>
      <w:rFonts w:asciiTheme="minorHAnsi" w:eastAsiaTheme="minorEastAsia" w:hAnsiTheme="minorHAnsi" w:cstheme="minorBidi"/>
      <w:kern w:val="2"/>
      <w:sz w:val="18"/>
      <w:szCs w:val="18"/>
    </w:rPr>
  </w:style>
  <w:style w:type="paragraph" w:styleId="a9">
    <w:name w:val="Balloon Text"/>
    <w:basedOn w:val="a"/>
    <w:link w:val="Char1"/>
    <w:rsid w:val="00717724"/>
    <w:rPr>
      <w:sz w:val="18"/>
      <w:szCs w:val="18"/>
    </w:rPr>
  </w:style>
  <w:style w:type="character" w:customStyle="1" w:styleId="Char1">
    <w:name w:val="批注框文本 Char"/>
    <w:basedOn w:val="a0"/>
    <w:link w:val="a9"/>
    <w:rsid w:val="0071772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1460</Words>
  <Characters>8328</Characters>
  <Application>Microsoft Office Word</Application>
  <DocSecurity>0</DocSecurity>
  <Lines>69</Lines>
  <Paragraphs>19</Paragraphs>
  <ScaleCrop>false</ScaleCrop>
  <Company>区大数据发展局</Company>
  <LinksUpToDate>false</LinksUpToDate>
  <CharactersWithSpaces>9769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邓波</dc:creator>
  <cp:lastModifiedBy>PC</cp:lastModifiedBy>
  <cp:revision>3</cp:revision>
  <dcterms:created xsi:type="dcterms:W3CDTF">2023-10-23T02:36:00Z</dcterms:created>
  <dcterms:modified xsi:type="dcterms:W3CDTF">2023-11-13T01:30:00Z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