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1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渝大数据发〔2021〕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_GBK" w:cs="Times New Roman"/>
          <w:bCs/>
          <w:color w:val="auto"/>
          <w:spacing w:val="-1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_GBK" w:cs="Times New Roman"/>
          <w:bCs/>
          <w:color w:val="auto"/>
          <w:spacing w:val="-1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重庆市大数据应用发展管理局</w:t>
      </w:r>
    </w:p>
    <w:p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关于开展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小切口、大民生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智能化</w:t>
      </w:r>
    </w:p>
    <w:p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创新应用专项资金申报工作的通知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各区县（自治县）大数据发展局（大数据主管部门），有关单位：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为进一步加快智慧社区建设，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市民提供线上线下融合的社区生活、社区治理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、社区节能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等服务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，前期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我局组织开展了第二批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小切口、大民生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智慧社区方向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）智能化创新应用项目申报评选工作。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为贯彻落实《关于印发重庆市新型智慧城市建设方案（2019—2022年）的通知》（渝府办发〔2019〕66号）相关要求，充分发挥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专项资金扶持引导作用，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现就做好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小切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口、大民生</w:t>
      </w:r>
      <w:r>
        <w:rPr>
          <w:rFonts w:hint="eastAsia" w:ascii="Times New Roman" w:hAnsi="Times New Roman" w:eastAsia="方正仿宋_GBK" w:cs="Times New Roman"/>
          <w:color w:val="000000" w:themeColor="text1"/>
          <w:spacing w:val="-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智能化创新应用专项资金申报工作有关事项通知如下：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一、支持方向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小切口、大民生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智能化创新应用专项资金主要用以支持第二批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小切口、大民生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二、申报条件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（一）申报主体基本条件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1.重庆市辖区内的各级政府部门或登记注册的企事业单位。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.应为重庆市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小切口、大民生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智慧社区方向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智能化创新应用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项目应用场景子项目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的业主单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位（即项目投资方）。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.申报时未列入严重失信主体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黑名单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，未受到财政违法行为处罚处分，在全国信用信息共享平台（重庆）上无不良记录。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.具有健全的财务管理机构和制度。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（二）项目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基本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条件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重庆市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小切口、大民生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智慧社区方向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智能化创新应用项目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中的应用场景子项目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2.原则上一个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小切口、大民生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（智慧社区方向）智能化创新应用项目最多只能有一个应用场景子项目申报资金。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项目应为大数据智能化技术在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智慧社区方向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的创新应用，且具有良好应用前景和民生效益。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4.申报项目已完成全部建设并完成全部投资。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5.项目具备成果展示的实际场景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6.申报项目未获得其他市级财政资金支持。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三、补助标准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按不超过项目总投入（包括软件、硬件、网络、系统集成等采购费用以及项目研发人力成本）的30%给予补助，项目补贴最高不超过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，补助金额不足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10万元的不予支持。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四、工作要求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（一）项目申报流程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向项目实施所在地的大数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据发展局（大数据主管部门）提交申报材料电子档及装订成册的纸质档（一式两份），申报材料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见附件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1，具体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小切口、大民生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智能化创新应用专项资金申报表》（附件1-1）、《项目申报书》（附件1-2）、《项目真实性合规性承诺书》（附件1-3）。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2.由各区县大数据发展局（大数据主管部门）对申报材料进行初步审查，重点审查材料的完整性和真实性，确认无误后在专项资金申报表上加盖推荐单位印章，并将本区县所有申报材料整理汇总并填写《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小切口、大民生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智能化创新应用专项资金申报信息统计表》（附件2）。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3.由各区县大数据发展局（大数据主管部门）将申报信息统计表及项目申报材料（含电子档和纸质档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份）提交至市大数据发展局应用推广处。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（二）项目申报时间安排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1.项目申报单位提交资料至各区县大数据发展局（大数据主管部门）截止时间为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.各区县大数据发展局（大数据主管部门）提交资料至市大数据发展局截止时间为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（三）其他要求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1.各区县大数据发展局（大数据主管部门）要做好项目申报相关资料的归档管理工作。归档资料包括项目申报资料、项目审核资料、上报文件及其他需存档资料。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申报单位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申请的财政资金原则上应用于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项目后续升级改造或运营维护。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区县大数据发展局（大数据主管部门）要会同本级财政部门加强对专项资金的监督管理。任何企业、单位和个人不得骗取、冒领、挤占、截留和挪用专项资金，如有违反，一经查实，按照《财政违法行为处罚处分条例》等规定追究相应责任，涉嫌犯罪的，移送司法机关处理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附件：1.项目申报资料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1680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right="0" w:rightChars="0"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小切口、大民生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智能化创新应用专项资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1680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right="0" w:rightChars="0"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金申报信息统计表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2940" w:leftChars="140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重庆市大数据应用发展管理局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2940" w:leftChars="140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项目申报材料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小切口、大民生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智能化创新应用专项资金申报表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（见附件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1-1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二、项目申报书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（见附件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1-2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三、项目真实性合规性承诺书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（见附件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1-3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备注：请将上述一、二、三项材料装订成册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shd w:val="clear"/>
        <w:autoSpaceDE w:val="0"/>
        <w:adjustRightInd w:val="0"/>
        <w:snapToGrid w:val="0"/>
        <w:spacing w:line="600" w:lineRule="atLeas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附件1-1</w:t>
      </w:r>
    </w:p>
    <w:p>
      <w:pPr>
        <w:shd w:val="clear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shd w:val="clear"/>
        <w:adjustRightInd w:val="0"/>
        <w:snapToGrid w:val="0"/>
        <w:spacing w:before="0" w:after="0" w:line="600" w:lineRule="atLeast"/>
        <w:jc w:val="center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小切口、大民生</w:t>
      </w:r>
      <w:r>
        <w:rPr>
          <w:rFonts w:hint="eastAsia" w:ascii="Times New Roman" w:hAnsi="Times New Roman" w:eastAsia="方正黑体_GBK" w:cs="Times New Roman"/>
          <w:b w:val="0"/>
          <w:bCs w:val="0"/>
          <w:color w:val="000000" w:themeColor="text1"/>
          <w:kern w:val="0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智能化创新应用</w:t>
      </w:r>
    </w:p>
    <w:p>
      <w:pPr>
        <w:pStyle w:val="2"/>
        <w:shd w:val="clear"/>
        <w:adjustRightInd w:val="0"/>
        <w:snapToGrid w:val="0"/>
        <w:spacing w:before="0" w:after="0" w:line="600" w:lineRule="atLeast"/>
        <w:jc w:val="center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>专项资金申报表</w:t>
      </w:r>
    </w:p>
    <w:p>
      <w:pPr>
        <w:shd w:val="clear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 xml:space="preserve">申报单位名称（盖章）：                                          </w:t>
      </w:r>
    </w:p>
    <w:tbl>
      <w:tblPr>
        <w:tblStyle w:val="7"/>
        <w:tblW w:w="91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813"/>
        <w:gridCol w:w="1672"/>
        <w:gridCol w:w="563"/>
        <w:gridCol w:w="937"/>
        <w:gridCol w:w="1050"/>
        <w:gridCol w:w="1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申报单位地址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所属区县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4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项目实施地点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申请财政资金（万元）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财政资金用途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项目升级改造</w:t>
            </w:r>
          </w:p>
          <w:p>
            <w:pPr>
              <w:shd w:val="clear"/>
              <w:adjustRightInd w:val="0"/>
              <w:snapToGrid w:val="0"/>
              <w:spacing w:line="400" w:lineRule="atLeas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项目后期运营维护</w:t>
            </w:r>
          </w:p>
          <w:p>
            <w:pPr>
              <w:shd w:val="clear"/>
              <w:adjustRightInd w:val="0"/>
              <w:snapToGrid w:val="0"/>
              <w:spacing w:line="400" w:lineRule="atLeast"/>
              <w:jc w:val="lef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项目实际投资金额（万元）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项目是否已完工</w:t>
            </w:r>
          </w:p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并完成全部投资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项目是否具备成果展示的实际场景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项目是否获得其他市级财政资金支持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1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项目主要建设内容</w:t>
            </w:r>
          </w:p>
        </w:tc>
        <w:tc>
          <w:tcPr>
            <w:tcW w:w="74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项目主要效益</w:t>
            </w:r>
          </w:p>
        </w:tc>
        <w:tc>
          <w:tcPr>
            <w:tcW w:w="7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（着重通过数据进行描述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，例如服务市民人次数量、覆盖区域面积等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159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400" w:lineRule="atLeas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名称（盖章）：</w:t>
            </w:r>
          </w:p>
        </w:tc>
      </w:tr>
    </w:tbl>
    <w:p>
      <w:pPr>
        <w:widowControl/>
        <w:shd w:val="clear"/>
        <w:adjustRightInd w:val="0"/>
        <w:snapToGrid w:val="0"/>
        <w:spacing w:line="560" w:lineRule="exact"/>
        <w:jc w:val="left"/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附件1-2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项目申报书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一、申报单位基本情况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、项目基本情况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（一）项目名称。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（二）项目实施地点。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（三）项目实施工期（ｘ年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（四）项目实际投资及资金来源情况。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（五）项目实施目标。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（六）项目主要建设内容及技术方案（详细）。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（七）项目实施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过程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（八）项目建设成效。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（九）项目产生的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社会经济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效益分析。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、申请专项资金用途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详细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说明申请财政专项资金具体计划用途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、项目申报条件所需资料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（一）提供项目所具备申报条件的对应情况及要件资料。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9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（二）项目投资的佐证材料（发票、合同等）及票据清单（表格）。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（三）第三方机构提供的项目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专项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审计报告。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  <w:r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附件1-3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项目真实性合规性承诺书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本单位对本次申报的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ｘｘ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项目作出如下承诺：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-1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1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一、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-1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ｘｘ</w:t>
      </w:r>
      <w:r>
        <w:rPr>
          <w:rFonts w:hint="default" w:ascii="Times New Roman" w:hAnsi="Times New Roman" w:eastAsia="方正仿宋_GBK" w:cs="Times New Roman"/>
          <w:color w:val="000000" w:themeColor="text1"/>
          <w:spacing w:val="-1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项目内容符合国家和重庆市相关产业政策、发展规划。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ｘｘ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项目未获得其他市级财政资金支持。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三、本次提供的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ｘｘｘ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项目申报资料真实有效，且已准确、充分及完整的表达我单位及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ｘｘｘ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项目实际，如与实际情况不符的，我单位愿承担相应法律责任及其他后果。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四、为保证真实性，授权市大数据发展局查询我单位纳税、社保费、公积金、电力、贷款等经营数据。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五、我单位将严格按照批复内容组织项目实施，如项目被主管部门予以撤销的，我单位愿主动退回已拨付的专项资金。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单位（盖章）：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ｘｘｘｘ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ｘｘ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ｘｘ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shd w:val="clear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</w:p>
    <w:p>
      <w:pPr>
        <w:shd w:val="clear"/>
        <w:spacing w:line="52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hd w:val="clear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小切口、大民生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智能化创新应用</w:t>
      </w:r>
    </w:p>
    <w:p>
      <w:pPr>
        <w:shd w:val="clear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专项资金申报信息统计表</w:t>
      </w:r>
    </w:p>
    <w:p>
      <w:pPr>
        <w:shd w:val="clear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hd w:val="clear"/>
        <w:adjustRightInd w:val="0"/>
        <w:snapToGrid w:val="0"/>
        <w:spacing w:line="560" w:lineRule="exact"/>
        <w:ind w:firstLine="240" w:firstLineChars="100"/>
        <w:jc w:val="left"/>
        <w:rPr>
          <w:rFonts w:hint="default" w:ascii="Times New Roman" w:hAnsi="Times New Roman" w:eastAsia="方正仿宋_GBK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填报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单位：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ｘｘ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区/县大数据应用发展管理局（盖章）                                日期：202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ｘ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ｘ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</w:t>
      </w:r>
    </w:p>
    <w:tbl>
      <w:tblPr>
        <w:tblStyle w:val="8"/>
        <w:tblW w:w="11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647"/>
        <w:gridCol w:w="3231"/>
        <w:gridCol w:w="1200"/>
        <w:gridCol w:w="1431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所属区县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49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47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1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6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49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47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1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6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49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47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1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6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hd w:val="clear"/>
        <w:adjustRightInd w:val="0"/>
        <w:snapToGrid w:val="0"/>
        <w:spacing w:line="560" w:lineRule="exact"/>
        <w:ind w:firstLine="240" w:firstLineChars="100"/>
        <w:jc w:val="left"/>
        <w:rPr>
          <w:rFonts w:hint="default" w:ascii="Times New Roman" w:hAnsi="Times New Roman" w:eastAsia="方正仿宋_GBK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2098" w:right="1474" w:bottom="1984" w:left="1587" w:header="851" w:footer="1587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联系人及联系方式：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Bdr>
          <w:top w:val="single" w:color="auto" w:sz="4" w:space="0"/>
          <w:bottom w:val="single" w:color="auto" w:sz="4" w:space="0"/>
        </w:pBdr>
        <w:tabs>
          <w:tab w:val="left" w:pos="2100"/>
        </w:tabs>
        <w:overflowPunct w:val="0"/>
        <w:adjustRightInd w:val="0"/>
        <w:snapToGrid w:val="0"/>
        <w:spacing w:line="600" w:lineRule="atLeas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</w:rPr>
        <w:t xml:space="preserve">  重庆市大数据应用发展管理局办公室   </w:t>
      </w:r>
      <w:r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</w:rPr>
        <w:t xml:space="preserve">   2021年</w:t>
      </w:r>
      <w:r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</w:rPr>
        <w:t>日印发</w:t>
      </w:r>
    </w:p>
    <w:sectPr>
      <w:footerReference r:id="rId4" w:type="default"/>
      <w:pgSz w:w="11906" w:h="16838"/>
      <w:pgMar w:top="2098" w:right="1474" w:bottom="1984" w:left="1587" w:header="851" w:footer="158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D3174"/>
    <w:rsid w:val="00CA0FE9"/>
    <w:rsid w:val="03771932"/>
    <w:rsid w:val="144D3174"/>
    <w:rsid w:val="165702B2"/>
    <w:rsid w:val="216A738C"/>
    <w:rsid w:val="2AE25270"/>
    <w:rsid w:val="382F40A1"/>
    <w:rsid w:val="4EDD5CED"/>
    <w:rsid w:val="561553DD"/>
    <w:rsid w:val="58276A6D"/>
    <w:rsid w:val="5D6F57F6"/>
    <w:rsid w:val="5F73640F"/>
    <w:rsid w:val="61A140DE"/>
    <w:rsid w:val="63DB3AF4"/>
    <w:rsid w:val="6E69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 w:val="27"/>
      <w:szCs w:val="27"/>
    </w:rPr>
  </w:style>
  <w:style w:type="paragraph" w:styleId="4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 w:cs="Times New Roman"/>
      <w:b/>
      <w:bCs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2"/>
    <w:basedOn w:val="1"/>
    <w:next w:val="1"/>
    <w:qFormat/>
    <w:uiPriority w:val="0"/>
    <w:rPr>
      <w:rFonts w:ascii="Calibri" w:hAnsi="Calibri" w:eastAsia="方正仿宋_GBK" w:cs="Times New Roman"/>
      <w:sz w:val="32"/>
    </w:rPr>
  </w:style>
  <w:style w:type="paragraph" w:customStyle="1" w:styleId="11">
    <w:name w:val="常用"/>
    <w:basedOn w:val="1"/>
    <w:qFormat/>
    <w:uiPriority w:val="0"/>
    <w:rPr>
      <w:rFonts w:ascii="Calibri" w:hAnsi="Calibri" w:eastAsia="方正仿宋_GBK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2021-06-29T06:11:00Z</dcterms:created>
  <dc:creator>曾晖</dc:creator>
  <cp:lastModifiedBy>sheldor3.0</cp:lastModifiedBy>
  <cp:lastPrinted>2021-07-05T02:39:00Z</cp:lastPrinted>
  <dcterms:modified xsi:type="dcterms:W3CDTF">2021-07-07T09:42:40Z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804BE513C9B049E583E055110E8FE2A4</vt:lpwstr>
  </property>
  <property fmtid="{D5CDD505-2E9C-101B-9397-08002B2CF9AE}" pid="4" name="KSOSaveFontToCloudKey">
    <vt:lpwstr>514428972_cloud</vt:lpwstr>
  </property>
</Properties>
</file>