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hint="default" w:ascii="Times New Roman" w:hAnsi="Times New Roman" w:eastAsia="方正小标宋_GBK" w:cs="Times New Roman"/>
          <w:color w:val="000000"/>
          <w:sz w:val="44"/>
          <w:szCs w:val="44"/>
          <w:shd w:val="clear" w:color="auto" w:fill="FFFFFF"/>
          <w:lang w:val="en-US" w:eastAsia="zh-CN"/>
        </w:rPr>
      </w:pPr>
    </w:p>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hint="default" w:ascii="Times New Roman" w:hAnsi="Times New Roman" w:eastAsia="方正小标宋_GBK" w:cs="Times New Roman"/>
          <w:color w:val="000000"/>
          <w:sz w:val="44"/>
          <w:szCs w:val="44"/>
          <w:shd w:val="clear" w:color="auto" w:fill="FFFFFF"/>
          <w:lang w:val="en-US" w:eastAsia="zh-CN"/>
        </w:rPr>
      </w:pPr>
    </w:p>
    <w:p>
      <w:pPr>
        <w:pStyle w:val="41"/>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42"/>
          <w:rFonts w:hint="default" w:ascii="Times New Roman" w:hAnsi="Times New Roman" w:eastAsia="方正小标宋_GBK" w:cs="Times New Roman"/>
          <w:b w:val="0"/>
          <w:bCs w:val="0"/>
          <w:i w:val="0"/>
          <w:iCs w:val="0"/>
          <w:smallCaps w:val="0"/>
          <w:strike w:val="0"/>
          <w:sz w:val="44"/>
          <w:szCs w:val="44"/>
          <w:highlight w:val="none"/>
        </w:rPr>
      </w:pPr>
      <w:r>
        <w:rPr>
          <w:rFonts w:hint="default" w:ascii="Times New Roman" w:hAnsi="Times New Roman" w:eastAsia="方正小标宋_GBK" w:cs="Times New Roman"/>
          <w:sz w:val="44"/>
          <w:szCs w:val="44"/>
          <w:highlight w:val="none"/>
          <w:lang w:eastAsia="zh-CN"/>
        </w:rPr>
        <w:t>关于印发</w:t>
      </w:r>
      <w:r>
        <w:rPr>
          <w:rStyle w:val="42"/>
          <w:rFonts w:hint="default" w:ascii="Times New Roman" w:hAnsi="Times New Roman" w:eastAsia="方正小标宋_GBK" w:cs="Times New Roman"/>
          <w:b w:val="0"/>
          <w:bCs w:val="0"/>
          <w:i w:val="0"/>
          <w:iCs w:val="0"/>
          <w:smallCaps w:val="0"/>
          <w:strike w:val="0"/>
          <w:sz w:val="44"/>
          <w:szCs w:val="44"/>
          <w:highlight w:val="none"/>
          <w:lang w:val="en-US" w:eastAsia="zh-CN"/>
        </w:rPr>
        <w:t>《重庆市</w:t>
      </w:r>
      <w:r>
        <w:rPr>
          <w:rStyle w:val="42"/>
          <w:rFonts w:hint="default" w:ascii="Times New Roman" w:hAnsi="Times New Roman" w:eastAsia="方正小标宋_GBK" w:cs="Times New Roman"/>
          <w:b w:val="0"/>
          <w:bCs w:val="0"/>
          <w:i w:val="0"/>
          <w:iCs w:val="0"/>
          <w:smallCaps w:val="0"/>
          <w:strike w:val="0"/>
          <w:sz w:val="44"/>
          <w:szCs w:val="44"/>
          <w:highlight w:val="none"/>
          <w:lang w:val="en-US"/>
        </w:rPr>
        <w:t>万州区</w:t>
      </w:r>
      <w:r>
        <w:rPr>
          <w:rStyle w:val="42"/>
          <w:rFonts w:hint="default" w:ascii="Times New Roman" w:hAnsi="Times New Roman" w:eastAsia="方正小标宋_GBK" w:cs="Times New Roman"/>
          <w:b w:val="0"/>
          <w:bCs w:val="0"/>
          <w:i w:val="0"/>
          <w:iCs w:val="0"/>
          <w:smallCaps w:val="0"/>
          <w:strike w:val="0"/>
          <w:sz w:val="44"/>
          <w:szCs w:val="44"/>
          <w:highlight w:val="none"/>
        </w:rPr>
        <w:t>农业保险保费补贴</w:t>
      </w:r>
    </w:p>
    <w:p>
      <w:pPr>
        <w:pStyle w:val="41"/>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sz w:val="44"/>
          <w:szCs w:val="44"/>
          <w:shd w:val="clear" w:color="auto" w:fill="FFFFFF"/>
          <w:lang w:val="en-US" w:eastAsia="zh-CN"/>
        </w:rPr>
      </w:pPr>
      <w:r>
        <w:rPr>
          <w:rStyle w:val="42"/>
          <w:rFonts w:hint="default" w:ascii="Times New Roman" w:hAnsi="Times New Roman" w:eastAsia="方正小标宋_GBK" w:cs="Times New Roman"/>
          <w:b w:val="0"/>
          <w:bCs w:val="0"/>
          <w:i w:val="0"/>
          <w:iCs w:val="0"/>
          <w:smallCaps w:val="0"/>
          <w:strike w:val="0"/>
          <w:sz w:val="44"/>
          <w:szCs w:val="44"/>
          <w:highlight w:val="none"/>
        </w:rPr>
        <w:t>管理办法》的通知</w:t>
      </w:r>
    </w:p>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万州财规﹝2023﹞1号</w:t>
      </w:r>
    </w:p>
    <w:p>
      <w:pPr>
        <w:autoSpaceDE w:val="0"/>
        <w:spacing w:line="600" w:lineRule="exact"/>
        <w:jc w:val="center"/>
        <w:rPr>
          <w:rFonts w:hint="default" w:ascii="Times New Roman" w:hAnsi="Times New Roman" w:eastAsia="方正仿宋_GBK" w:cs="Times New Roman"/>
          <w:color w:val="000000"/>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rPr>
      </w:pPr>
      <w:r>
        <w:rPr>
          <w:rFonts w:hint="default" w:ascii="Times New Roman" w:hAnsi="Times New Roman" w:eastAsia="方正仿宋_GBK" w:cs="Times New Roman"/>
          <w:i w:val="0"/>
          <w:caps w:val="0"/>
          <w:color w:val="auto"/>
          <w:spacing w:val="0"/>
          <w:kern w:val="0"/>
          <w:sz w:val="32"/>
          <w:szCs w:val="32"/>
          <w:shd w:val="clear" w:color="auto" w:fill="FFFFFF"/>
        </w:rPr>
        <w:t>各镇乡（民族乡）人民政府，各街道办事处，区</w:t>
      </w:r>
      <w:r>
        <w:rPr>
          <w:rFonts w:hint="default" w:ascii="Times New Roman" w:hAnsi="Times New Roman" w:eastAsia="方正仿宋_GBK" w:cs="Times New Roman"/>
          <w:i w:val="0"/>
          <w:caps w:val="0"/>
          <w:color w:val="auto"/>
          <w:spacing w:val="0"/>
          <w:kern w:val="0"/>
          <w:sz w:val="32"/>
          <w:szCs w:val="32"/>
          <w:shd w:val="clear" w:color="auto" w:fill="FFFFFF"/>
          <w:lang w:eastAsia="zh-CN"/>
        </w:rPr>
        <w:t>级有关</w:t>
      </w:r>
      <w:r>
        <w:rPr>
          <w:rFonts w:hint="default" w:ascii="Times New Roman" w:hAnsi="Times New Roman" w:eastAsia="方正仿宋_GBK" w:cs="Times New Roman"/>
          <w:i w:val="0"/>
          <w:caps w:val="0"/>
          <w:color w:val="auto"/>
          <w:spacing w:val="0"/>
          <w:kern w:val="0"/>
          <w:sz w:val="32"/>
          <w:szCs w:val="32"/>
          <w:shd w:val="clear" w:color="auto" w:fill="FFFFFF"/>
        </w:rPr>
        <w:t>部门，有关</w:t>
      </w:r>
      <w:r>
        <w:rPr>
          <w:rFonts w:hint="default" w:ascii="Times New Roman" w:hAnsi="Times New Roman" w:eastAsia="方正仿宋_GBK" w:cs="Times New Roman"/>
          <w:i w:val="0"/>
          <w:caps w:val="0"/>
          <w:color w:val="auto"/>
          <w:spacing w:val="0"/>
          <w:kern w:val="0"/>
          <w:sz w:val="32"/>
          <w:szCs w:val="32"/>
          <w:shd w:val="clear" w:color="auto" w:fill="FFFFFF"/>
          <w:lang w:eastAsia="zh-CN"/>
        </w:rPr>
        <w:t>保险公司</w:t>
      </w:r>
      <w:r>
        <w:rPr>
          <w:rFonts w:hint="default" w:ascii="Times New Roman" w:hAnsi="Times New Roman" w:eastAsia="方正仿宋_GBK" w:cs="Times New Roman"/>
          <w:i w:val="0"/>
          <w:caps w:val="0"/>
          <w:color w:val="auto"/>
          <w:spacing w:val="0"/>
          <w:kern w:val="0"/>
          <w:sz w:val="32"/>
          <w:szCs w:val="32"/>
          <w:shd w:val="clear" w:color="auto" w:fill="FFFFFF"/>
        </w:rPr>
        <w:t>：</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eastAsia="zh-CN"/>
        </w:rPr>
      </w:pPr>
      <w:r>
        <w:rPr>
          <w:rStyle w:val="44"/>
          <w:rFonts w:hint="default" w:ascii="Times New Roman" w:hAnsi="Times New Roman" w:eastAsia="方正仿宋_GBK" w:cs="Times New Roman"/>
          <w:b w:val="0"/>
          <w:bCs w:val="0"/>
          <w:i w:val="0"/>
          <w:iCs w:val="0"/>
          <w:smallCaps w:val="0"/>
          <w:strike w:val="0"/>
          <w:sz w:val="32"/>
          <w:szCs w:val="32"/>
          <w:highlight w:val="none"/>
        </w:rPr>
        <w:t>为加强农业保险保费补贴资金管理，筑牢农业生产风险屏障，助力乡村振兴，按照重庆市财政局要求，结合我区实际，我们修订形成了《</w:t>
      </w:r>
      <w:r>
        <w:rPr>
          <w:rStyle w:val="42"/>
          <w:rFonts w:hint="default" w:ascii="Times New Roman" w:hAnsi="Times New Roman" w:eastAsia="方正仿宋_GBK" w:cs="Times New Roman"/>
          <w:b w:val="0"/>
          <w:bCs w:val="0"/>
          <w:i w:val="0"/>
          <w:iCs w:val="0"/>
          <w:smallCaps w:val="0"/>
          <w:strike w:val="0"/>
          <w:sz w:val="32"/>
          <w:szCs w:val="32"/>
          <w:highlight w:val="none"/>
        </w:rPr>
        <w:t>重庆市</w:t>
      </w:r>
      <w:r>
        <w:rPr>
          <w:rStyle w:val="42"/>
          <w:rFonts w:hint="default" w:ascii="Times New Roman" w:hAnsi="Times New Roman" w:eastAsia="方正仿宋_GBK" w:cs="Times New Roman"/>
          <w:b w:val="0"/>
          <w:bCs w:val="0"/>
          <w:i w:val="0"/>
          <w:iCs w:val="0"/>
          <w:smallCaps w:val="0"/>
          <w:strike w:val="0"/>
          <w:sz w:val="32"/>
          <w:szCs w:val="32"/>
          <w:highlight w:val="none"/>
          <w:lang w:val="en-US"/>
        </w:rPr>
        <w:t>万州区</w:t>
      </w:r>
      <w:r>
        <w:rPr>
          <w:rStyle w:val="42"/>
          <w:rFonts w:hint="default" w:ascii="Times New Roman" w:hAnsi="Times New Roman" w:eastAsia="方正仿宋_GBK" w:cs="Times New Roman"/>
          <w:b w:val="0"/>
          <w:bCs w:val="0"/>
          <w:i w:val="0"/>
          <w:iCs w:val="0"/>
          <w:smallCaps w:val="0"/>
          <w:strike w:val="0"/>
          <w:sz w:val="32"/>
          <w:szCs w:val="32"/>
          <w:highlight w:val="none"/>
        </w:rPr>
        <w:t>农业保险保费补贴管理办法</w:t>
      </w:r>
      <w:r>
        <w:rPr>
          <w:rStyle w:val="44"/>
          <w:rFonts w:hint="default" w:ascii="Times New Roman" w:hAnsi="Times New Roman" w:eastAsia="方正仿宋_GBK" w:cs="Times New Roman"/>
          <w:b w:val="0"/>
          <w:bCs w:val="0"/>
          <w:i w:val="0"/>
          <w:iCs w:val="0"/>
          <w:smallCaps w:val="0"/>
          <w:strike w:val="0"/>
          <w:sz w:val="32"/>
          <w:szCs w:val="32"/>
          <w:highlight w:val="none"/>
        </w:rPr>
        <w:t>》。</w:t>
      </w:r>
      <w:r>
        <w:rPr>
          <w:rFonts w:hint="default" w:ascii="Times New Roman" w:hAnsi="Times New Roman" w:eastAsia="方正仿宋_GBK" w:cs="Times New Roman"/>
          <w:i w:val="0"/>
          <w:caps w:val="0"/>
          <w:color w:val="auto"/>
          <w:spacing w:val="0"/>
          <w:kern w:val="0"/>
          <w:sz w:val="32"/>
          <w:szCs w:val="32"/>
          <w:shd w:val="clear" w:color="auto" w:fill="FFFFFF"/>
          <w:lang w:eastAsia="zh-CN"/>
        </w:rPr>
        <w:t>现印发给你们，请遵照执行。</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附件：</w:t>
      </w:r>
      <w:r>
        <w:rPr>
          <w:rStyle w:val="42"/>
          <w:rFonts w:hint="default" w:ascii="Times New Roman" w:hAnsi="Times New Roman" w:eastAsia="方正仿宋_GBK" w:cs="Times New Roman"/>
          <w:b w:val="0"/>
          <w:bCs w:val="0"/>
          <w:i w:val="0"/>
          <w:iCs w:val="0"/>
          <w:smallCaps w:val="0"/>
          <w:strike w:val="0"/>
          <w:sz w:val="32"/>
          <w:szCs w:val="32"/>
          <w:highlight w:val="none"/>
        </w:rPr>
        <w:t>重庆市</w:t>
      </w:r>
      <w:r>
        <w:rPr>
          <w:rStyle w:val="42"/>
          <w:rFonts w:hint="default" w:ascii="Times New Roman" w:hAnsi="Times New Roman" w:eastAsia="方正仿宋_GBK" w:cs="Times New Roman"/>
          <w:b w:val="0"/>
          <w:bCs w:val="0"/>
          <w:i w:val="0"/>
          <w:iCs w:val="0"/>
          <w:smallCaps w:val="0"/>
          <w:strike w:val="0"/>
          <w:sz w:val="32"/>
          <w:szCs w:val="32"/>
          <w:highlight w:val="none"/>
          <w:lang w:val="en-US"/>
        </w:rPr>
        <w:t>万州区</w:t>
      </w:r>
      <w:r>
        <w:rPr>
          <w:rStyle w:val="42"/>
          <w:rFonts w:hint="default" w:ascii="Times New Roman" w:hAnsi="Times New Roman" w:eastAsia="方正仿宋_GBK" w:cs="Times New Roman"/>
          <w:b w:val="0"/>
          <w:bCs w:val="0"/>
          <w:i w:val="0"/>
          <w:iCs w:val="0"/>
          <w:smallCaps w:val="0"/>
          <w:strike w:val="0"/>
          <w:sz w:val="32"/>
          <w:szCs w:val="32"/>
          <w:highlight w:val="none"/>
        </w:rPr>
        <w:t>农业保险保费补贴管理办</w:t>
      </w:r>
      <w:r>
        <w:rPr>
          <w:rStyle w:val="42"/>
          <w:rFonts w:hint="default" w:ascii="Times New Roman" w:hAnsi="Times New Roman" w:eastAsia="方正仿宋_GBK" w:cs="Times New Roman"/>
          <w:b w:val="0"/>
          <w:bCs w:val="0"/>
          <w:i w:val="0"/>
          <w:iCs w:val="0"/>
          <w:smallCaps w:val="0"/>
          <w:strike w:val="0"/>
          <w:sz w:val="32"/>
          <w:szCs w:val="32"/>
          <w:highlight w:val="none"/>
          <w:lang w:val="en-US"/>
        </w:rPr>
        <w:t>法</w:t>
      </w:r>
    </w:p>
    <w:p>
      <w:pPr>
        <w:keepNext w:val="0"/>
        <w:keepLines w:val="0"/>
        <w:pageBreakBefore w:val="0"/>
        <w:widowControl w:val="0"/>
        <w:kinsoku/>
        <w:overflowPunct/>
        <w:topLinePunct w:val="0"/>
        <w:autoSpaceDE w:val="0"/>
        <w:autoSpaceDN/>
        <w:bidi w:val="0"/>
        <w:adjustRightInd/>
        <w:snapToGrid/>
        <w:spacing w:line="600" w:lineRule="exact"/>
        <w:jc w:val="right"/>
        <w:textAlignment w:val="auto"/>
        <w:rPr>
          <w:rFonts w:hint="default" w:ascii="Times New Roman" w:hAnsi="Times New Roman" w:eastAsia="方正仿宋_GBK" w:cs="Times New Roman"/>
          <w:color w:val="000000"/>
          <w:sz w:val="32"/>
          <w:szCs w:val="32"/>
          <w:shd w:val="clear" w:color="auto" w:fill="FFFFFF"/>
          <w:lang w:val="en-US" w:eastAsia="zh-CN"/>
        </w:rPr>
      </w:pPr>
    </w:p>
    <w:p>
      <w:pPr>
        <w:keepNext w:val="0"/>
        <w:keepLines w:val="0"/>
        <w:pageBreakBefore w:val="0"/>
        <w:widowControl w:val="0"/>
        <w:kinsoku/>
        <w:wordWrap w:val="0"/>
        <w:overflowPunct/>
        <w:topLinePunct w:val="0"/>
        <w:autoSpaceDE w:val="0"/>
        <w:autoSpaceDN/>
        <w:bidi w:val="0"/>
        <w:adjustRightInd/>
        <w:snapToGrid/>
        <w:spacing w:line="600" w:lineRule="exact"/>
        <w:ind w:firstLine="5120" w:firstLineChars="1600"/>
        <w:jc w:val="right"/>
        <w:textAlignment w:val="auto"/>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 xml:space="preserve">重庆市万州区财政局    </w:t>
      </w:r>
    </w:p>
    <w:p>
      <w:pPr>
        <w:keepNext w:val="0"/>
        <w:keepLines w:val="0"/>
        <w:pageBreakBefore w:val="0"/>
        <w:widowControl w:val="0"/>
        <w:kinsoku/>
        <w:wordWrap w:val="0"/>
        <w:overflowPunct/>
        <w:topLinePunct w:val="0"/>
        <w:autoSpaceDE w:val="0"/>
        <w:autoSpaceDN/>
        <w:bidi w:val="0"/>
        <w:adjustRightInd/>
        <w:snapToGrid/>
        <w:spacing w:line="600" w:lineRule="exact"/>
        <w:ind w:firstLine="3840" w:firstLineChars="1200"/>
        <w:jc w:val="right"/>
        <w:textAlignment w:val="auto"/>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 xml:space="preserve">重庆市万州区农业农村委员会    </w:t>
      </w:r>
    </w:p>
    <w:p>
      <w:pPr>
        <w:keepNext w:val="0"/>
        <w:keepLines w:val="0"/>
        <w:pageBreakBefore w:val="0"/>
        <w:widowControl w:val="0"/>
        <w:kinsoku/>
        <w:wordWrap w:val="0"/>
        <w:overflowPunct/>
        <w:topLinePunct w:val="0"/>
        <w:autoSpaceDE w:val="0"/>
        <w:autoSpaceDN/>
        <w:bidi w:val="0"/>
        <w:adjustRightInd/>
        <w:snapToGrid/>
        <w:spacing w:line="600" w:lineRule="exact"/>
        <w:ind w:firstLine="5120" w:firstLineChars="1600"/>
        <w:jc w:val="right"/>
        <w:textAlignment w:val="auto"/>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 xml:space="preserve">重庆市万州区林业局    </w:t>
      </w:r>
    </w:p>
    <w:p>
      <w:pPr>
        <w:keepNext w:val="0"/>
        <w:keepLines w:val="0"/>
        <w:pageBreakBefore w:val="0"/>
        <w:widowControl w:val="0"/>
        <w:kinsoku/>
        <w:wordWrap w:val="0"/>
        <w:overflowPunct/>
        <w:topLinePunct w:val="0"/>
        <w:autoSpaceDE w:val="0"/>
        <w:autoSpaceDN/>
        <w:bidi w:val="0"/>
        <w:adjustRightInd/>
        <w:snapToGrid/>
        <w:spacing w:line="600" w:lineRule="exact"/>
        <w:ind w:firstLine="1920" w:firstLineChars="600"/>
        <w:jc w:val="right"/>
        <w:textAlignment w:val="auto"/>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 xml:space="preserve">中国银行保险监督管理委员会万州监管分局    </w:t>
      </w:r>
    </w:p>
    <w:p>
      <w:pPr>
        <w:keepNext w:val="0"/>
        <w:keepLines w:val="0"/>
        <w:pageBreakBefore w:val="0"/>
        <w:widowControl w:val="0"/>
        <w:kinsoku/>
        <w:wordWrap w:val="0"/>
        <w:overflowPunct/>
        <w:topLinePunct w:val="0"/>
        <w:autoSpaceDE w:val="0"/>
        <w:autoSpaceDN/>
        <w:bidi w:val="0"/>
        <w:adjustRightInd/>
        <w:snapToGrid/>
        <w:spacing w:line="600" w:lineRule="exact"/>
        <w:ind w:firstLine="3840" w:firstLineChars="1200"/>
        <w:jc w:val="right"/>
        <w:textAlignment w:val="auto"/>
        <w:rPr>
          <w:rFonts w:hint="default" w:ascii="Times New Roman" w:hAnsi="Times New Roman"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 xml:space="preserve"> 重庆市万州区金融工作办公室                           2023年3月3日      </w:t>
      </w:r>
      <w:r>
        <w:rPr>
          <w:rFonts w:hint="default" w:ascii="Times New Roman" w:hAnsi="Times New Roman" w:cs="Times New Roman"/>
          <w:color w:val="000000"/>
          <w:sz w:val="32"/>
          <w:szCs w:val="32"/>
          <w:shd w:val="clear" w:color="auto" w:fill="FFFFFF"/>
          <w:lang w:val="en-US" w:eastAsia="zh-CN"/>
        </w:rPr>
        <w:t xml:space="preserve"> </w:t>
      </w:r>
    </w:p>
    <w:p>
      <w:pPr>
        <w:keepNext w:val="0"/>
        <w:keepLines w:val="0"/>
        <w:pageBreakBefore w:val="0"/>
        <w:widowControl w:val="0"/>
        <w:kinsoku/>
        <w:overflowPunct/>
        <w:topLinePunct w:val="0"/>
        <w:autoSpaceDE w:val="0"/>
        <w:autoSpaceDN/>
        <w:bidi w:val="0"/>
        <w:adjustRightInd/>
        <w:snapToGrid/>
        <w:spacing w:line="600" w:lineRule="exact"/>
        <w:ind w:firstLine="640" w:firstLineChars="200"/>
        <w:jc w:val="both"/>
        <w:textAlignment w:val="auto"/>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（此件公开发布）</w:t>
      </w:r>
    </w:p>
    <w:p>
      <w:pPr>
        <w:pStyle w:val="43"/>
        <w:keepNext/>
        <w:keepLines/>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880" w:firstLineChars="200"/>
        <w:jc w:val="both"/>
        <w:textAlignment w:val="auto"/>
        <w:rPr>
          <w:rStyle w:val="42"/>
          <w:rFonts w:hint="default" w:ascii="Times New Roman" w:hAnsi="Times New Roman" w:eastAsia="方正小标宋_GBK" w:cs="Times New Roman"/>
          <w:b w:val="0"/>
          <w:bCs w:val="0"/>
          <w:i w:val="0"/>
          <w:iCs w:val="0"/>
          <w:smallCaps w:val="0"/>
          <w:strike w:val="0"/>
          <w:sz w:val="44"/>
          <w:szCs w:val="44"/>
          <w:highlight w:val="none"/>
        </w:rPr>
      </w:pPr>
    </w:p>
    <w:p>
      <w:pPr>
        <w:pStyle w:val="43"/>
        <w:keepNext/>
        <w:keepLines/>
        <w:pageBreakBefore w:val="0"/>
        <w:widowControl w:val="0"/>
        <w:shd w:val="clear" w:color="auto" w:fill="auto"/>
        <w:kinsoku/>
        <w:wordWrap/>
        <w:overflowPunct/>
        <w:topLinePunct w:val="0"/>
        <w:autoSpaceDE/>
        <w:autoSpaceDN/>
        <w:bidi w:val="0"/>
        <w:adjustRightInd/>
        <w:snapToGrid/>
        <w:spacing w:before="0" w:after="0" w:line="590" w:lineRule="exact"/>
        <w:ind w:right="0"/>
        <w:jc w:val="center"/>
        <w:textAlignment w:val="auto"/>
        <w:rPr>
          <w:rStyle w:val="42"/>
          <w:rFonts w:hint="default" w:ascii="Times New Roman" w:hAnsi="Times New Roman" w:eastAsia="方正小标宋_GBK" w:cs="Times New Roman"/>
          <w:b w:val="0"/>
          <w:bCs w:val="0"/>
          <w:i w:val="0"/>
          <w:iCs w:val="0"/>
          <w:smallCaps w:val="0"/>
          <w:strike w:val="0"/>
          <w:sz w:val="44"/>
          <w:szCs w:val="44"/>
          <w:highlight w:val="none"/>
        </w:rPr>
      </w:pPr>
      <w:r>
        <w:rPr>
          <w:rStyle w:val="42"/>
          <w:rFonts w:hint="default" w:ascii="Times New Roman" w:hAnsi="Times New Roman" w:eastAsia="方正小标宋_GBK" w:cs="Times New Roman"/>
          <w:b w:val="0"/>
          <w:bCs w:val="0"/>
          <w:i w:val="0"/>
          <w:iCs w:val="0"/>
          <w:smallCaps w:val="0"/>
          <w:strike w:val="0"/>
          <w:sz w:val="44"/>
          <w:szCs w:val="44"/>
          <w:highlight w:val="none"/>
        </w:rPr>
        <w:t>重庆市</w:t>
      </w:r>
      <w:r>
        <w:rPr>
          <w:rStyle w:val="42"/>
          <w:rFonts w:hint="default" w:ascii="Times New Roman" w:hAnsi="Times New Roman" w:eastAsia="方正小标宋_GBK" w:cs="Times New Roman"/>
          <w:b w:val="0"/>
          <w:bCs w:val="0"/>
          <w:i w:val="0"/>
          <w:iCs w:val="0"/>
          <w:smallCaps w:val="0"/>
          <w:strike w:val="0"/>
          <w:sz w:val="44"/>
          <w:szCs w:val="44"/>
          <w:highlight w:val="none"/>
          <w:lang w:val="en-US"/>
        </w:rPr>
        <w:t>万州区</w:t>
      </w:r>
      <w:r>
        <w:rPr>
          <w:rStyle w:val="42"/>
          <w:rFonts w:hint="default" w:ascii="Times New Roman" w:hAnsi="Times New Roman" w:eastAsia="方正小标宋_GBK" w:cs="Times New Roman"/>
          <w:b w:val="0"/>
          <w:bCs w:val="0"/>
          <w:i w:val="0"/>
          <w:iCs w:val="0"/>
          <w:smallCaps w:val="0"/>
          <w:strike w:val="0"/>
          <w:sz w:val="44"/>
          <w:szCs w:val="44"/>
          <w:highlight w:val="none"/>
        </w:rPr>
        <w:t>农业保险保费补贴管理办法</w:t>
      </w:r>
    </w:p>
    <w:p>
      <w:pPr>
        <w:pStyle w:val="46"/>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640" w:firstLineChars="200"/>
        <w:jc w:val="both"/>
        <w:textAlignment w:val="auto"/>
        <w:rPr>
          <w:rStyle w:val="47"/>
          <w:rFonts w:hint="default" w:ascii="Times New Roman" w:hAnsi="Times New Roman" w:eastAsia="方正黑体_GBK" w:cs="Times New Roman"/>
          <w:b w:val="0"/>
          <w:bCs w:val="0"/>
          <w:i w:val="0"/>
          <w:iCs w:val="0"/>
          <w:smallCaps w:val="0"/>
          <w:strike w:val="0"/>
          <w:sz w:val="32"/>
          <w:szCs w:val="32"/>
          <w:highlight w:val="none"/>
        </w:rPr>
      </w:pPr>
      <w:bookmarkStart w:id="0" w:name="bookmark7"/>
    </w:p>
    <w:p>
      <w:pPr>
        <w:pStyle w:val="46"/>
        <w:keepNext/>
        <w:keepLines/>
        <w:pageBreakBefore w:val="0"/>
        <w:widowControl w:val="0"/>
        <w:shd w:val="clear" w:color="auto" w:fill="auto"/>
        <w:kinsoku/>
        <w:wordWrap/>
        <w:overflowPunct/>
        <w:topLinePunct w:val="0"/>
        <w:autoSpaceDE/>
        <w:autoSpaceDN/>
        <w:bidi w:val="0"/>
        <w:adjustRightInd/>
        <w:snapToGrid/>
        <w:spacing w:before="0" w:after="0" w:line="570" w:lineRule="exact"/>
        <w:ind w:right="0"/>
        <w:jc w:val="center"/>
        <w:textAlignment w:val="auto"/>
        <w:rPr>
          <w:rStyle w:val="47"/>
          <w:rFonts w:hint="default" w:ascii="Times New Roman" w:hAnsi="Times New Roman" w:eastAsia="方正黑体_GBK" w:cs="Times New Roman"/>
          <w:b w:val="0"/>
          <w:bCs w:val="0"/>
          <w:i w:val="0"/>
          <w:iCs w:val="0"/>
          <w:smallCaps w:val="0"/>
          <w:strike w:val="0"/>
          <w:sz w:val="32"/>
          <w:szCs w:val="32"/>
          <w:highlight w:val="none"/>
        </w:rPr>
      </w:pPr>
      <w:r>
        <w:rPr>
          <w:rStyle w:val="47"/>
          <w:rFonts w:hint="default" w:ascii="Times New Roman" w:hAnsi="Times New Roman" w:eastAsia="方正黑体_GBK" w:cs="Times New Roman"/>
          <w:b w:val="0"/>
          <w:bCs w:val="0"/>
          <w:i w:val="0"/>
          <w:iCs w:val="0"/>
          <w:smallCaps w:val="0"/>
          <w:strike w:val="0"/>
          <w:sz w:val="32"/>
          <w:szCs w:val="32"/>
          <w:highlight w:val="none"/>
        </w:rPr>
        <w:t>第一章</w:t>
      </w:r>
      <w:r>
        <w:rPr>
          <w:rStyle w:val="47"/>
          <w:rFonts w:hint="default" w:ascii="Times New Roman" w:hAnsi="Times New Roman" w:eastAsia="方正黑体_GBK" w:cs="Times New Roman"/>
          <w:b w:val="0"/>
          <w:bCs w:val="0"/>
          <w:i w:val="0"/>
          <w:iCs w:val="0"/>
          <w:smallCaps w:val="0"/>
          <w:strike w:val="0"/>
          <w:sz w:val="32"/>
          <w:szCs w:val="32"/>
          <w:highlight w:val="none"/>
          <w:lang w:val="en-US"/>
        </w:rPr>
        <w:t xml:space="preserve">  </w:t>
      </w:r>
      <w:r>
        <w:rPr>
          <w:rStyle w:val="47"/>
          <w:rFonts w:hint="default" w:ascii="Times New Roman" w:hAnsi="Times New Roman" w:eastAsia="方正黑体_GBK" w:cs="Times New Roman"/>
          <w:b w:val="0"/>
          <w:bCs w:val="0"/>
          <w:i w:val="0"/>
          <w:iCs w:val="0"/>
          <w:smallCaps w:val="0"/>
          <w:strike w:val="0"/>
          <w:sz w:val="32"/>
          <w:szCs w:val="32"/>
          <w:highlight w:val="none"/>
        </w:rPr>
        <w:t>总则</w:t>
      </w:r>
      <w:bookmarkEnd w:id="0"/>
    </w:p>
    <w:p>
      <w:pPr>
        <w:pStyle w:val="46"/>
        <w:keepNext/>
        <w:keepLines/>
        <w:pageBreakBefore w:val="0"/>
        <w:widowControl w:val="0"/>
        <w:shd w:val="clear" w:color="auto" w:fill="auto"/>
        <w:kinsoku/>
        <w:wordWrap/>
        <w:overflowPunct/>
        <w:topLinePunct w:val="0"/>
        <w:autoSpaceDE/>
        <w:autoSpaceDN/>
        <w:bidi w:val="0"/>
        <w:adjustRightInd/>
        <w:snapToGrid/>
        <w:spacing w:before="0" w:after="0" w:line="570" w:lineRule="exact"/>
        <w:ind w:right="0" w:firstLine="640" w:firstLineChars="200"/>
        <w:jc w:val="both"/>
        <w:textAlignment w:val="auto"/>
        <w:rPr>
          <w:rStyle w:val="44"/>
          <w:rFonts w:hint="default" w:ascii="Times New Roman" w:hAnsi="Times New Roman" w:cs="Times New Roman"/>
          <w:b w:val="0"/>
          <w:bCs w:val="0"/>
          <w:i w:val="0"/>
          <w:iCs w:val="0"/>
          <w:smallCaps w:val="0"/>
          <w:strike w:val="0"/>
          <w:highlight w:val="none"/>
          <w:lang w:val="en-US"/>
        </w:rPr>
      </w:pPr>
      <w:r>
        <w:rPr>
          <w:rStyle w:val="44"/>
          <w:rFonts w:hint="eastAsia" w:ascii="方正黑体_GBK" w:hAnsi="方正黑体_GBK" w:eastAsia="方正黑体_GBK" w:cs="方正黑体_GBK"/>
          <w:b w:val="0"/>
          <w:bCs w:val="0"/>
          <w:i w:val="0"/>
          <w:iCs w:val="0"/>
          <w:smallCaps w:val="0"/>
          <w:strike w:val="0"/>
          <w:sz w:val="32"/>
          <w:szCs w:val="32"/>
          <w:highlight w:val="none"/>
        </w:rPr>
        <w:t>第一条</w:t>
      </w:r>
      <w:r>
        <w:rPr>
          <w:rStyle w:val="44"/>
          <w:rFonts w:hint="default" w:ascii="Times New Roman" w:hAnsi="Times New Roman" w:eastAsia="方正黑体_GBK" w:cs="Times New Roman"/>
          <w:b/>
          <w:bCs/>
          <w:i w:val="0"/>
          <w:iCs w:val="0"/>
          <w:smallCaps w:val="0"/>
          <w:strike w:val="0"/>
          <w:highlight w:val="none"/>
          <w:lang w:val="en-US"/>
        </w:rPr>
        <w:t xml:space="preserve">  </w:t>
      </w:r>
      <w:r>
        <w:rPr>
          <w:rStyle w:val="44"/>
          <w:rFonts w:hint="default" w:ascii="Times New Roman" w:hAnsi="Times New Roman" w:eastAsia="方正仿宋_GBK" w:cs="Times New Roman"/>
          <w:b w:val="0"/>
          <w:bCs w:val="0"/>
          <w:i w:val="0"/>
          <w:iCs w:val="0"/>
          <w:smallCaps w:val="0"/>
          <w:strike w:val="0"/>
          <w:sz w:val="32"/>
          <w:szCs w:val="32"/>
          <w:highlight w:val="none"/>
        </w:rPr>
        <w:t>为加强农业保险保费补贴资金管理，筑牢农业生产风险屏障，助力乡村振兴，根据《</w:t>
      </w:r>
      <w:r>
        <w:rPr>
          <w:rStyle w:val="44"/>
          <w:rFonts w:hint="default" w:ascii="Times New Roman" w:hAnsi="Times New Roman" w:eastAsia="方正仿宋_GBK" w:cs="Times New Roman"/>
          <w:b w:val="0"/>
          <w:bCs w:val="0"/>
          <w:i w:val="0"/>
          <w:iCs w:val="0"/>
          <w:smallCaps w:val="0"/>
          <w:strike w:val="0"/>
          <w:sz w:val="32"/>
          <w:szCs w:val="32"/>
          <w:highlight w:val="none"/>
          <w:lang w:val="en-US"/>
        </w:rPr>
        <w:t>财政部</w:t>
      </w:r>
      <w:r>
        <w:rPr>
          <w:rStyle w:val="44"/>
          <w:rFonts w:hint="default" w:ascii="Times New Roman" w:hAnsi="Times New Roman" w:eastAsia="方正仿宋_GBK" w:cs="Times New Roman"/>
          <w:b w:val="0"/>
          <w:bCs w:val="0"/>
          <w:i w:val="0"/>
          <w:iCs w:val="0"/>
          <w:smallCaps w:val="0"/>
          <w:strike w:val="0"/>
          <w:sz w:val="32"/>
          <w:szCs w:val="32"/>
          <w:highlight w:val="none"/>
        </w:rPr>
        <w:t>关于印发</w:t>
      </w:r>
      <w:r>
        <w:rPr>
          <w:rStyle w:val="44"/>
          <w:rFonts w:hint="default" w:ascii="Times New Roman" w:hAnsi="Times New Roman" w:eastAsia="方正仿宋_GBK" w:cs="Times New Roman"/>
          <w:b w:val="0"/>
          <w:bCs w:val="0"/>
          <w:i w:val="0"/>
          <w:iCs w:val="0"/>
          <w:smallCaps w:val="0"/>
          <w:strike w:val="0"/>
          <w:sz w:val="32"/>
          <w:szCs w:val="32"/>
          <w:highlight w:val="none"/>
          <w:lang w:val="en-US"/>
        </w:rPr>
        <w:t>&lt;中央财政农业保险保费补贴管理办法&gt;的通知</w:t>
      </w:r>
      <w:r>
        <w:rPr>
          <w:rStyle w:val="44"/>
          <w:rFonts w:hint="default" w:ascii="Times New Roman" w:hAnsi="Times New Roman" w:eastAsia="方正仿宋_GBK" w:cs="Times New Roman"/>
          <w:b w:val="0"/>
          <w:bCs w:val="0"/>
          <w:i w:val="0"/>
          <w:iCs w:val="0"/>
          <w:smallCaps w:val="0"/>
          <w:strike w:val="0"/>
          <w:sz w:val="32"/>
          <w:szCs w:val="32"/>
          <w:highlight w:val="none"/>
        </w:rPr>
        <w:t>》（</w:t>
      </w:r>
      <w:r>
        <w:rPr>
          <w:rStyle w:val="44"/>
          <w:rFonts w:hint="default" w:ascii="Times New Roman" w:hAnsi="Times New Roman" w:eastAsia="方正仿宋_GBK" w:cs="Times New Roman"/>
          <w:b w:val="0"/>
          <w:bCs w:val="0"/>
          <w:i w:val="0"/>
          <w:iCs w:val="0"/>
          <w:smallCaps w:val="0"/>
          <w:strike w:val="0"/>
          <w:sz w:val="32"/>
          <w:szCs w:val="32"/>
          <w:highlight w:val="none"/>
          <w:lang w:val="en-US"/>
        </w:rPr>
        <w:t>财金</w:t>
      </w:r>
      <w:r>
        <w:rPr>
          <w:rFonts w:hint="default" w:ascii="Times New Roman" w:hAnsi="Times New Roman" w:eastAsia="方正仿宋_GBK" w:cs="Times New Roman"/>
          <w:b w:val="0"/>
          <w:bCs w:val="0"/>
          <w:color w:val="000000"/>
          <w:spacing w:val="20"/>
          <w:sz w:val="32"/>
          <w:szCs w:val="32"/>
          <w:highlight w:val="none"/>
        </w:rPr>
        <w:t>〔</w:t>
      </w:r>
      <w:r>
        <w:rPr>
          <w:rFonts w:hint="default" w:ascii="Times New Roman" w:hAnsi="Times New Roman" w:eastAsia="方正仿宋_GBK" w:cs="Times New Roman"/>
          <w:b w:val="0"/>
          <w:bCs w:val="0"/>
          <w:sz w:val="32"/>
          <w:szCs w:val="32"/>
          <w:highlight w:val="none"/>
        </w:rPr>
        <w:t>202</w:t>
      </w:r>
      <w:r>
        <w:rPr>
          <w:rFonts w:hint="default" w:ascii="Times New Roman" w:hAnsi="Times New Roman" w:eastAsia="方正仿宋_GBK" w:cs="Times New Roman"/>
          <w:b w:val="0"/>
          <w:bCs w:val="0"/>
          <w:sz w:val="32"/>
          <w:szCs w:val="32"/>
          <w:highlight w:val="none"/>
          <w:lang w:val="en-US" w:eastAsia="zh-CN"/>
        </w:rPr>
        <w:t>1</w:t>
      </w:r>
      <w:r>
        <w:rPr>
          <w:rFonts w:hint="default" w:ascii="Times New Roman" w:hAnsi="Times New Roman" w:eastAsia="方正仿宋_GBK" w:cs="Times New Roman"/>
          <w:b w:val="0"/>
          <w:bCs w:val="0"/>
          <w:color w:val="000000"/>
          <w:spacing w:val="20"/>
          <w:sz w:val="32"/>
          <w:szCs w:val="32"/>
          <w:highlight w:val="none"/>
        </w:rPr>
        <w:t>〕</w:t>
      </w:r>
      <w:r>
        <w:rPr>
          <w:rFonts w:hint="default" w:ascii="Times New Roman" w:hAnsi="Times New Roman" w:eastAsia="方正仿宋_GBK" w:cs="Times New Roman"/>
          <w:b w:val="0"/>
          <w:bCs w:val="0"/>
          <w:color w:val="000000"/>
          <w:spacing w:val="20"/>
          <w:sz w:val="32"/>
          <w:szCs w:val="32"/>
          <w:highlight w:val="none"/>
          <w:lang w:val="en-US" w:eastAsia="zh-CN"/>
        </w:rPr>
        <w:t>130</w:t>
      </w:r>
      <w:r>
        <w:rPr>
          <w:rStyle w:val="44"/>
          <w:rFonts w:hint="default" w:ascii="Times New Roman" w:hAnsi="Times New Roman" w:eastAsia="方正仿宋_GBK" w:cs="Times New Roman"/>
          <w:b w:val="0"/>
          <w:bCs w:val="0"/>
          <w:i w:val="0"/>
          <w:iCs w:val="0"/>
          <w:smallCaps w:val="0"/>
          <w:strike w:val="0"/>
          <w:sz w:val="32"/>
          <w:szCs w:val="32"/>
          <w:highlight w:val="none"/>
        </w:rPr>
        <w:t>号）、《重庆</w:t>
      </w:r>
      <w:r>
        <w:rPr>
          <w:rStyle w:val="44"/>
          <w:rFonts w:hint="default" w:ascii="Times New Roman" w:hAnsi="Times New Roman" w:eastAsia="方正仿宋_GBK" w:cs="Times New Roman"/>
          <w:b w:val="0"/>
          <w:bCs w:val="0"/>
          <w:i w:val="0"/>
          <w:iCs w:val="0"/>
          <w:smallCaps w:val="0"/>
          <w:strike w:val="0"/>
          <w:sz w:val="32"/>
          <w:szCs w:val="32"/>
          <w:highlight w:val="none"/>
          <w:lang w:val="en-US"/>
        </w:rPr>
        <w:t>市财政局</w:t>
      </w:r>
      <w:r>
        <w:rPr>
          <w:rStyle w:val="44"/>
          <w:rFonts w:hint="default" w:ascii="Times New Roman" w:hAnsi="Times New Roman" w:eastAsia="方正仿宋_GBK" w:cs="Times New Roman"/>
          <w:b w:val="0"/>
          <w:bCs w:val="0"/>
          <w:i w:val="0"/>
          <w:iCs w:val="0"/>
          <w:smallCaps w:val="0"/>
          <w:strike w:val="0"/>
          <w:sz w:val="32"/>
          <w:szCs w:val="32"/>
          <w:highlight w:val="none"/>
        </w:rPr>
        <w:t>关于印发</w:t>
      </w:r>
      <w:r>
        <w:rPr>
          <w:rStyle w:val="44"/>
          <w:rFonts w:hint="default" w:ascii="Times New Roman" w:hAnsi="Times New Roman" w:eastAsia="方正仿宋_GBK" w:cs="Times New Roman"/>
          <w:b w:val="0"/>
          <w:bCs w:val="0"/>
          <w:i w:val="0"/>
          <w:iCs w:val="0"/>
          <w:smallCaps w:val="0"/>
          <w:strike w:val="0"/>
          <w:sz w:val="32"/>
          <w:szCs w:val="32"/>
          <w:highlight w:val="none"/>
          <w:lang w:val="en-US"/>
        </w:rPr>
        <w:t>&lt;重庆市农业保险保费补贴管理办法&gt;的通知</w:t>
      </w:r>
      <w:r>
        <w:rPr>
          <w:rStyle w:val="44"/>
          <w:rFonts w:hint="default" w:ascii="Times New Roman" w:hAnsi="Times New Roman" w:eastAsia="方正仿宋_GBK" w:cs="Times New Roman"/>
          <w:b w:val="0"/>
          <w:bCs w:val="0"/>
          <w:i w:val="0"/>
          <w:iCs w:val="0"/>
          <w:smallCaps w:val="0"/>
          <w:strike w:val="0"/>
          <w:sz w:val="32"/>
          <w:szCs w:val="32"/>
          <w:highlight w:val="none"/>
        </w:rPr>
        <w:t>》（</w:t>
      </w:r>
      <w:r>
        <w:rPr>
          <w:rStyle w:val="44"/>
          <w:rFonts w:hint="default" w:ascii="Times New Roman" w:hAnsi="Times New Roman" w:eastAsia="方正仿宋_GBK" w:cs="Times New Roman"/>
          <w:b w:val="0"/>
          <w:bCs w:val="0"/>
          <w:i w:val="0"/>
          <w:iCs w:val="0"/>
          <w:smallCaps w:val="0"/>
          <w:strike w:val="0"/>
          <w:sz w:val="32"/>
          <w:szCs w:val="32"/>
          <w:highlight w:val="none"/>
          <w:lang w:val="en-US"/>
        </w:rPr>
        <w:t>渝财规</w:t>
      </w:r>
      <w:r>
        <w:rPr>
          <w:rFonts w:hint="default" w:ascii="Times New Roman" w:hAnsi="Times New Roman" w:eastAsia="方正仿宋_GBK" w:cs="Times New Roman"/>
          <w:b w:val="0"/>
          <w:bCs w:val="0"/>
          <w:color w:val="000000"/>
          <w:spacing w:val="20"/>
          <w:sz w:val="32"/>
          <w:szCs w:val="32"/>
          <w:highlight w:val="none"/>
        </w:rPr>
        <w:t>〔</w:t>
      </w:r>
      <w:r>
        <w:rPr>
          <w:rFonts w:hint="default" w:ascii="Times New Roman" w:hAnsi="Times New Roman" w:eastAsia="方正仿宋_GBK" w:cs="Times New Roman"/>
          <w:b w:val="0"/>
          <w:bCs w:val="0"/>
          <w:sz w:val="32"/>
          <w:szCs w:val="32"/>
          <w:highlight w:val="none"/>
        </w:rPr>
        <w:t>2022</w:t>
      </w:r>
      <w:r>
        <w:rPr>
          <w:rFonts w:hint="default" w:ascii="Times New Roman" w:hAnsi="Times New Roman" w:eastAsia="方正仿宋_GBK" w:cs="Times New Roman"/>
          <w:b w:val="0"/>
          <w:bCs w:val="0"/>
          <w:color w:val="000000"/>
          <w:spacing w:val="20"/>
          <w:sz w:val="32"/>
          <w:szCs w:val="32"/>
          <w:highlight w:val="none"/>
        </w:rPr>
        <w:t>〕</w:t>
      </w:r>
      <w:r>
        <w:rPr>
          <w:rStyle w:val="44"/>
          <w:rFonts w:hint="default" w:ascii="Times New Roman" w:hAnsi="Times New Roman" w:eastAsia="方正仿宋_GBK" w:cs="Times New Roman"/>
          <w:b w:val="0"/>
          <w:bCs w:val="0"/>
          <w:i w:val="0"/>
          <w:iCs w:val="0"/>
          <w:smallCaps w:val="0"/>
          <w:strike w:val="0"/>
          <w:sz w:val="32"/>
          <w:szCs w:val="32"/>
          <w:highlight w:val="none"/>
          <w:lang w:val="en-US" w:eastAsia="zh-CN" w:bidi="en-US"/>
        </w:rPr>
        <w:t>5</w:t>
      </w:r>
      <w:r>
        <w:rPr>
          <w:rStyle w:val="44"/>
          <w:rFonts w:hint="default" w:ascii="Times New Roman" w:hAnsi="Times New Roman" w:eastAsia="方正仿宋_GBK" w:cs="Times New Roman"/>
          <w:b w:val="0"/>
          <w:bCs w:val="0"/>
          <w:i w:val="0"/>
          <w:iCs w:val="0"/>
          <w:smallCaps w:val="0"/>
          <w:strike w:val="0"/>
          <w:sz w:val="32"/>
          <w:szCs w:val="32"/>
          <w:highlight w:val="none"/>
        </w:rPr>
        <w:t>号）等文件</w:t>
      </w:r>
      <w:r>
        <w:rPr>
          <w:rStyle w:val="44"/>
          <w:rFonts w:hint="default" w:ascii="Times New Roman" w:hAnsi="Times New Roman" w:eastAsia="方正仿宋_GBK" w:cs="Times New Roman"/>
          <w:b w:val="0"/>
          <w:bCs w:val="0"/>
          <w:i w:val="0"/>
          <w:iCs w:val="0"/>
          <w:smallCaps w:val="0"/>
          <w:strike w:val="0"/>
          <w:sz w:val="32"/>
          <w:szCs w:val="32"/>
          <w:highlight w:val="none"/>
          <w:lang w:val="en-US"/>
        </w:rPr>
        <w:t>精神</w:t>
      </w:r>
      <w:r>
        <w:rPr>
          <w:rStyle w:val="44"/>
          <w:rFonts w:hint="default" w:ascii="Times New Roman" w:hAnsi="Times New Roman" w:eastAsia="方正仿宋_GBK" w:cs="Times New Roman"/>
          <w:b w:val="0"/>
          <w:bCs w:val="0"/>
          <w:i w:val="0"/>
          <w:iCs w:val="0"/>
          <w:smallCaps w:val="0"/>
          <w:strike w:val="0"/>
          <w:sz w:val="32"/>
          <w:szCs w:val="32"/>
          <w:highlight w:val="none"/>
        </w:rPr>
        <w:t>，制定本办法。</w:t>
      </w:r>
      <w:r>
        <w:rPr>
          <w:rStyle w:val="44"/>
          <w:rFonts w:hint="default" w:ascii="Times New Roman" w:hAnsi="Times New Roman" w:cs="Times New Roman"/>
          <w:b w:val="0"/>
          <w:bCs w:val="0"/>
          <w:i w:val="0"/>
          <w:iCs w:val="0"/>
          <w:smallCaps w:val="0"/>
          <w:strike w:val="0"/>
          <w:highlight w:val="none"/>
          <w:lang w:val="en-US"/>
        </w:rPr>
        <w:t xml:space="preserve">  </w:t>
      </w:r>
    </w:p>
    <w:p>
      <w:pPr>
        <w:pStyle w:val="46"/>
        <w:keepNext/>
        <w:keepLines/>
        <w:pageBreakBefore w:val="0"/>
        <w:widowControl w:val="0"/>
        <w:shd w:val="clear" w:color="auto" w:fill="auto"/>
        <w:kinsoku/>
        <w:wordWrap/>
        <w:overflowPunct/>
        <w:topLinePunct w:val="0"/>
        <w:autoSpaceDE/>
        <w:autoSpaceDN/>
        <w:bidi w:val="0"/>
        <w:adjustRightInd/>
        <w:snapToGrid/>
        <w:spacing w:before="0" w:after="0" w:line="570" w:lineRule="exact"/>
        <w:ind w:right="0" w:firstLine="640" w:firstLineChars="200"/>
        <w:jc w:val="both"/>
        <w:textAlignment w:val="auto"/>
        <w:rPr>
          <w:rStyle w:val="44"/>
          <w:rFonts w:hint="default" w:ascii="Times New Roman" w:hAnsi="Times New Roman" w:eastAsia="方正仿宋_GBK" w:cs="Times New Roman"/>
          <w:b w:val="0"/>
          <w:bCs w:val="0"/>
          <w:i w:val="0"/>
          <w:iCs w:val="0"/>
          <w:smallCaps w:val="0"/>
          <w:strike w:val="0"/>
          <w:sz w:val="32"/>
          <w:szCs w:val="32"/>
          <w:highlight w:val="none"/>
        </w:rPr>
      </w:pPr>
      <w:r>
        <w:rPr>
          <w:rStyle w:val="44"/>
          <w:rFonts w:hint="default" w:ascii="方正黑体_GBK" w:hAnsi="方正黑体_GBK" w:eastAsia="方正黑体_GBK" w:cs="方正黑体_GBK"/>
          <w:b w:val="0"/>
          <w:bCs w:val="0"/>
          <w:i w:val="0"/>
          <w:iCs w:val="0"/>
          <w:smallCaps w:val="0"/>
          <w:strike w:val="0"/>
          <w:sz w:val="32"/>
          <w:szCs w:val="32"/>
          <w:highlight w:val="none"/>
          <w:lang w:val="en-US"/>
        </w:rPr>
        <w:t>第二条</w:t>
      </w:r>
      <w:r>
        <w:rPr>
          <w:rStyle w:val="44"/>
          <w:rFonts w:hint="default" w:ascii="Times New Roman" w:hAnsi="Times New Roman" w:eastAsia="方正仿宋_GBK" w:cs="Times New Roman"/>
          <w:b/>
          <w:bCs/>
          <w:i w:val="0"/>
          <w:iCs w:val="0"/>
          <w:smallCaps w:val="0"/>
          <w:strike w:val="0"/>
          <w:sz w:val="32"/>
          <w:szCs w:val="32"/>
          <w:highlight w:val="none"/>
          <w:lang w:val="en-US"/>
        </w:rPr>
        <w:t xml:space="preserve">  </w:t>
      </w:r>
      <w:r>
        <w:rPr>
          <w:rStyle w:val="44"/>
          <w:rFonts w:hint="default" w:ascii="Times New Roman" w:hAnsi="Times New Roman" w:eastAsia="方正仿宋_GBK" w:cs="Times New Roman"/>
          <w:b w:val="0"/>
          <w:bCs w:val="0"/>
          <w:i w:val="0"/>
          <w:iCs w:val="0"/>
          <w:smallCaps w:val="0"/>
          <w:strike w:val="0"/>
          <w:sz w:val="32"/>
          <w:szCs w:val="32"/>
          <w:highlight w:val="none"/>
        </w:rPr>
        <w:t>本办法所称保费补贴，是</w:t>
      </w:r>
      <w:r>
        <w:rPr>
          <w:rStyle w:val="44"/>
          <w:rFonts w:hint="default" w:ascii="Times New Roman" w:hAnsi="Times New Roman" w:eastAsia="方正仿宋_GBK" w:cs="Times New Roman"/>
          <w:b w:val="0"/>
          <w:bCs w:val="0"/>
          <w:i w:val="0"/>
          <w:iCs w:val="0"/>
          <w:smallCaps w:val="0"/>
          <w:strike w:val="0"/>
          <w:sz w:val="32"/>
          <w:szCs w:val="32"/>
          <w:highlight w:val="none"/>
          <w:lang w:val="en-US"/>
        </w:rPr>
        <w:t>指中央、市级、区级财政对</w:t>
      </w:r>
      <w:r>
        <w:rPr>
          <w:rStyle w:val="44"/>
          <w:rFonts w:hint="default" w:ascii="Times New Roman" w:hAnsi="Times New Roman" w:eastAsia="方正仿宋_GBK" w:cs="Times New Roman"/>
          <w:b w:val="0"/>
          <w:bCs w:val="0"/>
          <w:i w:val="0"/>
          <w:iCs w:val="0"/>
          <w:smallCaps w:val="0"/>
          <w:strike w:val="0"/>
          <w:sz w:val="32"/>
          <w:szCs w:val="32"/>
          <w:highlight w:val="none"/>
        </w:rPr>
        <w:t>政府引导有关农业保险经营机构（以下简称承保机构）开展符合条件的农业保险业务，按照保费的一定比例，为投保农户、农业生产经营组织等提供补贴。</w:t>
      </w:r>
    </w:p>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本办法所称承保机构，是指保险公司以及依法设立并开展农业保险业务的农业互助保险等保险组织。本办法所称农业生产经营组织，是指</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在本行政区域内从事农业生产经营并在本区农业保险经营机构办理相关财政保费补贴险种投保手续的</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农民专业合作社、农业企业以及其他农业生产经营组织。</w:t>
      </w:r>
    </w:p>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第三条</w:t>
      </w:r>
      <w:r>
        <w:rPr>
          <w:rStyle w:val="44"/>
          <w:rFonts w:hint="default" w:ascii="Times New Roman" w:hAnsi="Times New Roman" w:eastAsia="方正仿宋_GBK" w:cs="Times New Roman"/>
          <w:b/>
          <w:bCs/>
          <w:i w:val="0"/>
          <w:iCs w:val="0"/>
          <w:smallCaps w:val="0"/>
          <w:strike w:val="0"/>
          <w:color w:val="000000"/>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农业保险保费补贴工作坚持财政支持、分级负责、预算约束、政策协同、绩效导向、惠及农户的原则。</w:t>
      </w:r>
    </w:p>
    <w:p>
      <w:pPr>
        <w:pStyle w:val="46"/>
        <w:keepNext/>
        <w:keepLines/>
        <w:pageBreakBefore w:val="0"/>
        <w:widowControl w:val="0"/>
        <w:shd w:val="clear" w:color="auto" w:fill="auto"/>
        <w:kinsoku/>
        <w:wordWrap/>
        <w:overflowPunct/>
        <w:topLinePunct w:val="0"/>
        <w:autoSpaceDE/>
        <w:autoSpaceDN/>
        <w:bidi w:val="0"/>
        <w:adjustRightInd/>
        <w:snapToGrid/>
        <w:spacing w:before="0" w:after="0" w:line="570" w:lineRule="exact"/>
        <w:ind w:right="0"/>
        <w:jc w:val="center"/>
        <w:textAlignment w:val="auto"/>
        <w:rPr>
          <w:rStyle w:val="47"/>
          <w:rFonts w:hint="default" w:ascii="Times New Roman" w:hAnsi="Times New Roman" w:eastAsia="方正黑体_GBK" w:cs="Times New Roman"/>
          <w:b/>
          <w:bCs/>
          <w:i w:val="0"/>
          <w:iCs w:val="0"/>
          <w:smallCaps w:val="0"/>
          <w:strike w:val="0"/>
          <w:sz w:val="32"/>
          <w:szCs w:val="32"/>
          <w:highlight w:val="none"/>
          <w:lang w:val="en-US"/>
        </w:rPr>
      </w:pPr>
      <w:r>
        <w:rPr>
          <w:rStyle w:val="47"/>
          <w:rFonts w:hint="default" w:ascii="Times New Roman" w:hAnsi="Times New Roman" w:eastAsia="方正黑体_GBK" w:cs="Times New Roman"/>
          <w:b w:val="0"/>
          <w:bCs w:val="0"/>
          <w:i w:val="0"/>
          <w:iCs w:val="0"/>
          <w:smallCaps w:val="0"/>
          <w:strike w:val="0"/>
          <w:sz w:val="32"/>
          <w:szCs w:val="32"/>
          <w:highlight w:val="none"/>
        </w:rPr>
        <w:t>第</w:t>
      </w:r>
      <w:r>
        <w:rPr>
          <w:rStyle w:val="47"/>
          <w:rFonts w:hint="default" w:ascii="Times New Roman" w:hAnsi="Times New Roman" w:eastAsia="方正黑体_GBK" w:cs="Times New Roman"/>
          <w:b w:val="0"/>
          <w:bCs w:val="0"/>
          <w:i w:val="0"/>
          <w:iCs w:val="0"/>
          <w:smallCaps w:val="0"/>
          <w:strike w:val="0"/>
          <w:sz w:val="32"/>
          <w:szCs w:val="32"/>
          <w:highlight w:val="none"/>
          <w:lang w:val="en-US"/>
        </w:rPr>
        <w:t>二</w:t>
      </w:r>
      <w:r>
        <w:rPr>
          <w:rStyle w:val="47"/>
          <w:rFonts w:hint="default" w:ascii="Times New Roman" w:hAnsi="Times New Roman" w:eastAsia="方正黑体_GBK" w:cs="Times New Roman"/>
          <w:b w:val="0"/>
          <w:bCs w:val="0"/>
          <w:i w:val="0"/>
          <w:iCs w:val="0"/>
          <w:smallCaps w:val="0"/>
          <w:strike w:val="0"/>
          <w:sz w:val="32"/>
          <w:szCs w:val="32"/>
          <w:highlight w:val="none"/>
        </w:rPr>
        <w:t>章</w:t>
      </w:r>
      <w:r>
        <w:rPr>
          <w:rStyle w:val="47"/>
          <w:rFonts w:hint="default" w:ascii="Times New Roman" w:hAnsi="Times New Roman" w:eastAsia="方正黑体_GBK" w:cs="Times New Roman"/>
          <w:b w:val="0"/>
          <w:bCs w:val="0"/>
          <w:i w:val="0"/>
          <w:iCs w:val="0"/>
          <w:smallCaps w:val="0"/>
          <w:strike w:val="0"/>
          <w:sz w:val="32"/>
          <w:szCs w:val="32"/>
          <w:highlight w:val="none"/>
          <w:lang w:val="en-US"/>
        </w:rPr>
        <w:t xml:space="preserve">  补贴标准及范围</w:t>
      </w:r>
    </w:p>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第四条</w:t>
      </w:r>
      <w:r>
        <w:rPr>
          <w:rStyle w:val="44"/>
          <w:rFonts w:hint="default" w:ascii="Times New Roman" w:hAnsi="Times New Roman" w:cs="Times New Roman"/>
          <w:b/>
          <w:bCs/>
          <w:i w:val="0"/>
          <w:iCs w:val="0"/>
          <w:smallCaps w:val="0"/>
          <w:strike w:val="0"/>
          <w:highlight w:val="none"/>
          <w:lang w:val="en-US"/>
        </w:rPr>
        <w:t xml:space="preserve"> </w:t>
      </w:r>
      <w:r>
        <w:rPr>
          <w:rStyle w:val="44"/>
          <w:rFonts w:hint="default" w:ascii="Times New Roman" w:hAnsi="Times New Roman" w:cs="Times New Roman"/>
          <w:b/>
          <w:bCs/>
          <w:i w:val="0"/>
          <w:iCs w:val="0"/>
          <w:smallCaps w:val="0"/>
          <w:strike w:val="0"/>
          <w:sz w:val="32"/>
          <w:szCs w:val="32"/>
          <w:highlight w:val="none"/>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保费补贴资金支持的农业保险（以下简称补贴险种）标的为关系国计民生和粮食、生态安全的主要大宗农产品， 以及根据党中央、国务院、市委、市政府、区委、区政府有关要求明确的其他农产品。具体分为纳入中央财政保费补贴范围的保险品种（以下简称中央补贴险种）、纳入市级财政保费补贴范围的保险品种（以下简称市级补贴险种）</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以及仅由区级财政补贴的保险品种（</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以下简称</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区</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级补贴险种</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w:t>
      </w:r>
    </w:p>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第五条</w:t>
      </w:r>
      <w:r>
        <w:rPr>
          <w:rStyle w:val="44"/>
          <w:rFonts w:hint="default" w:ascii="Times New Roman" w:hAnsi="Times New Roman" w:cs="Times New Roman"/>
          <w:b/>
          <w:bCs/>
          <w:i w:val="0"/>
          <w:iCs w:val="0"/>
          <w:smallCaps w:val="0"/>
          <w:strike w:val="0"/>
          <w:highlight w:val="none"/>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补贴险种。</w:t>
      </w:r>
    </w:p>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640" w:firstLineChars="200"/>
        <w:jc w:val="both"/>
        <w:textAlignment w:val="auto"/>
        <w:rPr>
          <w:rStyle w:val="44"/>
          <w:rFonts w:hint="default" w:ascii="Times New Roman" w:hAnsi="Times New Roman" w:eastAsia="方正楷体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Times New Roman" w:hAnsi="Times New Roman" w:eastAsia="方正楷体_GBK" w:cs="Times New Roman"/>
          <w:b w:val="0"/>
          <w:bCs w:val="0"/>
          <w:i w:val="0"/>
          <w:iCs w:val="0"/>
          <w:smallCaps w:val="0"/>
          <w:strike w:val="0"/>
          <w:color w:val="000000"/>
          <w:spacing w:val="0"/>
          <w:w w:val="100"/>
          <w:position w:val="0"/>
          <w:sz w:val="32"/>
          <w:szCs w:val="32"/>
          <w:highlight w:val="none"/>
          <w:shd w:val="clear" w:color="auto" w:fill="auto"/>
        </w:rPr>
        <w:t>（</w:t>
      </w:r>
      <w:r>
        <w:rPr>
          <w:rStyle w:val="44"/>
          <w:rFonts w:hint="default" w:ascii="Times New Roman" w:hAnsi="Times New Roman" w:eastAsia="方正楷体_GBK" w:cs="Times New Roman"/>
          <w:b w:val="0"/>
          <w:bCs w:val="0"/>
          <w:i w:val="0"/>
          <w:iCs w:val="0"/>
          <w:smallCaps w:val="0"/>
          <w:strike w:val="0"/>
          <w:color w:val="000000"/>
          <w:spacing w:val="0"/>
          <w:w w:val="100"/>
          <w:position w:val="0"/>
          <w:sz w:val="32"/>
          <w:szCs w:val="32"/>
          <w:highlight w:val="none"/>
          <w:shd w:val="clear" w:color="auto" w:fill="auto"/>
          <w:lang w:val="en-US" w:eastAsia="en-US"/>
        </w:rPr>
        <w:t>一</w:t>
      </w:r>
      <w:r>
        <w:rPr>
          <w:rStyle w:val="44"/>
          <w:rFonts w:hint="default" w:ascii="Times New Roman" w:hAnsi="Times New Roman" w:eastAsia="方正楷体_GBK" w:cs="Times New Roman"/>
          <w:b w:val="0"/>
          <w:bCs w:val="0"/>
          <w:i w:val="0"/>
          <w:iCs w:val="0"/>
          <w:smallCaps w:val="0"/>
          <w:strike w:val="0"/>
          <w:color w:val="000000"/>
          <w:spacing w:val="0"/>
          <w:w w:val="100"/>
          <w:position w:val="0"/>
          <w:sz w:val="32"/>
          <w:szCs w:val="32"/>
          <w:highlight w:val="none"/>
          <w:shd w:val="clear" w:color="auto" w:fill="auto"/>
        </w:rPr>
        <w:t>）中央补贴险种。</w:t>
      </w:r>
    </w:p>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1</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.种植业：稻谷、小麦、玉米、油菜、马铃薯等直接物化成本保险；</w:t>
      </w:r>
    </w:p>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2</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.养殖业：能繁母猪、育肥猪等生产成本保险；</w:t>
      </w:r>
    </w:p>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eastAsia="en-US"/>
        </w:rPr>
        <w:t>3.</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林业：公益林、商品林等再植成本保险。</w:t>
      </w:r>
    </w:p>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640" w:firstLineChars="200"/>
        <w:jc w:val="both"/>
        <w:textAlignment w:val="auto"/>
        <w:rPr>
          <w:rStyle w:val="44"/>
          <w:rFonts w:hint="default" w:ascii="Times New Roman" w:hAnsi="Times New Roman" w:eastAsia="方正楷体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Times New Roman" w:hAnsi="Times New Roman" w:eastAsia="方正楷体_GBK" w:cs="Times New Roman"/>
          <w:b w:val="0"/>
          <w:bCs w:val="0"/>
          <w:i w:val="0"/>
          <w:iCs w:val="0"/>
          <w:smallCaps w:val="0"/>
          <w:strike w:val="0"/>
          <w:color w:val="000000"/>
          <w:spacing w:val="0"/>
          <w:w w:val="100"/>
          <w:position w:val="0"/>
          <w:sz w:val="32"/>
          <w:szCs w:val="32"/>
          <w:highlight w:val="none"/>
          <w:shd w:val="clear" w:color="auto" w:fill="auto"/>
        </w:rPr>
        <w:t>（二）市级补贴险种。</w:t>
      </w:r>
    </w:p>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1</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.柑橘成本保险、生猪收益保险，以及稻谷、玉米、马铃薯 完全成本补充保险；</w:t>
      </w:r>
    </w:p>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2</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.区县优势特色农产品保险，每个区县不超过</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eastAsia="en-US"/>
        </w:rPr>
        <w:t>5</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个险种；</w:t>
      </w:r>
    </w:p>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3</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.根据我市农业产业发展重点，市</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级</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确定的其他险种。</w:t>
      </w:r>
    </w:p>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640" w:firstLineChars="200"/>
        <w:jc w:val="both"/>
        <w:textAlignment w:val="auto"/>
        <w:rPr>
          <w:rStyle w:val="44"/>
          <w:rFonts w:hint="default" w:ascii="Times New Roman" w:hAnsi="Times New Roman" w:eastAsia="方正楷体_GBK" w:cs="Times New Roman"/>
          <w:b w:val="0"/>
          <w:bCs w:val="0"/>
          <w:i w:val="0"/>
          <w:iCs w:val="0"/>
          <w:smallCaps w:val="0"/>
          <w:strike w:val="0"/>
          <w:color w:val="000000"/>
          <w:spacing w:val="0"/>
          <w:w w:val="100"/>
          <w:position w:val="0"/>
          <w:sz w:val="32"/>
          <w:szCs w:val="32"/>
          <w:highlight w:val="none"/>
          <w:shd w:val="clear" w:color="auto" w:fill="auto"/>
          <w:lang w:val="en-US"/>
        </w:rPr>
      </w:pPr>
      <w:r>
        <w:rPr>
          <w:rStyle w:val="44"/>
          <w:rFonts w:hint="default" w:ascii="Times New Roman" w:hAnsi="Times New Roman" w:eastAsia="方正楷体_GBK" w:cs="Times New Roman"/>
          <w:b w:val="0"/>
          <w:bCs w:val="0"/>
          <w:i w:val="0"/>
          <w:iCs w:val="0"/>
          <w:smallCaps w:val="0"/>
          <w:strike w:val="0"/>
          <w:color w:val="000000"/>
          <w:spacing w:val="0"/>
          <w:w w:val="100"/>
          <w:position w:val="0"/>
          <w:sz w:val="32"/>
          <w:szCs w:val="32"/>
          <w:highlight w:val="none"/>
          <w:shd w:val="clear" w:color="auto" w:fill="auto"/>
        </w:rPr>
        <w:t>（</w:t>
      </w:r>
      <w:r>
        <w:rPr>
          <w:rStyle w:val="44"/>
          <w:rFonts w:hint="default" w:ascii="Times New Roman" w:hAnsi="Times New Roman" w:eastAsia="方正楷体_GBK" w:cs="Times New Roman"/>
          <w:b w:val="0"/>
          <w:bCs w:val="0"/>
          <w:i w:val="0"/>
          <w:iCs w:val="0"/>
          <w:smallCaps w:val="0"/>
          <w:strike w:val="0"/>
          <w:color w:val="000000"/>
          <w:spacing w:val="0"/>
          <w:w w:val="100"/>
          <w:position w:val="0"/>
          <w:sz w:val="32"/>
          <w:szCs w:val="32"/>
          <w:highlight w:val="none"/>
          <w:shd w:val="clear" w:color="auto" w:fill="auto"/>
          <w:lang w:val="en-US"/>
        </w:rPr>
        <w:t>三</w:t>
      </w:r>
      <w:r>
        <w:rPr>
          <w:rStyle w:val="44"/>
          <w:rFonts w:hint="default" w:ascii="Times New Roman" w:hAnsi="Times New Roman" w:eastAsia="方正楷体_GBK" w:cs="Times New Roman"/>
          <w:b w:val="0"/>
          <w:bCs w:val="0"/>
          <w:i w:val="0"/>
          <w:iCs w:val="0"/>
          <w:smallCaps w:val="0"/>
          <w:strike w:val="0"/>
          <w:color w:val="000000"/>
          <w:spacing w:val="0"/>
          <w:w w:val="100"/>
          <w:position w:val="0"/>
          <w:sz w:val="32"/>
          <w:szCs w:val="32"/>
          <w:highlight w:val="none"/>
          <w:shd w:val="clear" w:color="auto" w:fill="auto"/>
        </w:rPr>
        <w:t>）</w:t>
      </w:r>
      <w:r>
        <w:rPr>
          <w:rStyle w:val="44"/>
          <w:rFonts w:hint="default" w:ascii="Times New Roman" w:hAnsi="Times New Roman" w:eastAsia="方正楷体_GBK" w:cs="Times New Roman"/>
          <w:b w:val="0"/>
          <w:bCs w:val="0"/>
          <w:i w:val="0"/>
          <w:iCs w:val="0"/>
          <w:smallCaps w:val="0"/>
          <w:strike w:val="0"/>
          <w:color w:val="000000"/>
          <w:spacing w:val="0"/>
          <w:w w:val="100"/>
          <w:position w:val="0"/>
          <w:sz w:val="32"/>
          <w:szCs w:val="32"/>
          <w:highlight w:val="none"/>
          <w:shd w:val="clear" w:color="auto" w:fill="auto"/>
          <w:lang w:val="en-US"/>
        </w:rPr>
        <w:t>区级补贴险种</w:t>
      </w:r>
    </w:p>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1</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.种植业：</w:t>
      </w:r>
      <w:r>
        <w:rPr>
          <w:rFonts w:hint="default" w:ascii="Times New Roman" w:hAnsi="Times New Roman" w:eastAsia="方正仿宋_GBK" w:cs="Times New Roman"/>
          <w:color w:val="000000"/>
          <w:sz w:val="32"/>
          <w:szCs w:val="32"/>
          <w:highlight w:val="none"/>
          <w:shd w:val="clear" w:color="auto" w:fill="auto"/>
          <w:lang w:val="en-US" w:eastAsia="zh-CN"/>
        </w:rPr>
        <w:t>柑橘（柠檬）收益</w:t>
      </w:r>
      <w:r>
        <w:rPr>
          <w:rFonts w:hint="default" w:ascii="Times New Roman" w:hAnsi="Times New Roman" w:eastAsia="方正仿宋_GBK" w:cs="Times New Roman"/>
          <w:color w:val="000000"/>
          <w:sz w:val="32"/>
          <w:szCs w:val="32"/>
          <w:highlight w:val="none"/>
          <w:shd w:val="clear" w:color="auto" w:fill="auto"/>
          <w:lang w:eastAsia="zh-CN"/>
        </w:rPr>
        <w:t>、李子</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保险；</w:t>
      </w:r>
    </w:p>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eastAsia="zh-CN"/>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2</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.养殖业：</w:t>
      </w:r>
      <w:r>
        <w:rPr>
          <w:rFonts w:hint="default" w:ascii="Times New Roman" w:hAnsi="Times New Roman" w:eastAsia="方正仿宋_GBK" w:cs="Times New Roman"/>
          <w:color w:val="000000"/>
          <w:sz w:val="32"/>
          <w:szCs w:val="32"/>
          <w:highlight w:val="none"/>
          <w:shd w:val="clear" w:color="auto" w:fill="auto"/>
        </w:rPr>
        <w:t>家禽</w:t>
      </w:r>
      <w:r>
        <w:rPr>
          <w:rFonts w:hint="default" w:ascii="Times New Roman" w:hAnsi="Times New Roman" w:eastAsia="方正仿宋_GBK" w:cs="Times New Roman"/>
          <w:color w:val="000000"/>
          <w:sz w:val="32"/>
          <w:szCs w:val="32"/>
          <w:highlight w:val="none"/>
          <w:shd w:val="clear" w:color="auto" w:fill="auto"/>
          <w:lang w:eastAsia="zh-CN"/>
        </w:rPr>
        <w:t>（蛋鸡、肉鸡）、</w:t>
      </w:r>
      <w:r>
        <w:rPr>
          <w:rFonts w:hint="default" w:ascii="Times New Roman" w:hAnsi="Times New Roman" w:eastAsia="方正仿宋_GBK" w:cs="Times New Roman"/>
          <w:color w:val="000000"/>
          <w:sz w:val="32"/>
          <w:szCs w:val="32"/>
          <w:highlight w:val="none"/>
          <w:shd w:val="clear" w:color="auto" w:fill="auto"/>
        </w:rPr>
        <w:t>山羊</w:t>
      </w:r>
      <w:r>
        <w:rPr>
          <w:rFonts w:hint="default" w:ascii="Times New Roman" w:hAnsi="Times New Roman" w:eastAsia="方正仿宋_GBK" w:cs="Times New Roman"/>
          <w:color w:val="000000"/>
          <w:sz w:val="32"/>
          <w:szCs w:val="32"/>
          <w:highlight w:val="none"/>
          <w:shd w:val="clear" w:color="auto" w:fill="auto"/>
          <w:lang w:val="en-US" w:eastAsia="zh-CN"/>
        </w:rPr>
        <w:t>、</w:t>
      </w:r>
      <w:r>
        <w:rPr>
          <w:rFonts w:hint="default" w:ascii="Times New Roman" w:hAnsi="Times New Roman" w:eastAsia="方正仿宋_GBK" w:cs="Times New Roman"/>
          <w:color w:val="000000"/>
          <w:sz w:val="32"/>
          <w:szCs w:val="32"/>
          <w:highlight w:val="none"/>
          <w:shd w:val="clear" w:color="auto" w:fill="auto"/>
        </w:rPr>
        <w:t>渔业</w:t>
      </w:r>
      <w:r>
        <w:rPr>
          <w:rFonts w:hint="default" w:ascii="Times New Roman" w:hAnsi="Times New Roman" w:eastAsia="方正仿宋_GBK" w:cs="Times New Roman"/>
          <w:color w:val="000000"/>
          <w:sz w:val="32"/>
          <w:szCs w:val="32"/>
          <w:highlight w:val="none"/>
          <w:shd w:val="clear" w:color="auto" w:fill="auto"/>
          <w:lang w:val="en-US" w:eastAsia="zh-CN"/>
        </w:rPr>
        <w:t>保险。</w:t>
      </w:r>
    </w:p>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3.根据我区农林业产业发展状况，新增或减少区级优势特色产业保险险种由区财政局会同区农业农村委、区林业局形成一致意见后报区政府批准后执行。</w:t>
      </w:r>
    </w:p>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第六条</w:t>
      </w:r>
      <w:r>
        <w:rPr>
          <w:rStyle w:val="44"/>
          <w:rFonts w:hint="default" w:ascii="Times New Roman" w:hAnsi="Times New Roman" w:cs="Times New Roman"/>
          <w:b/>
          <w:bCs/>
          <w:i w:val="0"/>
          <w:iCs w:val="0"/>
          <w:smallCaps w:val="0"/>
          <w:strike w:val="0"/>
          <w:highlight w:val="none"/>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各级财政补贴标准（见下表）</w:t>
      </w:r>
      <w:bookmarkStart w:id="1" w:name="bookmark11"/>
    </w:p>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643" w:firstLineChars="200"/>
        <w:jc w:val="center"/>
        <w:textAlignment w:val="auto"/>
        <w:rPr>
          <w:rStyle w:val="44"/>
          <w:rFonts w:hint="default" w:ascii="Times New Roman" w:hAnsi="Times New Roman" w:eastAsia="方正仿宋_GBK" w:cs="Times New Roman"/>
          <w:b/>
          <w:bCs/>
          <w:i w:val="0"/>
          <w:iCs w:val="0"/>
          <w:smallCaps w:val="0"/>
          <w:strike w:val="0"/>
          <w:color w:val="000000"/>
          <w:spacing w:val="0"/>
          <w:w w:val="100"/>
          <w:position w:val="0"/>
          <w:sz w:val="32"/>
          <w:szCs w:val="32"/>
          <w:highlight w:val="none"/>
          <w:shd w:val="clear" w:color="auto" w:fill="auto"/>
        </w:rPr>
      </w:pPr>
      <w:r>
        <w:rPr>
          <w:rStyle w:val="44"/>
          <w:rFonts w:hint="default" w:ascii="Times New Roman" w:hAnsi="Times New Roman" w:eastAsia="方正仿宋_GBK" w:cs="Times New Roman"/>
          <w:b/>
          <w:bCs/>
          <w:i w:val="0"/>
          <w:iCs w:val="0"/>
          <w:smallCaps w:val="0"/>
          <w:strike w:val="0"/>
          <w:color w:val="000000"/>
          <w:spacing w:val="0"/>
          <w:w w:val="100"/>
          <w:position w:val="0"/>
          <w:sz w:val="32"/>
          <w:szCs w:val="32"/>
          <w:highlight w:val="none"/>
          <w:shd w:val="clear" w:color="auto" w:fill="auto"/>
        </w:rPr>
        <w:t>补贴险种保费承担比例表</w:t>
      </w:r>
      <w:bookmarkEnd w:id="1"/>
    </w:p>
    <w:tbl>
      <w:tblPr>
        <w:tblStyle w:val="11"/>
        <w:tblW w:w="8234" w:type="dxa"/>
        <w:jc w:val="center"/>
        <w:tblInd w:w="0" w:type="dxa"/>
        <w:tblLayout w:type="fixed"/>
        <w:tblCellMar>
          <w:top w:w="0" w:type="dxa"/>
          <w:left w:w="10" w:type="dxa"/>
          <w:bottom w:w="0" w:type="dxa"/>
          <w:right w:w="10" w:type="dxa"/>
        </w:tblCellMar>
      </w:tblPr>
      <w:tblGrid>
        <w:gridCol w:w="3792"/>
        <w:gridCol w:w="750"/>
        <w:gridCol w:w="663"/>
        <w:gridCol w:w="1555"/>
        <w:gridCol w:w="1474"/>
      </w:tblGrid>
      <w:tr>
        <w:tblPrEx>
          <w:tblLayout w:type="fixed"/>
          <w:tblCellMar>
            <w:top w:w="0" w:type="dxa"/>
            <w:left w:w="10" w:type="dxa"/>
            <w:bottom w:w="0" w:type="dxa"/>
            <w:right w:w="10" w:type="dxa"/>
          </w:tblCellMar>
        </w:tblPrEx>
        <w:trPr>
          <w:trHeight w:val="542" w:hRule="exact"/>
          <w:jc w:val="center"/>
        </w:trPr>
        <w:tc>
          <w:tcPr>
            <w:tcW w:w="3792" w:type="dxa"/>
            <w:vMerge w:val="restart"/>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560" w:firstLineChars="200"/>
              <w:jc w:val="both"/>
              <w:textAlignment w:val="auto"/>
              <w:rPr>
                <w:rStyle w:val="44"/>
                <w:rFonts w:hint="default" w:ascii="Times New Roman" w:hAnsi="Times New Roman" w:eastAsia="方正黑体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黑体_GBK" w:cs="Times New Roman"/>
                <w:b w:val="0"/>
                <w:bCs w:val="0"/>
                <w:i w:val="0"/>
                <w:iCs w:val="0"/>
                <w:smallCaps w:val="0"/>
                <w:strike w:val="0"/>
                <w:color w:val="000000"/>
                <w:spacing w:val="0"/>
                <w:w w:val="100"/>
                <w:position w:val="0"/>
                <w:sz w:val="28"/>
                <w:szCs w:val="28"/>
                <w:highlight w:val="none"/>
                <w:shd w:val="clear" w:color="auto" w:fill="auto"/>
                <w:lang w:val="zh-CN" w:eastAsia="zh-CN"/>
              </w:rPr>
              <w:t>险</w:t>
            </w:r>
            <w:r>
              <w:rPr>
                <w:rStyle w:val="44"/>
                <w:rFonts w:hint="default" w:ascii="Times New Roman" w:hAnsi="Times New Roman" w:eastAsia="方正黑体_GBK" w:cs="Times New Roman"/>
                <w:b w:val="0"/>
                <w:bCs w:val="0"/>
                <w:i w:val="0"/>
                <w:iCs w:val="0"/>
                <w:smallCaps w:val="0"/>
                <w:strike w:val="0"/>
                <w:color w:val="000000"/>
                <w:spacing w:val="0"/>
                <w:w w:val="100"/>
                <w:position w:val="0"/>
                <w:sz w:val="28"/>
                <w:szCs w:val="28"/>
                <w:highlight w:val="none"/>
                <w:shd w:val="clear" w:color="auto" w:fill="auto"/>
                <w:lang w:val="en-US" w:eastAsia="zh-CN"/>
              </w:rPr>
              <w:t xml:space="preserve">  </w:t>
            </w:r>
            <w:r>
              <w:rPr>
                <w:rStyle w:val="44"/>
                <w:rFonts w:hint="default" w:ascii="Times New Roman" w:hAnsi="Times New Roman" w:eastAsia="方正黑体_GBK" w:cs="Times New Roman"/>
                <w:b w:val="0"/>
                <w:bCs w:val="0"/>
                <w:i w:val="0"/>
                <w:iCs w:val="0"/>
                <w:smallCaps w:val="0"/>
                <w:strike w:val="0"/>
                <w:color w:val="000000"/>
                <w:spacing w:val="0"/>
                <w:w w:val="100"/>
                <w:position w:val="0"/>
                <w:sz w:val="28"/>
                <w:szCs w:val="28"/>
                <w:highlight w:val="none"/>
                <w:shd w:val="clear" w:color="auto" w:fill="auto"/>
                <w:lang w:val="zh-CN" w:eastAsia="zh-CN"/>
              </w:rPr>
              <w:t>种</w:t>
            </w:r>
          </w:p>
        </w:tc>
        <w:tc>
          <w:tcPr>
            <w:tcW w:w="4442" w:type="dxa"/>
            <w:gridSpan w:val="4"/>
            <w:tcBorders>
              <w:top w:val="single" w:color="auto" w:sz="4" w:space="0"/>
              <w:left w:val="single" w:color="auto" w:sz="4" w:space="0"/>
              <w:righ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both"/>
              <w:textAlignment w:val="auto"/>
              <w:rPr>
                <w:rStyle w:val="44"/>
                <w:rFonts w:hint="default" w:ascii="Times New Roman" w:hAnsi="Times New Roman" w:eastAsia="方正黑体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黑体_GBK" w:cs="Times New Roman"/>
                <w:b w:val="0"/>
                <w:bCs w:val="0"/>
                <w:i w:val="0"/>
                <w:iCs w:val="0"/>
                <w:smallCaps w:val="0"/>
                <w:strike w:val="0"/>
                <w:color w:val="000000"/>
                <w:spacing w:val="0"/>
                <w:w w:val="100"/>
                <w:position w:val="0"/>
                <w:sz w:val="28"/>
                <w:szCs w:val="28"/>
                <w:highlight w:val="none"/>
                <w:shd w:val="clear" w:color="auto" w:fill="auto"/>
                <w:lang w:val="zh-CN" w:eastAsia="zh-CN"/>
              </w:rPr>
              <w:t>保费承担比例</w:t>
            </w:r>
          </w:p>
        </w:tc>
      </w:tr>
      <w:tr>
        <w:tblPrEx>
          <w:tblLayout w:type="fixed"/>
          <w:tblCellMar>
            <w:top w:w="0" w:type="dxa"/>
            <w:left w:w="10" w:type="dxa"/>
            <w:bottom w:w="0" w:type="dxa"/>
            <w:right w:w="10" w:type="dxa"/>
          </w:tblCellMar>
        </w:tblPrEx>
        <w:trPr>
          <w:trHeight w:val="504" w:hRule="exact"/>
          <w:jc w:val="center"/>
        </w:trPr>
        <w:tc>
          <w:tcPr>
            <w:tcW w:w="3792" w:type="dxa"/>
            <w:vMerge w:val="continue"/>
            <w:tcBorders>
              <w:left w:val="single" w:color="auto" w:sz="4" w:space="0"/>
              <w:bottom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560" w:firstLineChars="200"/>
              <w:jc w:val="both"/>
              <w:textAlignment w:val="auto"/>
              <w:rPr>
                <w:rStyle w:val="44"/>
                <w:rFonts w:hint="default" w:ascii="Times New Roman" w:hAnsi="Times New Roman" w:eastAsia="方正黑体_GBK" w:cs="Times New Roman"/>
                <w:b w:val="0"/>
                <w:bCs w:val="0"/>
                <w:i w:val="0"/>
                <w:iCs w:val="0"/>
                <w:smallCaps w:val="0"/>
                <w:strike w:val="0"/>
                <w:color w:val="000000"/>
                <w:spacing w:val="0"/>
                <w:w w:val="100"/>
                <w:position w:val="0"/>
                <w:sz w:val="28"/>
                <w:szCs w:val="28"/>
                <w:highlight w:val="none"/>
                <w:shd w:val="clear" w:color="auto" w:fill="auto"/>
              </w:rPr>
            </w:pPr>
          </w:p>
        </w:tc>
        <w:tc>
          <w:tcPr>
            <w:tcW w:w="750"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0" w:firstLineChars="0"/>
              <w:jc w:val="center"/>
              <w:textAlignment w:val="auto"/>
              <w:rPr>
                <w:rStyle w:val="44"/>
                <w:rFonts w:hint="default" w:ascii="Times New Roman" w:hAnsi="Times New Roman" w:eastAsia="方正黑体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黑体_GBK" w:cs="Times New Roman"/>
                <w:b w:val="0"/>
                <w:bCs w:val="0"/>
                <w:i w:val="0"/>
                <w:iCs w:val="0"/>
                <w:smallCaps w:val="0"/>
                <w:strike w:val="0"/>
                <w:color w:val="000000"/>
                <w:spacing w:val="0"/>
                <w:w w:val="100"/>
                <w:position w:val="0"/>
                <w:sz w:val="28"/>
                <w:szCs w:val="28"/>
                <w:highlight w:val="none"/>
                <w:shd w:val="clear" w:color="auto" w:fill="auto"/>
                <w:lang w:val="zh-CN" w:eastAsia="zh-CN"/>
              </w:rPr>
              <w:t>中央</w:t>
            </w:r>
          </w:p>
        </w:tc>
        <w:tc>
          <w:tcPr>
            <w:tcW w:w="663"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0" w:firstLineChars="0"/>
              <w:jc w:val="center"/>
              <w:textAlignment w:val="auto"/>
              <w:rPr>
                <w:rStyle w:val="44"/>
                <w:rFonts w:hint="default" w:ascii="Times New Roman" w:hAnsi="Times New Roman" w:eastAsia="方正黑体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黑体_GBK" w:cs="Times New Roman"/>
                <w:b w:val="0"/>
                <w:bCs w:val="0"/>
                <w:i w:val="0"/>
                <w:iCs w:val="0"/>
                <w:smallCaps w:val="0"/>
                <w:strike w:val="0"/>
                <w:color w:val="000000"/>
                <w:spacing w:val="0"/>
                <w:w w:val="100"/>
                <w:position w:val="0"/>
                <w:sz w:val="28"/>
                <w:szCs w:val="28"/>
                <w:highlight w:val="none"/>
                <w:shd w:val="clear" w:color="auto" w:fill="auto"/>
                <w:lang w:val="zh-CN" w:eastAsia="zh-CN"/>
              </w:rPr>
              <w:t>市级</w:t>
            </w:r>
          </w:p>
        </w:tc>
        <w:tc>
          <w:tcPr>
            <w:tcW w:w="1555"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right="0" w:firstLine="560" w:firstLineChars="200"/>
              <w:jc w:val="both"/>
              <w:textAlignment w:val="auto"/>
              <w:rPr>
                <w:rStyle w:val="44"/>
                <w:rFonts w:hint="default" w:ascii="Times New Roman" w:hAnsi="Times New Roman" w:eastAsia="方正黑体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黑体_GBK" w:cs="Times New Roman"/>
                <w:b w:val="0"/>
                <w:bCs w:val="0"/>
                <w:i w:val="0"/>
                <w:iCs w:val="0"/>
                <w:smallCaps w:val="0"/>
                <w:strike w:val="0"/>
                <w:color w:val="000000"/>
                <w:spacing w:val="0"/>
                <w:w w:val="100"/>
                <w:position w:val="0"/>
                <w:sz w:val="28"/>
                <w:szCs w:val="28"/>
                <w:highlight w:val="none"/>
                <w:shd w:val="clear" w:color="auto" w:fill="auto"/>
                <w:lang w:val="zh-CN" w:eastAsia="zh-CN"/>
              </w:rPr>
              <w:t>区县</w:t>
            </w:r>
          </w:p>
        </w:tc>
        <w:tc>
          <w:tcPr>
            <w:tcW w:w="1474" w:type="dxa"/>
            <w:tcBorders>
              <w:top w:val="single" w:color="auto" w:sz="4" w:space="0"/>
              <w:left w:val="single" w:color="auto" w:sz="4" w:space="0"/>
              <w:righ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right="0" w:firstLine="560" w:firstLineChars="200"/>
              <w:jc w:val="both"/>
              <w:textAlignment w:val="auto"/>
              <w:rPr>
                <w:rStyle w:val="44"/>
                <w:rFonts w:hint="default" w:ascii="Times New Roman" w:hAnsi="Times New Roman" w:eastAsia="方正黑体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黑体_GBK" w:cs="Times New Roman"/>
                <w:b w:val="0"/>
                <w:bCs w:val="0"/>
                <w:i w:val="0"/>
                <w:iCs w:val="0"/>
                <w:smallCaps w:val="0"/>
                <w:strike w:val="0"/>
                <w:color w:val="000000"/>
                <w:spacing w:val="0"/>
                <w:w w:val="100"/>
                <w:position w:val="0"/>
                <w:sz w:val="28"/>
                <w:szCs w:val="28"/>
                <w:highlight w:val="none"/>
                <w:shd w:val="clear" w:color="auto" w:fill="auto"/>
                <w:lang w:val="zh-CN" w:eastAsia="zh-CN"/>
              </w:rPr>
              <w:t>农户</w:t>
            </w:r>
          </w:p>
        </w:tc>
      </w:tr>
      <w:tr>
        <w:tblPrEx>
          <w:tblLayout w:type="fixed"/>
          <w:tblCellMar>
            <w:top w:w="0" w:type="dxa"/>
            <w:left w:w="10" w:type="dxa"/>
            <w:bottom w:w="0" w:type="dxa"/>
            <w:right w:w="10" w:type="dxa"/>
          </w:tblCellMar>
        </w:tblPrEx>
        <w:trPr>
          <w:trHeight w:val="514" w:hRule="exact"/>
          <w:jc w:val="center"/>
        </w:trPr>
        <w:tc>
          <w:tcPr>
            <w:tcW w:w="3792" w:type="dxa"/>
            <w:tcBorders>
              <w:top w:val="single" w:color="auto" w:sz="4" w:space="0"/>
              <w:left w:val="single" w:color="auto" w:sz="4" w:space="0"/>
              <w:bottom w:val="single" w:color="auto" w:sz="4" w:space="0"/>
              <w:right w:val="single" w:color="auto" w:sz="4" w:space="0"/>
            </w:tcBorders>
            <w:noWrap w:val="0"/>
            <w:vAlign w:val="bottom"/>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56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黑体_GBK" w:cs="Times New Roman"/>
                <w:b w:val="0"/>
                <w:bCs w:val="0"/>
                <w:i w:val="0"/>
                <w:iCs w:val="0"/>
                <w:smallCaps w:val="0"/>
                <w:strike w:val="0"/>
                <w:color w:val="000000"/>
                <w:spacing w:val="0"/>
                <w:w w:val="100"/>
                <w:position w:val="0"/>
                <w:sz w:val="28"/>
                <w:szCs w:val="28"/>
                <w:highlight w:val="none"/>
                <w:shd w:val="clear" w:color="auto" w:fill="auto"/>
                <w:lang w:val="zh-CN" w:eastAsia="zh-CN"/>
              </w:rPr>
              <w:t>一、中央补贴险种</w:t>
            </w:r>
          </w:p>
        </w:tc>
        <w:tc>
          <w:tcPr>
            <w:tcW w:w="750" w:type="dxa"/>
            <w:tcBorders>
              <w:top w:val="single" w:color="auto" w:sz="4" w:space="0"/>
              <w:left w:val="single" w:color="auto" w:sz="4" w:space="0"/>
            </w:tcBorders>
            <w:noWrap w:val="0"/>
            <w:vAlign w:val="top"/>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p>
        </w:tc>
        <w:tc>
          <w:tcPr>
            <w:tcW w:w="663" w:type="dxa"/>
            <w:tcBorders>
              <w:top w:val="single" w:color="auto" w:sz="4" w:space="0"/>
              <w:left w:val="single" w:color="auto" w:sz="4" w:space="0"/>
            </w:tcBorders>
            <w:noWrap w:val="0"/>
            <w:vAlign w:val="top"/>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p>
        </w:tc>
        <w:tc>
          <w:tcPr>
            <w:tcW w:w="1555" w:type="dxa"/>
            <w:tcBorders>
              <w:top w:val="single" w:color="auto" w:sz="4" w:space="0"/>
              <w:left w:val="single" w:color="auto" w:sz="4" w:space="0"/>
            </w:tcBorders>
            <w:noWrap w:val="0"/>
            <w:vAlign w:val="top"/>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p>
        </w:tc>
        <w:tc>
          <w:tcPr>
            <w:tcW w:w="1474" w:type="dxa"/>
            <w:tcBorders>
              <w:top w:val="single" w:color="auto" w:sz="4" w:space="0"/>
              <w:left w:val="single" w:color="auto" w:sz="4" w:space="0"/>
              <w:right w:val="single" w:color="auto" w:sz="4" w:space="0"/>
            </w:tcBorders>
            <w:noWrap w:val="0"/>
            <w:vAlign w:val="top"/>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p>
        </w:tc>
      </w:tr>
      <w:tr>
        <w:tblPrEx>
          <w:tblLayout w:type="fixed"/>
          <w:tblCellMar>
            <w:top w:w="0" w:type="dxa"/>
            <w:left w:w="10" w:type="dxa"/>
            <w:bottom w:w="0" w:type="dxa"/>
            <w:right w:w="10" w:type="dxa"/>
          </w:tblCellMar>
        </w:tblPrEx>
        <w:trPr>
          <w:trHeight w:val="504" w:hRule="exact"/>
          <w:jc w:val="center"/>
        </w:trPr>
        <w:tc>
          <w:tcPr>
            <w:tcW w:w="3792" w:type="dxa"/>
            <w:tcBorders>
              <w:top w:val="single" w:color="auto" w:sz="4" w:space="0"/>
              <w:left w:val="single" w:color="auto" w:sz="4" w:space="0"/>
              <w:bottom w:val="single" w:color="auto" w:sz="4" w:space="0"/>
              <w:righ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en-US"/>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en-US"/>
              </w:rPr>
              <w:t>种植业</w:t>
            </w:r>
          </w:p>
        </w:tc>
        <w:tc>
          <w:tcPr>
            <w:tcW w:w="750"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0" w:firstLineChars="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45%</w:t>
            </w:r>
          </w:p>
        </w:tc>
        <w:tc>
          <w:tcPr>
            <w:tcW w:w="663"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0" w:firstLineChars="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30%</w:t>
            </w:r>
          </w:p>
        </w:tc>
        <w:tc>
          <w:tcPr>
            <w:tcW w:w="1555"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10%</w:t>
            </w:r>
          </w:p>
        </w:tc>
        <w:tc>
          <w:tcPr>
            <w:tcW w:w="1474" w:type="dxa"/>
            <w:tcBorders>
              <w:top w:val="single" w:color="auto" w:sz="4" w:space="0"/>
              <w:left w:val="single" w:color="auto" w:sz="4" w:space="0"/>
              <w:righ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15%</w:t>
            </w:r>
          </w:p>
        </w:tc>
      </w:tr>
      <w:tr>
        <w:tblPrEx>
          <w:tblLayout w:type="fixed"/>
          <w:tblCellMar>
            <w:top w:w="0" w:type="dxa"/>
            <w:left w:w="10" w:type="dxa"/>
            <w:bottom w:w="0" w:type="dxa"/>
            <w:right w:w="10" w:type="dxa"/>
          </w:tblCellMar>
        </w:tblPrEx>
        <w:trPr>
          <w:trHeight w:val="504" w:hRule="exact"/>
          <w:jc w:val="center"/>
        </w:trPr>
        <w:tc>
          <w:tcPr>
            <w:tcW w:w="3792" w:type="dxa"/>
            <w:tcBorders>
              <w:top w:val="single" w:color="auto" w:sz="4" w:space="0"/>
              <w:left w:val="single" w:color="auto" w:sz="4" w:space="0"/>
              <w:bottom w:val="single" w:color="auto" w:sz="4" w:space="0"/>
              <w:righ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en-US"/>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en-US"/>
              </w:rPr>
              <w:t>养殖业</w:t>
            </w:r>
          </w:p>
        </w:tc>
        <w:tc>
          <w:tcPr>
            <w:tcW w:w="750" w:type="dxa"/>
            <w:tcBorders>
              <w:top w:val="single" w:color="auto" w:sz="4" w:space="0"/>
              <w:left w:val="single" w:color="auto" w:sz="4" w:space="0"/>
            </w:tcBorders>
            <w:noWrap w:val="0"/>
            <w:vAlign w:val="bottom"/>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0" w:firstLineChars="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50%</w:t>
            </w:r>
          </w:p>
        </w:tc>
        <w:tc>
          <w:tcPr>
            <w:tcW w:w="663" w:type="dxa"/>
            <w:tcBorders>
              <w:top w:val="single" w:color="auto" w:sz="4" w:space="0"/>
              <w:left w:val="single" w:color="auto" w:sz="4" w:space="0"/>
            </w:tcBorders>
            <w:noWrap w:val="0"/>
            <w:vAlign w:val="bottom"/>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0" w:firstLineChars="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2</w:t>
            </w: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en-US"/>
              </w:rPr>
              <w:t>0</w:t>
            </w: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w:t>
            </w:r>
          </w:p>
        </w:tc>
        <w:tc>
          <w:tcPr>
            <w:tcW w:w="1555" w:type="dxa"/>
            <w:tcBorders>
              <w:top w:val="single" w:color="auto" w:sz="4" w:space="0"/>
              <w:left w:val="single" w:color="auto" w:sz="4" w:space="0"/>
            </w:tcBorders>
            <w:noWrap w:val="0"/>
            <w:vAlign w:val="bottom"/>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en-US"/>
              </w:rPr>
              <w:t>10</w:t>
            </w: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w:t>
            </w:r>
          </w:p>
        </w:tc>
        <w:tc>
          <w:tcPr>
            <w:tcW w:w="1474" w:type="dxa"/>
            <w:tcBorders>
              <w:top w:val="single" w:color="auto" w:sz="4" w:space="0"/>
              <w:left w:val="single" w:color="auto" w:sz="4" w:space="0"/>
              <w:right w:val="single" w:color="auto" w:sz="4" w:space="0"/>
            </w:tcBorders>
            <w:noWrap w:val="0"/>
            <w:vAlign w:val="bottom"/>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20%</w:t>
            </w:r>
          </w:p>
        </w:tc>
      </w:tr>
      <w:tr>
        <w:tblPrEx>
          <w:tblLayout w:type="fixed"/>
          <w:tblCellMar>
            <w:top w:w="0" w:type="dxa"/>
            <w:left w:w="10" w:type="dxa"/>
            <w:bottom w:w="0" w:type="dxa"/>
            <w:right w:w="10" w:type="dxa"/>
          </w:tblCellMar>
        </w:tblPrEx>
        <w:trPr>
          <w:trHeight w:val="514" w:hRule="exact"/>
          <w:jc w:val="center"/>
        </w:trPr>
        <w:tc>
          <w:tcPr>
            <w:tcW w:w="3792" w:type="dxa"/>
            <w:tcBorders>
              <w:top w:val="single" w:color="auto" w:sz="4" w:space="0"/>
              <w:left w:val="single" w:color="auto" w:sz="4" w:space="0"/>
              <w:bottom w:val="single" w:color="auto" w:sz="4" w:space="0"/>
              <w:righ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en-US"/>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en-US"/>
              </w:rPr>
              <w:t>公益林</w:t>
            </w:r>
          </w:p>
        </w:tc>
        <w:tc>
          <w:tcPr>
            <w:tcW w:w="750"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0" w:firstLineChars="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50%</w:t>
            </w:r>
          </w:p>
        </w:tc>
        <w:tc>
          <w:tcPr>
            <w:tcW w:w="663"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0" w:firstLineChars="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35%</w:t>
            </w:r>
          </w:p>
        </w:tc>
        <w:tc>
          <w:tcPr>
            <w:tcW w:w="1555"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15%</w:t>
            </w:r>
          </w:p>
        </w:tc>
        <w:tc>
          <w:tcPr>
            <w:tcW w:w="1474" w:type="dxa"/>
            <w:tcBorders>
              <w:top w:val="single" w:color="auto" w:sz="4" w:space="0"/>
              <w:left w:val="single" w:color="auto" w:sz="4" w:space="0"/>
              <w:righ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w:t>
            </w:r>
          </w:p>
        </w:tc>
      </w:tr>
      <w:tr>
        <w:tblPrEx>
          <w:tblLayout w:type="fixed"/>
          <w:tblCellMar>
            <w:top w:w="0" w:type="dxa"/>
            <w:left w:w="10" w:type="dxa"/>
            <w:bottom w:w="0" w:type="dxa"/>
            <w:right w:w="10" w:type="dxa"/>
          </w:tblCellMar>
        </w:tblPrEx>
        <w:trPr>
          <w:trHeight w:val="504" w:hRule="exact"/>
          <w:jc w:val="center"/>
        </w:trPr>
        <w:tc>
          <w:tcPr>
            <w:tcW w:w="3792"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en-US"/>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en-US"/>
              </w:rPr>
              <w:t>商品林</w:t>
            </w:r>
          </w:p>
        </w:tc>
        <w:tc>
          <w:tcPr>
            <w:tcW w:w="750"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0" w:firstLineChars="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30%</w:t>
            </w:r>
          </w:p>
        </w:tc>
        <w:tc>
          <w:tcPr>
            <w:tcW w:w="663"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0" w:firstLineChars="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30%</w:t>
            </w:r>
          </w:p>
        </w:tc>
        <w:tc>
          <w:tcPr>
            <w:tcW w:w="1555"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10%</w:t>
            </w:r>
          </w:p>
        </w:tc>
        <w:tc>
          <w:tcPr>
            <w:tcW w:w="1474" w:type="dxa"/>
            <w:tcBorders>
              <w:top w:val="single" w:color="auto" w:sz="4" w:space="0"/>
              <w:left w:val="single" w:color="auto" w:sz="4" w:space="0"/>
              <w:righ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30%</w:t>
            </w:r>
          </w:p>
        </w:tc>
      </w:tr>
      <w:tr>
        <w:tblPrEx>
          <w:tblLayout w:type="fixed"/>
          <w:tblCellMar>
            <w:top w:w="0" w:type="dxa"/>
            <w:left w:w="10" w:type="dxa"/>
            <w:bottom w:w="0" w:type="dxa"/>
            <w:right w:w="10" w:type="dxa"/>
          </w:tblCellMar>
        </w:tblPrEx>
        <w:trPr>
          <w:trHeight w:val="485" w:hRule="exact"/>
          <w:jc w:val="center"/>
        </w:trPr>
        <w:tc>
          <w:tcPr>
            <w:tcW w:w="3792" w:type="dxa"/>
            <w:tcBorders>
              <w:top w:val="single" w:color="auto" w:sz="4" w:space="0"/>
              <w:left w:val="single" w:color="auto" w:sz="4" w:space="0"/>
            </w:tcBorders>
            <w:noWrap w:val="0"/>
            <w:vAlign w:val="bottom"/>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56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黑体_GBK" w:cs="Times New Roman"/>
                <w:b w:val="0"/>
                <w:bCs w:val="0"/>
                <w:i w:val="0"/>
                <w:iCs w:val="0"/>
                <w:smallCaps w:val="0"/>
                <w:strike w:val="0"/>
                <w:color w:val="000000"/>
                <w:spacing w:val="0"/>
                <w:w w:val="100"/>
                <w:position w:val="0"/>
                <w:sz w:val="28"/>
                <w:szCs w:val="28"/>
                <w:highlight w:val="none"/>
                <w:shd w:val="clear" w:color="auto" w:fill="auto"/>
                <w:lang w:val="zh-CN" w:eastAsia="zh-CN"/>
              </w:rPr>
              <w:t>二、市级补贴险种</w:t>
            </w:r>
          </w:p>
        </w:tc>
        <w:tc>
          <w:tcPr>
            <w:tcW w:w="750" w:type="dxa"/>
            <w:tcBorders>
              <w:top w:val="single" w:color="auto" w:sz="4" w:space="0"/>
              <w:left w:val="single" w:color="auto" w:sz="4" w:space="0"/>
            </w:tcBorders>
            <w:noWrap w:val="0"/>
            <w:vAlign w:val="top"/>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p>
        </w:tc>
        <w:tc>
          <w:tcPr>
            <w:tcW w:w="663" w:type="dxa"/>
            <w:tcBorders>
              <w:top w:val="single" w:color="auto" w:sz="4" w:space="0"/>
              <w:left w:val="single" w:color="auto" w:sz="4" w:space="0"/>
            </w:tcBorders>
            <w:noWrap w:val="0"/>
            <w:vAlign w:val="top"/>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p>
        </w:tc>
        <w:tc>
          <w:tcPr>
            <w:tcW w:w="1555" w:type="dxa"/>
            <w:tcBorders>
              <w:top w:val="single" w:color="auto" w:sz="4" w:space="0"/>
              <w:left w:val="single" w:color="auto" w:sz="4" w:space="0"/>
            </w:tcBorders>
            <w:noWrap w:val="0"/>
            <w:vAlign w:val="top"/>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p>
        </w:tc>
        <w:tc>
          <w:tcPr>
            <w:tcW w:w="1474" w:type="dxa"/>
            <w:tcBorders>
              <w:top w:val="single" w:color="auto" w:sz="4" w:space="0"/>
              <w:left w:val="single" w:color="auto" w:sz="4" w:space="0"/>
              <w:right w:val="single" w:color="auto" w:sz="4" w:space="0"/>
            </w:tcBorders>
            <w:noWrap w:val="0"/>
            <w:vAlign w:val="top"/>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p>
        </w:tc>
      </w:tr>
      <w:tr>
        <w:tblPrEx>
          <w:tblLayout w:type="fixed"/>
          <w:tblCellMar>
            <w:top w:w="0" w:type="dxa"/>
            <w:left w:w="10" w:type="dxa"/>
            <w:bottom w:w="0" w:type="dxa"/>
            <w:right w:w="10" w:type="dxa"/>
          </w:tblCellMar>
        </w:tblPrEx>
        <w:trPr>
          <w:trHeight w:val="499" w:hRule="exact"/>
          <w:jc w:val="center"/>
        </w:trPr>
        <w:tc>
          <w:tcPr>
            <w:tcW w:w="3792"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56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zh-CN" w:eastAsia="zh-CN"/>
              </w:rPr>
              <w:t>柑橘成本保险</w:t>
            </w:r>
          </w:p>
        </w:tc>
        <w:tc>
          <w:tcPr>
            <w:tcW w:w="750"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w:t>
            </w:r>
          </w:p>
        </w:tc>
        <w:tc>
          <w:tcPr>
            <w:tcW w:w="663"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0" w:firstLineChars="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50%</w:t>
            </w:r>
          </w:p>
        </w:tc>
        <w:tc>
          <w:tcPr>
            <w:tcW w:w="1555"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20%</w:t>
            </w:r>
          </w:p>
        </w:tc>
        <w:tc>
          <w:tcPr>
            <w:tcW w:w="1474" w:type="dxa"/>
            <w:tcBorders>
              <w:top w:val="single" w:color="auto" w:sz="4" w:space="0"/>
              <w:left w:val="single" w:color="auto" w:sz="4" w:space="0"/>
              <w:righ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30%</w:t>
            </w:r>
          </w:p>
        </w:tc>
      </w:tr>
      <w:tr>
        <w:tblPrEx>
          <w:tblLayout w:type="fixed"/>
          <w:tblCellMar>
            <w:top w:w="0" w:type="dxa"/>
            <w:left w:w="10" w:type="dxa"/>
            <w:bottom w:w="0" w:type="dxa"/>
            <w:right w:w="10" w:type="dxa"/>
          </w:tblCellMar>
        </w:tblPrEx>
        <w:trPr>
          <w:trHeight w:val="518" w:hRule="exact"/>
          <w:jc w:val="center"/>
        </w:trPr>
        <w:tc>
          <w:tcPr>
            <w:tcW w:w="3792"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56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zh-CN" w:eastAsia="zh-CN"/>
              </w:rPr>
              <w:t>生猪收益保险</w:t>
            </w:r>
          </w:p>
        </w:tc>
        <w:tc>
          <w:tcPr>
            <w:tcW w:w="750"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w:t>
            </w:r>
          </w:p>
        </w:tc>
        <w:tc>
          <w:tcPr>
            <w:tcW w:w="663"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0" w:firstLineChars="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40%</w:t>
            </w:r>
          </w:p>
        </w:tc>
        <w:tc>
          <w:tcPr>
            <w:tcW w:w="1555"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30%</w:t>
            </w:r>
          </w:p>
        </w:tc>
        <w:tc>
          <w:tcPr>
            <w:tcW w:w="1474" w:type="dxa"/>
            <w:tcBorders>
              <w:top w:val="single" w:color="auto" w:sz="4" w:space="0"/>
              <w:left w:val="single" w:color="auto" w:sz="4" w:space="0"/>
              <w:righ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30%</w:t>
            </w:r>
          </w:p>
        </w:tc>
      </w:tr>
      <w:tr>
        <w:tblPrEx>
          <w:tblLayout w:type="fixed"/>
          <w:tblCellMar>
            <w:top w:w="0" w:type="dxa"/>
            <w:left w:w="10" w:type="dxa"/>
            <w:bottom w:w="0" w:type="dxa"/>
            <w:right w:w="10" w:type="dxa"/>
          </w:tblCellMar>
        </w:tblPrEx>
        <w:trPr>
          <w:trHeight w:val="504" w:hRule="exact"/>
          <w:jc w:val="center"/>
        </w:trPr>
        <w:tc>
          <w:tcPr>
            <w:tcW w:w="3792"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56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zh-CN" w:eastAsia="zh-CN"/>
              </w:rPr>
              <w:t>完全成本补充保险</w:t>
            </w:r>
          </w:p>
        </w:tc>
        <w:tc>
          <w:tcPr>
            <w:tcW w:w="750"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w:t>
            </w:r>
          </w:p>
        </w:tc>
        <w:tc>
          <w:tcPr>
            <w:tcW w:w="663"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0" w:firstLineChars="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50%</w:t>
            </w:r>
          </w:p>
        </w:tc>
        <w:tc>
          <w:tcPr>
            <w:tcW w:w="1555" w:type="dxa"/>
            <w:tcBorders>
              <w:top w:val="single" w:color="auto" w:sz="4" w:space="0"/>
              <w:lef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30%</w:t>
            </w:r>
          </w:p>
        </w:tc>
        <w:tc>
          <w:tcPr>
            <w:tcW w:w="1474" w:type="dxa"/>
            <w:tcBorders>
              <w:top w:val="single" w:color="auto" w:sz="4" w:space="0"/>
              <w:left w:val="single" w:color="auto" w:sz="4" w:space="0"/>
              <w:righ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20%</w:t>
            </w:r>
          </w:p>
        </w:tc>
      </w:tr>
      <w:tr>
        <w:tblPrEx>
          <w:tblLayout w:type="fixed"/>
          <w:tblCellMar>
            <w:top w:w="0" w:type="dxa"/>
            <w:left w:w="10" w:type="dxa"/>
            <w:bottom w:w="0" w:type="dxa"/>
            <w:right w:w="10" w:type="dxa"/>
          </w:tblCellMar>
        </w:tblPrEx>
        <w:trPr>
          <w:trHeight w:val="538" w:hRule="exact"/>
          <w:jc w:val="center"/>
        </w:trPr>
        <w:tc>
          <w:tcPr>
            <w:tcW w:w="3792" w:type="dxa"/>
            <w:tcBorders>
              <w:top w:val="single" w:color="auto" w:sz="4" w:space="0"/>
              <w:left w:val="single" w:color="auto" w:sz="4" w:space="0"/>
              <w:bottom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56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zh-CN" w:eastAsia="zh-CN"/>
              </w:rPr>
              <w:t>区县优势特色农产品保险</w:t>
            </w:r>
          </w:p>
        </w:tc>
        <w:tc>
          <w:tcPr>
            <w:tcW w:w="750" w:type="dxa"/>
            <w:tcBorders>
              <w:top w:val="single" w:color="auto" w:sz="4" w:space="0"/>
              <w:left w:val="single" w:color="auto" w:sz="4" w:space="0"/>
              <w:bottom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w:t>
            </w:r>
          </w:p>
        </w:tc>
        <w:tc>
          <w:tcPr>
            <w:tcW w:w="663" w:type="dxa"/>
            <w:tcBorders>
              <w:top w:val="single" w:color="auto" w:sz="4" w:space="0"/>
              <w:left w:val="single" w:color="auto" w:sz="4" w:space="0"/>
              <w:bottom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0" w:firstLineChars="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40%</w:t>
            </w:r>
          </w:p>
        </w:tc>
        <w:tc>
          <w:tcPr>
            <w:tcW w:w="1555" w:type="dxa"/>
            <w:tcBorders>
              <w:top w:val="single" w:color="auto" w:sz="4" w:space="0"/>
              <w:left w:val="single" w:color="auto" w:sz="4" w:space="0"/>
              <w:bottom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0" w:firstLineChars="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4"/>
                <w:szCs w:val="24"/>
                <w:highlight w:val="none"/>
                <w:shd w:val="clear" w:color="auto" w:fill="auto"/>
                <w:lang w:val="zh-CN" w:eastAsia="zh-CN"/>
              </w:rPr>
              <w:t>不低于</w:t>
            </w:r>
            <w:r>
              <w:rPr>
                <w:rStyle w:val="44"/>
                <w:rFonts w:hint="default" w:ascii="Times New Roman" w:hAnsi="Times New Roman" w:eastAsia="方正仿宋_GBK" w:cs="Times New Roman"/>
                <w:b w:val="0"/>
                <w:bCs w:val="0"/>
                <w:i w:val="0"/>
                <w:iCs w:val="0"/>
                <w:smallCaps w:val="0"/>
                <w:strike w:val="0"/>
                <w:color w:val="000000"/>
                <w:spacing w:val="0"/>
                <w:w w:val="100"/>
                <w:position w:val="0"/>
                <w:sz w:val="24"/>
                <w:szCs w:val="24"/>
                <w:highlight w:val="none"/>
                <w:shd w:val="clear" w:color="auto" w:fill="auto"/>
              </w:rPr>
              <w:t>30%</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0" w:firstLineChars="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4"/>
                <w:szCs w:val="24"/>
                <w:highlight w:val="none"/>
                <w:shd w:val="clear" w:color="auto" w:fill="auto"/>
                <w:lang w:val="zh-CN" w:eastAsia="zh-CN"/>
              </w:rPr>
              <w:t>不高于</w:t>
            </w:r>
            <w:r>
              <w:rPr>
                <w:rStyle w:val="44"/>
                <w:rFonts w:hint="default" w:ascii="Times New Roman" w:hAnsi="Times New Roman" w:eastAsia="方正仿宋_GBK" w:cs="Times New Roman"/>
                <w:b w:val="0"/>
                <w:bCs w:val="0"/>
                <w:i w:val="0"/>
                <w:iCs w:val="0"/>
                <w:smallCaps w:val="0"/>
                <w:strike w:val="0"/>
                <w:color w:val="000000"/>
                <w:spacing w:val="0"/>
                <w:w w:val="100"/>
                <w:position w:val="0"/>
                <w:sz w:val="24"/>
                <w:szCs w:val="24"/>
                <w:highlight w:val="none"/>
                <w:shd w:val="clear" w:color="auto" w:fill="auto"/>
              </w:rPr>
              <w:t>30%</w:t>
            </w:r>
          </w:p>
        </w:tc>
      </w:tr>
      <w:tr>
        <w:tblPrEx>
          <w:tblLayout w:type="fixed"/>
          <w:tblCellMar>
            <w:top w:w="0" w:type="dxa"/>
            <w:left w:w="10" w:type="dxa"/>
            <w:bottom w:w="0" w:type="dxa"/>
            <w:right w:w="10" w:type="dxa"/>
          </w:tblCellMar>
        </w:tblPrEx>
        <w:trPr>
          <w:trHeight w:val="543" w:hRule="exact"/>
          <w:jc w:val="center"/>
        </w:trPr>
        <w:tc>
          <w:tcPr>
            <w:tcW w:w="3792" w:type="dxa"/>
            <w:tcBorders>
              <w:top w:val="single" w:color="auto" w:sz="4" w:space="0"/>
              <w:left w:val="single" w:color="auto" w:sz="4" w:space="0"/>
              <w:bottom w:val="single" w:color="auto" w:sz="4" w:space="0"/>
            </w:tcBorders>
            <w:noWrap w:val="0"/>
            <w:vAlign w:val="center"/>
          </w:tcPr>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56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en-US" w:eastAsia="zh-CN"/>
              </w:rPr>
            </w:pPr>
            <w:r>
              <w:rPr>
                <w:rStyle w:val="44"/>
                <w:rFonts w:hint="default" w:ascii="Times New Roman" w:hAnsi="Times New Roman" w:eastAsia="方正黑体_GBK" w:cs="Times New Roman"/>
                <w:b w:val="0"/>
                <w:bCs w:val="0"/>
                <w:i w:val="0"/>
                <w:iCs w:val="0"/>
                <w:smallCaps w:val="0"/>
                <w:strike w:val="0"/>
                <w:color w:val="000000"/>
                <w:spacing w:val="0"/>
                <w:w w:val="100"/>
                <w:position w:val="0"/>
                <w:sz w:val="28"/>
                <w:szCs w:val="28"/>
                <w:highlight w:val="none"/>
                <w:shd w:val="clear" w:color="auto" w:fill="auto"/>
                <w:lang w:val="en-US" w:eastAsia="zh-CN"/>
              </w:rPr>
              <w:t>三、区级补贴险种</w:t>
            </w:r>
          </w:p>
        </w:tc>
        <w:tc>
          <w:tcPr>
            <w:tcW w:w="750" w:type="dxa"/>
            <w:tcBorders>
              <w:top w:val="single" w:color="auto" w:sz="4" w:space="0"/>
              <w:left w:val="single" w:color="auto" w:sz="4" w:space="0"/>
              <w:bottom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en-US"/>
              </w:rPr>
            </w:pPr>
          </w:p>
        </w:tc>
        <w:tc>
          <w:tcPr>
            <w:tcW w:w="663" w:type="dxa"/>
            <w:tcBorders>
              <w:top w:val="single" w:color="auto" w:sz="4" w:space="0"/>
              <w:left w:val="single" w:color="auto" w:sz="4" w:space="0"/>
              <w:bottom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pPr>
          </w:p>
        </w:tc>
        <w:tc>
          <w:tcPr>
            <w:tcW w:w="1555" w:type="dxa"/>
            <w:tcBorders>
              <w:top w:val="single" w:color="auto" w:sz="4" w:space="0"/>
              <w:left w:val="single" w:color="auto" w:sz="4" w:space="0"/>
              <w:bottom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zh-CN" w:eastAsia="zh-CN"/>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560" w:firstLineChars="200"/>
              <w:jc w:val="center"/>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zh-CN" w:eastAsia="zh-CN"/>
              </w:rPr>
            </w:pPr>
          </w:p>
        </w:tc>
      </w:tr>
      <w:tr>
        <w:tblPrEx>
          <w:tblLayout w:type="fixed"/>
          <w:tblCellMar>
            <w:top w:w="0" w:type="dxa"/>
            <w:left w:w="10" w:type="dxa"/>
            <w:bottom w:w="0" w:type="dxa"/>
            <w:right w:w="10" w:type="dxa"/>
          </w:tblCellMar>
        </w:tblPrEx>
        <w:trPr>
          <w:trHeight w:val="538" w:hRule="exact"/>
          <w:jc w:val="center"/>
        </w:trPr>
        <w:tc>
          <w:tcPr>
            <w:tcW w:w="3792" w:type="dxa"/>
            <w:tcBorders>
              <w:top w:val="single" w:color="auto" w:sz="4" w:space="0"/>
              <w:left w:val="single" w:color="auto" w:sz="4" w:space="0"/>
              <w:bottom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firstLine="56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zh-CN" w:eastAsia="zh-CN"/>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zh-CN" w:eastAsia="zh-CN"/>
              </w:rPr>
              <w:t>特色农产品保险</w:t>
            </w:r>
          </w:p>
        </w:tc>
        <w:tc>
          <w:tcPr>
            <w:tcW w:w="750" w:type="dxa"/>
            <w:tcBorders>
              <w:top w:val="single" w:color="auto" w:sz="4" w:space="0"/>
              <w:left w:val="single" w:color="auto" w:sz="4" w:space="0"/>
              <w:bottom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right="0" w:rightChars="0" w:firstLine="560" w:firstLineChars="200"/>
              <w:jc w:val="center"/>
              <w:textAlignment w:val="auto"/>
              <w:rPr>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u w:val="none"/>
                <w:shd w:val="clear" w:color="auto" w:fill="auto"/>
                <w:lang w:val="en-US" w:eastAsia="zh-CN" w:bidi="zh-CN"/>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en-US"/>
              </w:rPr>
              <w:t>-</w:t>
            </w:r>
          </w:p>
        </w:tc>
        <w:tc>
          <w:tcPr>
            <w:tcW w:w="663" w:type="dxa"/>
            <w:tcBorders>
              <w:top w:val="single" w:color="auto" w:sz="4" w:space="0"/>
              <w:left w:val="single" w:color="auto" w:sz="4" w:space="0"/>
              <w:bottom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560" w:firstLineChars="200"/>
              <w:jc w:val="center"/>
              <w:textAlignment w:val="auto"/>
              <w:rPr>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u w:val="none"/>
                <w:shd w:val="clear" w:color="auto" w:fill="auto"/>
                <w:lang w:val="zh-CN" w:eastAsia="zh-CN" w:bidi="zh-CN"/>
              </w:rPr>
            </w:pPr>
          </w:p>
        </w:tc>
        <w:tc>
          <w:tcPr>
            <w:tcW w:w="1555" w:type="dxa"/>
            <w:tcBorders>
              <w:top w:val="single" w:color="auto" w:sz="4" w:space="0"/>
              <w:left w:val="single" w:color="auto" w:sz="4" w:space="0"/>
              <w:bottom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560" w:firstLineChars="200"/>
              <w:jc w:val="center"/>
              <w:textAlignment w:val="auto"/>
              <w:rPr>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u w:val="none"/>
                <w:shd w:val="clear" w:color="auto" w:fill="auto"/>
                <w:lang w:val="zh-CN" w:eastAsia="zh-CN" w:bidi="zh-CN"/>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lang w:val="en-US"/>
              </w:rPr>
              <w:t>7</w:t>
            </w: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0%</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pStyle w:val="4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560" w:firstLineChars="200"/>
              <w:jc w:val="center"/>
              <w:textAlignment w:val="auto"/>
              <w:rPr>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u w:val="none"/>
                <w:shd w:val="clear" w:color="auto" w:fill="auto"/>
                <w:lang w:val="zh-CN" w:eastAsia="zh-CN" w:bidi="zh-CN"/>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28"/>
                <w:szCs w:val="28"/>
                <w:highlight w:val="none"/>
                <w:shd w:val="clear" w:color="auto" w:fill="auto"/>
              </w:rPr>
              <w:t>30%</w:t>
            </w:r>
          </w:p>
        </w:tc>
      </w:tr>
    </w:tbl>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pPr>
      <w:r>
        <w:rPr>
          <w:rStyle w:val="44"/>
          <w:rFonts w:hint="eastAsia"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本区按照上级政策</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对产粮大</w:t>
      </w:r>
      <w:r>
        <w:rPr>
          <w:rStyle w:val="44"/>
          <w:rFonts w:hint="eastAsia"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区（</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县</w:t>
      </w:r>
      <w:r>
        <w:rPr>
          <w:rStyle w:val="44"/>
          <w:rFonts w:hint="eastAsia"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和生猪调出大</w:t>
      </w:r>
      <w:r>
        <w:rPr>
          <w:rStyle w:val="44"/>
          <w:rFonts w:hint="eastAsia"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区（</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县</w:t>
      </w:r>
      <w:r>
        <w:rPr>
          <w:rStyle w:val="44"/>
          <w:rFonts w:hint="eastAsia"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实行动态管理，具体按照上一年度中央财政奖励名单确定。</w:t>
      </w:r>
    </w:p>
    <w:p>
      <w:pPr>
        <w:pStyle w:val="45"/>
        <w:keepNext w:val="0"/>
        <w:keepLines w:val="0"/>
        <w:pageBreakBefore w:val="0"/>
        <w:widowControl w:val="0"/>
        <w:shd w:val="clear" w:color="auto" w:fill="auto"/>
        <w:kinsoku/>
        <w:wordWrap/>
        <w:overflowPunct/>
        <w:topLinePunct w:val="0"/>
        <w:autoSpaceDE/>
        <w:autoSpaceDN/>
        <w:bidi w:val="0"/>
        <w:adjustRightInd/>
        <w:snapToGrid/>
        <w:spacing w:line="570" w:lineRule="exact"/>
        <w:ind w:left="0" w:right="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第七条</w:t>
      </w:r>
      <w:r>
        <w:rPr>
          <w:rStyle w:val="44"/>
          <w:rFonts w:hint="default" w:ascii="Times New Roman" w:hAnsi="Times New Roman" w:eastAsia="方正黑体_GBK" w:cs="Times New Roman"/>
          <w:b w:val="0"/>
          <w:bCs w:val="0"/>
          <w:i w:val="0"/>
          <w:iCs w:val="0"/>
          <w:smallCaps w:val="0"/>
          <w:strike w:val="0"/>
          <w:color w:val="000000"/>
          <w:spacing w:val="0"/>
          <w:w w:val="100"/>
          <w:position w:val="0"/>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对脱贫户、监测户参加农业保险（农产品收益保险除外）的，市级财政补贴比例提高</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eastAsia="en-US"/>
        </w:rPr>
        <w:t>5%，</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相应降低脱贫户、监测户自缴保费比例。</w:t>
      </w:r>
    </w:p>
    <w:p>
      <w:pPr>
        <w:pStyle w:val="46"/>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right="0" w:rightChars="0"/>
        <w:jc w:val="center"/>
        <w:textAlignment w:val="auto"/>
        <w:rPr>
          <w:rStyle w:val="47"/>
          <w:rFonts w:hint="default" w:ascii="Times New Roman" w:hAnsi="Times New Roman" w:eastAsia="方正黑体_GBK" w:cs="Times New Roman"/>
          <w:b w:val="0"/>
          <w:bCs w:val="0"/>
          <w:i w:val="0"/>
          <w:iCs w:val="0"/>
          <w:smallCaps w:val="0"/>
          <w:strike w:val="0"/>
          <w:sz w:val="32"/>
          <w:szCs w:val="32"/>
          <w:highlight w:val="none"/>
          <w:lang w:val="en-US"/>
        </w:rPr>
      </w:pPr>
      <w:r>
        <w:rPr>
          <w:rStyle w:val="47"/>
          <w:rFonts w:hint="default" w:ascii="Times New Roman" w:hAnsi="Times New Roman" w:eastAsia="方正黑体_GBK" w:cs="Times New Roman"/>
          <w:b w:val="0"/>
          <w:bCs w:val="0"/>
          <w:i w:val="0"/>
          <w:iCs w:val="0"/>
          <w:smallCaps w:val="0"/>
          <w:strike w:val="0"/>
          <w:sz w:val="32"/>
          <w:szCs w:val="32"/>
          <w:highlight w:val="none"/>
          <w:lang w:val="en-US"/>
        </w:rPr>
        <w:t>第三章  保险水平及费率</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第八条</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承保机构应当公平、合理拟定农业保险条款和费率。保险费率应当按照保本微利原则确定，严格控制经营成本， 确保综合费用率不高于20%。中央补贴险种、市级补贴险种</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和区级补贴险种</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的保险金额、费率标准参考（附件</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eastAsia="en-US"/>
        </w:rPr>
        <w:t>1），</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具体以承保机构向保险监管部门的备案为准。</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第九条</w:t>
      </w:r>
      <w:r>
        <w:rPr>
          <w:rStyle w:val="44"/>
          <w:rFonts w:hint="default" w:ascii="Times New Roman" w:hAnsi="Times New Roman" w:eastAsia="方正仿宋_GBK" w:cs="Times New Roman"/>
          <w:b/>
          <w:bCs/>
          <w:i w:val="0"/>
          <w:iCs w:val="0"/>
          <w:smallCaps w:val="0"/>
          <w:strike w:val="0"/>
          <w:color w:val="000000"/>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补贴险种的保险责任涵盖我</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区</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主要的自然灾害、重大病虫鼠害、动物疾病疫病、意外事故、野生动物毁损等风险。</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第十条</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承保机构应当合理设置补贴险种赔付标准，维护投保农户合法权益，不得设置绝对免赔，科学合理设置相对免赔。</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第十一条</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补贴险种的保险条款应当通俗易懂、表述清晰，保单上应当载明农业保险标的位置和农户、农业生产经营组织，以及中央、市级、区县财政等各方承担的保费比例及金额。其中，对市级补贴险种的保单不需单独载明中央财政承担比例，但需体现“在中央财政奖补政策支持下”等字样。</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第十二条</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 xml:space="preserve">  区</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财政</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局</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会同</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区级</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有关部门，参考中国农业再保险股份有限公司发布的农业保险风险区划和风险费率，指导承保机构逐步建立农业保险费率动态调整机制，合理确定补贴险种的保险金额、费率水平。</w:t>
      </w:r>
    </w:p>
    <w:p>
      <w:pPr>
        <w:pStyle w:val="46"/>
        <w:keepNext/>
        <w:keepLines/>
        <w:pageBreakBefore w:val="0"/>
        <w:widowControl w:val="0"/>
        <w:shd w:val="clear" w:color="auto" w:fill="auto"/>
        <w:kinsoku/>
        <w:wordWrap/>
        <w:overflowPunct/>
        <w:topLinePunct w:val="0"/>
        <w:autoSpaceDE/>
        <w:autoSpaceDN/>
        <w:bidi w:val="0"/>
        <w:adjustRightInd/>
        <w:snapToGrid/>
        <w:spacing w:before="0" w:after="0" w:line="570" w:lineRule="exact"/>
        <w:ind w:right="0"/>
        <w:jc w:val="center"/>
        <w:textAlignment w:val="auto"/>
        <w:rPr>
          <w:rStyle w:val="44"/>
          <w:rFonts w:hint="default" w:ascii="Times New Roman" w:hAnsi="Times New Roman" w:eastAsia="方正黑体_GBK" w:cs="Times New Roman"/>
          <w:b w:val="0"/>
          <w:bCs w:val="0"/>
          <w:i w:val="0"/>
          <w:iCs w:val="0"/>
          <w:smallCaps w:val="0"/>
          <w:strike w:val="0"/>
          <w:color w:val="000000"/>
          <w:spacing w:val="0"/>
          <w:w w:val="100"/>
          <w:position w:val="0"/>
          <w:sz w:val="32"/>
          <w:szCs w:val="32"/>
          <w:highlight w:val="none"/>
          <w:shd w:val="clear" w:color="auto" w:fill="auto"/>
        </w:rPr>
      </w:pPr>
      <w:bookmarkStart w:id="2" w:name="bookmark15"/>
      <w:r>
        <w:rPr>
          <w:rStyle w:val="47"/>
          <w:rFonts w:hint="default" w:ascii="Times New Roman" w:hAnsi="Times New Roman" w:eastAsia="方正黑体_GBK" w:cs="Times New Roman"/>
          <w:b w:val="0"/>
          <w:bCs w:val="0"/>
          <w:i w:val="0"/>
          <w:iCs w:val="0"/>
          <w:smallCaps w:val="0"/>
          <w:strike w:val="0"/>
          <w:sz w:val="32"/>
          <w:szCs w:val="32"/>
          <w:highlight w:val="none"/>
        </w:rPr>
        <w:t>第四章</w:t>
      </w:r>
      <w:r>
        <w:rPr>
          <w:rStyle w:val="47"/>
          <w:rFonts w:hint="default" w:ascii="Times New Roman" w:hAnsi="Times New Roman" w:eastAsia="方正黑体_GBK" w:cs="Times New Roman"/>
          <w:b w:val="0"/>
          <w:bCs w:val="0"/>
          <w:i w:val="0"/>
          <w:iCs w:val="0"/>
          <w:smallCaps w:val="0"/>
          <w:strike w:val="0"/>
          <w:sz w:val="32"/>
          <w:szCs w:val="32"/>
          <w:highlight w:val="none"/>
          <w:lang w:val="en-US"/>
        </w:rPr>
        <w:t xml:space="preserve">  </w:t>
      </w:r>
      <w:r>
        <w:rPr>
          <w:rStyle w:val="47"/>
          <w:rFonts w:hint="default" w:ascii="Times New Roman" w:hAnsi="Times New Roman" w:eastAsia="方正黑体_GBK" w:cs="Times New Roman"/>
          <w:b w:val="0"/>
          <w:bCs w:val="0"/>
          <w:i w:val="0"/>
          <w:iCs w:val="0"/>
          <w:smallCaps w:val="0"/>
          <w:strike w:val="0"/>
          <w:sz w:val="32"/>
          <w:szCs w:val="32"/>
          <w:highlight w:val="none"/>
        </w:rPr>
        <w:t>补贴资金管理</w:t>
      </w:r>
      <w:bookmarkEnd w:id="2"/>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 xml:space="preserve">第十三条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保费补贴资金实行专项管理、分账核算。</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区</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财政根据全年参保计划，将本级应承担的保费补贴资金， 足额列入本级年度预算。</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第十四条</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保费补贴资金实行专款专用、据实结算。</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第十五条</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 xml:space="preserve">  各涉农镇乡（街道）对提供给承保机构的参保数据真实性负责。</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承保机构</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要</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加强对承保标的的核验，对承保数据的真实性负责。承保机构签订保单后，应当按季</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分险种</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向</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区农业农村委、区林业局</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报送《农业保险保费补贴资金申请表》（附件2）；</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区农业农村委、区林业局要采取</w:t>
      </w:r>
      <w:r>
        <w:rPr>
          <w:rFonts w:hint="default" w:ascii="Times New Roman" w:hAnsi="Times New Roman" w:eastAsia="方正仿宋_GBK" w:cs="Times New Roman"/>
          <w:sz w:val="32"/>
          <w:szCs w:val="32"/>
          <w:highlight w:val="none"/>
        </w:rPr>
        <w:t>直接或委托第三方中介机构</w:t>
      </w:r>
      <w:r>
        <w:rPr>
          <w:rFonts w:hint="default" w:ascii="Times New Roman" w:hAnsi="Times New Roman" w:eastAsia="方正仿宋_GBK" w:cs="Times New Roman"/>
          <w:sz w:val="32"/>
          <w:szCs w:val="32"/>
          <w:highlight w:val="none"/>
          <w:lang w:val="en-US" w:eastAsia="zh-CN"/>
        </w:rPr>
        <w:t>等审核方式，对</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参保数量、</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补贴险种</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等</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基础数据</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情况</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进行</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审核，</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并对报送区</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eastAsia="zh-CN"/>
        </w:rPr>
        <w:t>财政局</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的补贴险种</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eastAsia="zh-CN"/>
        </w:rPr>
        <w:t>数据的</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真实性负责。</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第十六条</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 xml:space="preserve">  区财政局</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在审核保费补贴资金时，会同区农业农村委、区林业局要求承保机构提供对应业务的保单级数据。保单级数据由区农业农村委、区林业局留存，且至少保存</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eastAsia="en-US"/>
        </w:rPr>
        <w:t>10</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年。保单级数据要做到可核验、可追溯、可追责。</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第十七条</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区财政</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rPr>
        <w:t>局</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根据承保进度及签单情况，按照预算管理和国库集中支付有关规定，及时足额拨付保费补贴资金。在收到承保机构保费补贴资金申请后，原则上在一个季度内完成审核和资金拨付工作，超过一个季度仍未拨付的，向市财政局书面说明。</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FF0000"/>
          <w:spacing w:val="0"/>
          <w:w w:val="100"/>
          <w:position w:val="0"/>
          <w:sz w:val="32"/>
          <w:szCs w:val="32"/>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年度终了，区财政</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rPr>
        <w:t>局</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根据承保机构会计年度有效签单情况，全面、准确地向承保机构结算保费补贴资金。</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第十八条</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区财政</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rPr>
        <w:t>局会同区农业农村委、区林业局于</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每年</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eastAsia="en-US"/>
        </w:rPr>
        <w:t>1</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月底前编制上年度市级以上财政保费补贴资金结算报告、当年保费补贴申请报告，报送市财政局。</w:t>
      </w:r>
      <w:r>
        <w:rPr>
          <w:rFonts w:hint="default" w:ascii="Times New Roman" w:hAnsi="Times New Roman" w:eastAsia="方正仿宋_GBK" w:cs="Times New Roman"/>
          <w:sz w:val="32"/>
          <w:szCs w:val="32"/>
          <w:highlight w:val="none"/>
        </w:rPr>
        <w:t>报告内容包括但不限于资金管理和使用、补贴标准及范围、保险金额及费率、保障措施、生产成本收益数据和相关表格</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（附件</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rPr>
        <w:t>3、4、5）</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同时，区农业农村委、区林业局会同</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承保机构</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对照农业保险保费补贴综合绩效评价指标表（附件</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eastAsia="en-US"/>
        </w:rPr>
        <w:t>6）</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进行绩效自评，并形成上年度保费补贴综合绩效自评报告，报区财政局汇总后</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形</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成全区绩效自评报告报市财政局。</w:t>
      </w:r>
      <w:r>
        <w:rPr>
          <w:rFonts w:hint="default" w:ascii="Times New Roman" w:hAnsi="Times New Roman" w:eastAsia="方正仿宋_GBK" w:cs="Times New Roman"/>
          <w:sz w:val="32"/>
          <w:szCs w:val="32"/>
          <w:highlight w:val="none"/>
        </w:rPr>
        <w:t>报告内容包括但不限于各项综合绩效评价指标完成情况、未完成绩效指标的原因和改进措施。</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Fonts w:hint="default" w:ascii="Times New Roman" w:hAnsi="Times New Roman" w:eastAsia="方正仿宋_GBK" w:cs="Times New Roman"/>
          <w:sz w:val="32"/>
          <w:szCs w:val="32"/>
          <w:highlight w:val="none"/>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第十九条</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区</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财政局要</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加强和完善预算编制工作，</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会同区农业农村委、区林业局，</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根据补贴险种的投保面积、投保数量、保险金额、保险费率和保费补贴比例等情况，测算下一年度各级财政应当承担的保费补贴资金，填报农业保险保费补贴资金测算表（附件</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eastAsia="en-US"/>
        </w:rPr>
        <w:t>4），</w:t>
      </w:r>
      <w:r>
        <w:rPr>
          <w:rFonts w:hint="default" w:ascii="Times New Roman" w:hAnsi="Times New Roman" w:eastAsia="方正仿宋_GBK" w:cs="Times New Roman"/>
          <w:sz w:val="32"/>
          <w:szCs w:val="32"/>
          <w:highlight w:val="none"/>
        </w:rPr>
        <w:t>于每年7月30日前形成正式文件报送市财政局。</w:t>
      </w:r>
    </w:p>
    <w:p>
      <w:pPr>
        <w:pStyle w:val="46"/>
        <w:keepNext/>
        <w:keepLines/>
        <w:pageBreakBefore w:val="0"/>
        <w:widowControl w:val="0"/>
        <w:shd w:val="clear" w:color="auto" w:fill="auto"/>
        <w:kinsoku/>
        <w:wordWrap/>
        <w:overflowPunct/>
        <w:topLinePunct w:val="0"/>
        <w:autoSpaceDE/>
        <w:autoSpaceDN/>
        <w:bidi w:val="0"/>
        <w:adjustRightInd/>
        <w:snapToGrid/>
        <w:spacing w:before="0" w:after="0" w:line="570" w:lineRule="exact"/>
        <w:ind w:right="0"/>
        <w:jc w:val="center"/>
        <w:textAlignment w:val="auto"/>
        <w:rPr>
          <w:rStyle w:val="47"/>
          <w:rFonts w:hint="default" w:ascii="Times New Roman" w:hAnsi="Times New Roman" w:eastAsia="方正黑体_GBK" w:cs="Times New Roman"/>
          <w:b w:val="0"/>
          <w:bCs w:val="0"/>
          <w:i w:val="0"/>
          <w:iCs w:val="0"/>
          <w:smallCaps w:val="0"/>
          <w:strike w:val="0"/>
          <w:sz w:val="32"/>
          <w:szCs w:val="32"/>
          <w:highlight w:val="none"/>
        </w:rPr>
      </w:pPr>
      <w:bookmarkStart w:id="3" w:name="bookmark17"/>
      <w:r>
        <w:rPr>
          <w:rStyle w:val="47"/>
          <w:rFonts w:hint="default" w:ascii="Times New Roman" w:hAnsi="Times New Roman" w:eastAsia="方正黑体_GBK" w:cs="Times New Roman"/>
          <w:b w:val="0"/>
          <w:bCs w:val="0"/>
          <w:i w:val="0"/>
          <w:iCs w:val="0"/>
          <w:smallCaps w:val="0"/>
          <w:strike w:val="0"/>
          <w:sz w:val="32"/>
          <w:szCs w:val="32"/>
          <w:highlight w:val="none"/>
        </w:rPr>
        <w:t>第五章</w:t>
      </w:r>
      <w:r>
        <w:rPr>
          <w:rStyle w:val="47"/>
          <w:rFonts w:hint="default" w:ascii="Times New Roman" w:hAnsi="Times New Roman" w:eastAsia="方正黑体_GBK" w:cs="Times New Roman"/>
          <w:b w:val="0"/>
          <w:bCs w:val="0"/>
          <w:i w:val="0"/>
          <w:iCs w:val="0"/>
          <w:smallCaps w:val="0"/>
          <w:strike w:val="0"/>
          <w:sz w:val="32"/>
          <w:szCs w:val="32"/>
          <w:highlight w:val="none"/>
          <w:lang w:val="en-US"/>
        </w:rPr>
        <w:t xml:space="preserve"> </w:t>
      </w:r>
      <w:r>
        <w:rPr>
          <w:rStyle w:val="47"/>
          <w:rFonts w:hint="default" w:ascii="Times New Roman" w:hAnsi="Times New Roman" w:eastAsia="方正黑体_GBK" w:cs="Times New Roman"/>
          <w:b w:val="0"/>
          <w:bCs w:val="0"/>
          <w:i w:val="0"/>
          <w:iCs w:val="0"/>
          <w:smallCaps w:val="0"/>
          <w:strike w:val="0"/>
          <w:sz w:val="32"/>
          <w:szCs w:val="32"/>
          <w:highlight w:val="none"/>
        </w:rPr>
        <w:t>承保机构管理</w:t>
      </w:r>
      <w:bookmarkEnd w:id="3"/>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第二十条</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 xml:space="preserve">  根据上级</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相关</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规定</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，结合</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本</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地实际，区</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财政局会同区农业农村委、区林业局</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做好补贴险种承保机构遴选、管理、考核等工作，按照公平、 公正、公开和优胜劣汰的原则，依法依规确定符合条件的承保机构，提高保险服务水平与质量。补贴险种承保机构应当满足中央、市级财政关于政策性农业保险承保机构遴选管理工作的有关要求。</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第二十一条</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区财政</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rPr>
        <w:t>局</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会同区农业农村委、区林业局，将纳入财政保费补贴范围的种植业、养殖业、林业等险种，在市级</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rPr>
        <w:t>确定</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的承保机构确定名单中</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rPr>
        <w:t>进行遴选</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。在满足绩效评价要求的前提下，承保机构应保持相对稳定，一经确定原则上不少于</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eastAsia="en-US"/>
        </w:rPr>
        <w:t>3</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年。</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 xml:space="preserve">第二十二条 </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区财政</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rPr>
        <w:t>局</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根据政策性农业保险保费规模确定机构数量。遴选前</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eastAsia="en-US"/>
        </w:rPr>
        <w:t>3</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年,平均保费规模不超过</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eastAsia="en-US"/>
        </w:rPr>
        <w:t>500</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万元（含） 的，承保机构数量原则上不超过</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eastAsia="en-US"/>
        </w:rPr>
        <w:t>1</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家；平均保费规模超过</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eastAsia="en-US"/>
        </w:rPr>
        <w:t>500</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万 元（不含）的，承保机构数量须选择2-3家。对存在特殊情况， 确需超过</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eastAsia="en-US"/>
        </w:rPr>
        <w:t>3</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家的应报市财政局提交市农业保险工作小组研究决</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rPr>
        <w:t>定。</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第二十三条</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承保机构应当按照有关规定，及时、足额计提农业保险大灾风险准备金，逐年滚存，逐步建立应对农业大灾风险的长效机制；同时，应于</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每年</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eastAsia="en-US"/>
        </w:rPr>
        <w:t>5</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月</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eastAsia="en-US"/>
        </w:rPr>
        <w:t>31</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日</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前将上年度农业保险大灾风险准备金提取、使用情况报送</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市财政局</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lang w:val="en-US"/>
        </w:rPr>
        <w:t>并抄送区财政局</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rPr>
        <w:t>第二十四条</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承保机构不得引入保险中介机构为农户与承保机构办理补贴险种合同签订等有关事宜。保费及其补贴资金，不得用于向保险中介机构支付手续费或佣金。</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eastAsia="zh-CN"/>
        </w:rPr>
        <w:t>第二十五条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sz w:val="32"/>
          <w:szCs w:val="32"/>
          <w:highlight w:val="none"/>
        </w:rPr>
        <w:t>承保机构一般应当以单一投保人（农户）为单位出具保险单或保险凭证，保险单或保险凭证应发放到户。由农业生产经营组织、乡镇农林财工作机构、村民委员会等单位组织农户投保的，承保机构可以以村为单位出具保险单，制订投保清单，详细列明投保农户的投保信息，并由投保农户或其授权的直系亲属签字确认。</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Fonts w:hint="default" w:ascii="Times New Roman" w:hAnsi="Times New Roman" w:eastAsia="方正仿宋_GBK" w:cs="Times New Roman"/>
          <w:sz w:val="32"/>
          <w:szCs w:val="32"/>
          <w:highlight w:val="none"/>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eastAsia="zh-CN"/>
        </w:rPr>
        <w:t>第二十六条</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承保机构在与被保险人达成赔偿协议后</w:t>
      </w: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日内，将应赔偿的保险金支付给被保险人。农业保险合同对赔偿保险金期限有约定的，承保机构应当按照约定履行赔偿保险金义务。承保机构原则上应当通过财政</w:t>
      </w:r>
      <w:r>
        <w:rPr>
          <w:rFonts w:hint="default" w:ascii="Times New Roman" w:hAnsi="Times New Roman" w:eastAsia="方正仿宋_GBK" w:cs="Times New Roman"/>
          <w:sz w:val="32"/>
          <w:szCs w:val="32"/>
          <w:highlight w:val="none"/>
          <w:lang w:val="en-US" w:eastAsia="zh-CN"/>
        </w:rPr>
        <w:t>惠民惠农</w:t>
      </w:r>
      <w:r>
        <w:rPr>
          <w:rFonts w:hint="default" w:ascii="Times New Roman" w:hAnsi="Times New Roman" w:eastAsia="方正仿宋_GBK" w:cs="Times New Roman"/>
          <w:sz w:val="32"/>
          <w:szCs w:val="32"/>
          <w:highlight w:val="none"/>
        </w:rPr>
        <w:t>补贴“一卡通”、银行转账等非现金方式，直接将保险赔款支付给投保农户。</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Fonts w:hint="default" w:ascii="Times New Roman" w:hAnsi="Times New Roman" w:eastAsia="方正仿宋_GBK" w:cs="Times New Roman"/>
          <w:sz w:val="32"/>
          <w:szCs w:val="32"/>
          <w:highlight w:val="none"/>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eastAsia="zh-CN"/>
        </w:rPr>
        <w:t>第二十七条</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承保机构在确认收到农户、农业生产经营</w:t>
      </w:r>
      <w:bookmarkStart w:id="6" w:name="_GoBack"/>
      <w:bookmarkEnd w:id="6"/>
      <w:r>
        <w:rPr>
          <w:rFonts w:hint="default" w:ascii="Times New Roman" w:hAnsi="Times New Roman" w:eastAsia="方正仿宋_GBK" w:cs="Times New Roman"/>
          <w:sz w:val="32"/>
          <w:szCs w:val="32"/>
          <w:highlight w:val="none"/>
        </w:rPr>
        <w:t>组织自缴保费后方可出具保险单。承保机构应当按规定在村 （组）显著位置或企业公示栏，或通过互联网等方式，将惠农政策、承保情况、理赔结果、服务标准和监管要求进行公示，做到公开透明。</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eastAsia="zh-CN"/>
        </w:rPr>
        <w:t>第二十八条</w:t>
      </w:r>
      <w:r>
        <w:rPr>
          <w:rFonts w:hint="default" w:ascii="Times New Roman" w:hAnsi="Times New Roman" w:eastAsia="方正仿宋_GBK" w:cs="Times New Roman"/>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rPr>
        <w:t>承保机构应于</w:t>
      </w:r>
      <w:r>
        <w:rPr>
          <w:rFonts w:hint="default" w:ascii="Times New Roman" w:hAnsi="Times New Roman" w:eastAsia="方正仿宋_GBK" w:cs="Times New Roman"/>
          <w:sz w:val="32"/>
          <w:szCs w:val="32"/>
          <w:highlight w:val="none"/>
        </w:rPr>
        <w:t>每年1月底前将上年度农业保险工作情况以正式文件报送</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财政局</w:t>
      </w:r>
      <w:r>
        <w:rPr>
          <w:rFonts w:hint="default" w:ascii="Times New Roman" w:hAnsi="Times New Roman" w:eastAsia="方正仿宋_GBK" w:cs="Times New Roman"/>
          <w:sz w:val="32"/>
          <w:szCs w:val="32"/>
          <w:highlight w:val="none"/>
          <w:lang w:eastAsia="zh-CN"/>
        </w:rPr>
        <w:t>、区农业农村委、区林业局</w:t>
      </w:r>
      <w:r>
        <w:rPr>
          <w:rFonts w:hint="default" w:ascii="Times New Roman" w:hAnsi="Times New Roman" w:eastAsia="方正仿宋_GBK" w:cs="Times New Roman"/>
          <w:sz w:val="32"/>
          <w:szCs w:val="32"/>
          <w:highlight w:val="none"/>
        </w:rPr>
        <w:t>。工作情况包括但不限于业务开展、工作举措、机构网点建设、大灾风险准备金提取</w:t>
      </w:r>
      <w:r>
        <w:rPr>
          <w:rFonts w:hint="default" w:ascii="Times New Roman" w:hAnsi="Times New Roman" w:eastAsia="方正仿宋_GBK" w:cs="Times New Roman"/>
          <w:sz w:val="32"/>
          <w:szCs w:val="32"/>
          <w:highlight w:val="none"/>
          <w:lang w:eastAsia="zh-CN"/>
        </w:rPr>
        <w:t>、使用</w:t>
      </w:r>
      <w:r>
        <w:rPr>
          <w:rFonts w:hint="default" w:ascii="Times New Roman" w:hAnsi="Times New Roman" w:eastAsia="方正仿宋_GBK" w:cs="Times New Roman"/>
          <w:sz w:val="32"/>
          <w:szCs w:val="32"/>
          <w:highlight w:val="none"/>
        </w:rPr>
        <w:t>等基本情况，以及存在的主要问题、工作建议、下一步工作打算和相关表格（附件7）。</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eastAsia="zh-CN"/>
        </w:rPr>
        <w:t>第二十九条</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承保机构应当根据有关规定，做好补贴险种的承保、查勘、定损、理赔等工作，切实维护投保农户合法权益。</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eastAsia="zh-CN"/>
        </w:rPr>
        <w:t>第三十条</w:t>
      </w:r>
      <w:r>
        <w:rPr>
          <w:rStyle w:val="44"/>
          <w:rFonts w:hint="default" w:ascii="Times New Roman" w:hAnsi="Times New Roman" w:eastAsia="方正仿宋_GBK" w:cs="Times New Roman"/>
          <w:b/>
          <w:bCs/>
          <w:i w:val="0"/>
          <w:iCs w:val="0"/>
          <w:smallCaps w:val="0"/>
          <w:strike w:val="0"/>
          <w:color w:val="000000"/>
          <w:spacing w:val="0"/>
          <w:w w:val="100"/>
          <w:position w:val="0"/>
          <w:sz w:val="30"/>
          <w:szCs w:val="30"/>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承保机构可建立协保员管理制度，按流程设立、公示、聘请、培训协保员，指导协保员开展相关工作。对乡镇及以上农业保险协办业务的管理，按照《关于进一步规范农业保险工作费用管理使用的通知》（渝财金〔2021〕</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eastAsia="en-US"/>
        </w:rPr>
        <w:t>61</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号）相关规定执行。</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7"/>
          <w:rFonts w:hint="default" w:ascii="Times New Roman" w:hAnsi="Times New Roman" w:eastAsia="方正黑体_GBK" w:cs="Times New Roman"/>
          <w:b/>
          <w:bCs/>
          <w:i w:val="0"/>
          <w:iCs w:val="0"/>
          <w:smallCaps w:val="0"/>
          <w:strike w:val="0"/>
          <w:sz w:val="32"/>
          <w:szCs w:val="32"/>
          <w:highlight w:val="none"/>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eastAsia="zh-CN"/>
        </w:rPr>
        <w:t>第三十一条</w:t>
      </w:r>
      <w:r>
        <w:rPr>
          <w:rStyle w:val="44"/>
          <w:rFonts w:hint="default" w:ascii="Times New Roman" w:hAnsi="Times New Roman" w:eastAsia="方正仿宋_GBK" w:cs="Times New Roman"/>
          <w:b/>
          <w:bCs/>
          <w:i w:val="0"/>
          <w:iCs w:val="0"/>
          <w:smallCaps w:val="0"/>
          <w:strike w:val="0"/>
          <w:color w:val="000000"/>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承保机构要会同区财政</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局</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区农业农村委和区林业局</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等部门，做好政策的宣传工作，做到惠农政策、承保情况、理赔结果、服务标准、监管要求“五公开”，做到定损到户、理赔到户，不惜赔、不拖赔，确保农业保险工作公开透明。</w:t>
      </w:r>
      <w:bookmarkStart w:id="4" w:name="bookmark19"/>
    </w:p>
    <w:p>
      <w:pPr>
        <w:pStyle w:val="46"/>
        <w:keepNext/>
        <w:keepLines/>
        <w:pageBreakBefore w:val="0"/>
        <w:widowControl w:val="0"/>
        <w:shd w:val="clear" w:color="auto" w:fill="auto"/>
        <w:kinsoku/>
        <w:wordWrap/>
        <w:overflowPunct/>
        <w:topLinePunct w:val="0"/>
        <w:autoSpaceDE/>
        <w:autoSpaceDN/>
        <w:bidi w:val="0"/>
        <w:adjustRightInd/>
        <w:snapToGrid/>
        <w:spacing w:before="0" w:after="0" w:line="570" w:lineRule="exact"/>
        <w:ind w:right="0"/>
        <w:jc w:val="center"/>
        <w:textAlignment w:val="auto"/>
        <w:rPr>
          <w:rStyle w:val="47"/>
          <w:rFonts w:hint="default" w:ascii="Times New Roman" w:hAnsi="Times New Roman" w:eastAsia="方正黑体_GBK" w:cs="Times New Roman"/>
          <w:b w:val="0"/>
          <w:bCs w:val="0"/>
          <w:i w:val="0"/>
          <w:iCs w:val="0"/>
          <w:smallCaps w:val="0"/>
          <w:strike w:val="0"/>
          <w:sz w:val="32"/>
          <w:szCs w:val="32"/>
          <w:highlight w:val="none"/>
        </w:rPr>
      </w:pPr>
      <w:r>
        <w:rPr>
          <w:rStyle w:val="47"/>
          <w:rFonts w:hint="default" w:ascii="Times New Roman" w:hAnsi="Times New Roman" w:eastAsia="方正黑体_GBK" w:cs="Times New Roman"/>
          <w:b w:val="0"/>
          <w:bCs w:val="0"/>
          <w:i w:val="0"/>
          <w:iCs w:val="0"/>
          <w:smallCaps w:val="0"/>
          <w:strike w:val="0"/>
          <w:sz w:val="32"/>
          <w:szCs w:val="32"/>
          <w:highlight w:val="none"/>
        </w:rPr>
        <w:t>第六章</w:t>
      </w:r>
      <w:r>
        <w:rPr>
          <w:rStyle w:val="47"/>
          <w:rFonts w:hint="default" w:ascii="Times New Roman" w:hAnsi="Times New Roman" w:eastAsia="方正黑体_GBK" w:cs="Times New Roman"/>
          <w:b w:val="0"/>
          <w:bCs w:val="0"/>
          <w:i w:val="0"/>
          <w:iCs w:val="0"/>
          <w:smallCaps w:val="0"/>
          <w:strike w:val="0"/>
          <w:sz w:val="32"/>
          <w:szCs w:val="32"/>
          <w:highlight w:val="none"/>
          <w:lang w:val="en-US"/>
        </w:rPr>
        <w:t xml:space="preserve"> </w:t>
      </w:r>
      <w:r>
        <w:rPr>
          <w:rStyle w:val="47"/>
          <w:rFonts w:hint="default" w:ascii="Times New Roman" w:hAnsi="Times New Roman" w:eastAsia="方正黑体_GBK" w:cs="Times New Roman"/>
          <w:b w:val="0"/>
          <w:bCs w:val="0"/>
          <w:i w:val="0"/>
          <w:iCs w:val="0"/>
          <w:smallCaps w:val="0"/>
          <w:strike w:val="0"/>
          <w:sz w:val="32"/>
          <w:szCs w:val="32"/>
          <w:highlight w:val="none"/>
        </w:rPr>
        <w:t>绩效管理和监督检查</w:t>
      </w:r>
      <w:bookmarkEnd w:id="4"/>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eastAsia="zh-CN"/>
        </w:rPr>
        <w:t>第三十二条</w:t>
      </w:r>
      <w:r>
        <w:rPr>
          <w:rStyle w:val="44"/>
          <w:rFonts w:hint="default" w:ascii="Times New Roman" w:hAnsi="Times New Roman" w:eastAsia="方正仿宋_GBK" w:cs="Times New Roman"/>
          <w:b/>
          <w:bCs/>
          <w:i w:val="0"/>
          <w:iCs w:val="0"/>
          <w:smallCaps w:val="0"/>
          <w:strike w:val="0"/>
          <w:color w:val="000000"/>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承保机构要</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对照绩效目标，开展绩效</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自评，</w:t>
      </w:r>
      <w:r>
        <w:rPr>
          <w:rFonts w:hint="default" w:ascii="Times New Roman" w:hAnsi="Times New Roman" w:eastAsia="方正仿宋_GBK" w:cs="Times New Roman"/>
          <w:sz w:val="32"/>
          <w:szCs w:val="32"/>
          <w:highlight w:val="none"/>
        </w:rPr>
        <w:t>承担项目绩效主体责任</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lang w:val="en-US" w:eastAsia="zh-CN"/>
        </w:rPr>
        <w:t>农业农村委、区林业局、区金融办、万州银保监分局等行业</w:t>
      </w:r>
      <w:r>
        <w:rPr>
          <w:rFonts w:hint="default" w:ascii="Times New Roman" w:hAnsi="Times New Roman" w:eastAsia="方正仿宋_GBK" w:cs="Times New Roman"/>
          <w:sz w:val="32"/>
          <w:szCs w:val="32"/>
          <w:highlight w:val="none"/>
          <w:lang w:eastAsia="zh-CN"/>
        </w:rPr>
        <w:t>主管部门</w:t>
      </w:r>
      <w:r>
        <w:rPr>
          <w:rFonts w:hint="default" w:ascii="Times New Roman" w:hAnsi="Times New Roman" w:eastAsia="方正仿宋_GBK" w:cs="Times New Roman"/>
          <w:sz w:val="32"/>
          <w:szCs w:val="32"/>
          <w:highlight w:val="none"/>
        </w:rPr>
        <w:t>应及时组织</w:t>
      </w:r>
      <w:r>
        <w:rPr>
          <w:rFonts w:hint="default" w:ascii="Times New Roman" w:hAnsi="Times New Roman" w:eastAsia="方正仿宋_GBK" w:cs="Times New Roman"/>
          <w:sz w:val="32"/>
          <w:szCs w:val="32"/>
          <w:highlight w:val="none"/>
          <w:lang w:val="en-US" w:eastAsia="zh-CN"/>
        </w:rPr>
        <w:t>承保机构</w:t>
      </w:r>
      <w:r>
        <w:rPr>
          <w:rFonts w:hint="default" w:ascii="Times New Roman" w:hAnsi="Times New Roman" w:eastAsia="方正仿宋_GBK" w:cs="Times New Roman"/>
          <w:sz w:val="32"/>
          <w:szCs w:val="32"/>
          <w:highlight w:val="none"/>
        </w:rPr>
        <w:t>开展绩效自评</w:t>
      </w:r>
      <w:r>
        <w:rPr>
          <w:rFonts w:hint="default" w:ascii="Times New Roman" w:hAnsi="Times New Roman" w:eastAsia="方正仿宋_GBK" w:cs="Times New Roman"/>
          <w:sz w:val="32"/>
          <w:szCs w:val="32"/>
          <w:highlight w:val="none"/>
          <w:lang w:eastAsia="zh-CN"/>
        </w:rPr>
        <w:t>，承担监管责任</w:t>
      </w:r>
      <w:r>
        <w:rPr>
          <w:rFonts w:hint="default" w:ascii="Times New Roman" w:hAnsi="Times New Roman" w:eastAsia="方正仿宋_GBK" w:cs="Times New Roman"/>
          <w:sz w:val="32"/>
          <w:szCs w:val="32"/>
          <w:highlight w:val="none"/>
        </w:rPr>
        <w:t>。区财政</w:t>
      </w:r>
      <w:r>
        <w:rPr>
          <w:rFonts w:hint="default" w:ascii="Times New Roman" w:hAnsi="Times New Roman" w:eastAsia="方正仿宋_GBK" w:cs="Times New Roman"/>
          <w:sz w:val="32"/>
          <w:szCs w:val="32"/>
          <w:highlight w:val="none"/>
          <w:lang w:eastAsia="zh-CN"/>
        </w:rPr>
        <w:t>局</w:t>
      </w:r>
      <w:r>
        <w:rPr>
          <w:rFonts w:hint="default" w:ascii="Times New Roman" w:hAnsi="Times New Roman" w:eastAsia="方正仿宋_GBK" w:cs="Times New Roman"/>
          <w:sz w:val="32"/>
          <w:szCs w:val="32"/>
          <w:highlight w:val="none"/>
          <w:lang w:val="en-US" w:eastAsia="zh-CN"/>
        </w:rPr>
        <w:t>将</w:t>
      </w:r>
      <w:r>
        <w:rPr>
          <w:rFonts w:hint="default" w:ascii="Times New Roman" w:hAnsi="Times New Roman" w:eastAsia="方正仿宋_GBK" w:cs="Times New Roman"/>
          <w:sz w:val="32"/>
          <w:szCs w:val="32"/>
          <w:highlight w:val="none"/>
        </w:rPr>
        <w:t>按照全面实施预算绩效管理有关规定，对照绩效目标，开展绩效运行监控，全面掌握农业保险有关情况，确保绩效评价结果真实、全面、准确、有效。注重绩效评价结果运用，将评价结果与遴选承保机构等工作有机结合，提高业务操作规范性和财政资金使用绩效。</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eastAsia="zh-CN"/>
        </w:rPr>
        <w:t>第三十三条</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区</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财政局</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会同</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各行业主管部门</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、承保机构，定期或不定期</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开展</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本地</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保险</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保费补贴</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监督检查</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工作，严防虚构、虚增保险标的，以及以同一保险标的进行多次投保等各</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类</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骗取保费补贴资金的违法行为，一经发现将追究</w:t>
      </w:r>
      <w:r>
        <w:rPr>
          <w:rStyle w:val="44"/>
          <w:rFonts w:hint="eastAsia"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相</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关人员的责任，并收回骗取的财政补贴资金。</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Fonts w:hint="default" w:ascii="Times New Roman" w:hAnsi="Times New Roman" w:cs="Times New Roman"/>
          <w:highlight w:val="none"/>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eastAsia="zh-CN"/>
        </w:rPr>
        <w:t>第三十四条</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对</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于</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有关</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单位</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镇乡（街道）、</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承保机构</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用提供虚假数据等</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方式骗取</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财政</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保费补贴资金的，</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区</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财政局将会同监管部门责令其改正并追回相应保费补贴资金，视情况暂停安排中央、市级</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及区级</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财政保费补贴资金; 情节严重的，依法依规予以处罚。对承保机构存在骗取保费补贴资金的，还将视情况限制其业务范围、责令停止接受新业务或者取消一定年度财政补贴险种业务资格。</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eastAsia="zh-CN"/>
        </w:rPr>
        <w:t>第三十五条</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有关</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单位</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及其工作人员在保费补贴资金管理工作中，存在违反本办法规定以及其他滥用职权、玩忽职守、徇私舞弊等违法违规行为的，依法追究相应责任；涉嫌犯罪的，依法移送有关机关处理。</w:t>
      </w:r>
    </w:p>
    <w:p>
      <w:pPr>
        <w:pStyle w:val="46"/>
        <w:keepNext/>
        <w:keepLines/>
        <w:pageBreakBefore w:val="0"/>
        <w:widowControl w:val="0"/>
        <w:shd w:val="clear" w:color="auto" w:fill="auto"/>
        <w:kinsoku/>
        <w:wordWrap/>
        <w:overflowPunct/>
        <w:topLinePunct w:val="0"/>
        <w:autoSpaceDE/>
        <w:autoSpaceDN/>
        <w:bidi w:val="0"/>
        <w:adjustRightInd/>
        <w:snapToGrid/>
        <w:spacing w:before="0" w:after="0" w:line="570" w:lineRule="exact"/>
        <w:ind w:right="0"/>
        <w:jc w:val="center"/>
        <w:textAlignment w:val="auto"/>
        <w:rPr>
          <w:rStyle w:val="47"/>
          <w:rFonts w:hint="default" w:ascii="Times New Roman" w:hAnsi="Times New Roman" w:eastAsia="方正黑体_GBK" w:cs="Times New Roman"/>
          <w:b w:val="0"/>
          <w:bCs w:val="0"/>
          <w:i w:val="0"/>
          <w:iCs w:val="0"/>
          <w:smallCaps w:val="0"/>
          <w:strike w:val="0"/>
          <w:sz w:val="32"/>
          <w:szCs w:val="32"/>
          <w:highlight w:val="none"/>
        </w:rPr>
      </w:pPr>
      <w:bookmarkStart w:id="5" w:name="bookmark21"/>
      <w:r>
        <w:rPr>
          <w:rStyle w:val="47"/>
          <w:rFonts w:hint="default" w:ascii="Times New Roman" w:hAnsi="Times New Roman" w:eastAsia="方正黑体_GBK" w:cs="Times New Roman"/>
          <w:b w:val="0"/>
          <w:bCs w:val="0"/>
          <w:i w:val="0"/>
          <w:iCs w:val="0"/>
          <w:smallCaps w:val="0"/>
          <w:strike w:val="0"/>
          <w:sz w:val="32"/>
          <w:szCs w:val="32"/>
          <w:highlight w:val="none"/>
        </w:rPr>
        <w:t>第七章</w:t>
      </w:r>
      <w:r>
        <w:rPr>
          <w:rStyle w:val="47"/>
          <w:rFonts w:hint="default" w:ascii="Times New Roman" w:hAnsi="Times New Roman" w:eastAsia="方正黑体_GBK" w:cs="Times New Roman"/>
          <w:b w:val="0"/>
          <w:bCs w:val="0"/>
          <w:i w:val="0"/>
          <w:iCs w:val="0"/>
          <w:smallCaps w:val="0"/>
          <w:strike w:val="0"/>
          <w:sz w:val="32"/>
          <w:szCs w:val="32"/>
          <w:highlight w:val="none"/>
          <w:lang w:val="en-US"/>
        </w:rPr>
        <w:t xml:space="preserve"> </w:t>
      </w:r>
      <w:r>
        <w:rPr>
          <w:rStyle w:val="47"/>
          <w:rFonts w:hint="default" w:ascii="Times New Roman" w:hAnsi="Times New Roman" w:eastAsia="方正黑体_GBK" w:cs="Times New Roman"/>
          <w:b w:val="0"/>
          <w:bCs w:val="0"/>
          <w:i w:val="0"/>
          <w:iCs w:val="0"/>
          <w:smallCaps w:val="0"/>
          <w:strike w:val="0"/>
          <w:sz w:val="32"/>
          <w:szCs w:val="32"/>
          <w:highlight w:val="none"/>
        </w:rPr>
        <w:t>附则</w:t>
      </w:r>
      <w:bookmarkEnd w:id="5"/>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eastAsia="zh-CN"/>
        </w:rPr>
        <w:t>第三十六条</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对未纳入本办法补贴险种政策支持范围，</w:t>
      </w:r>
      <w:r>
        <w:rPr>
          <w:rStyle w:val="44"/>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shd w:val="clear" w:color="auto" w:fill="auto"/>
        </w:rPr>
        <w:t>但享有本级财政补贴支持的农业保险业务，可参照本办法执行。</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eastAsia="zh-CN"/>
        </w:rPr>
        <w:t>第三十七条</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 xml:space="preserve">  </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本办法由</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区</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rPr>
        <w:t>财政局负责解释。</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pPr>
      <w:r>
        <w:rPr>
          <w:rStyle w:val="44"/>
          <w:rFonts w:hint="default" w:ascii="方正黑体_GBK" w:hAnsi="方正黑体_GBK" w:eastAsia="方正黑体_GBK" w:cs="方正黑体_GBK"/>
          <w:b w:val="0"/>
          <w:bCs w:val="0"/>
          <w:i w:val="0"/>
          <w:iCs w:val="0"/>
          <w:smallCaps w:val="0"/>
          <w:strike w:val="0"/>
          <w:kern w:val="2"/>
          <w:sz w:val="32"/>
          <w:szCs w:val="32"/>
          <w:highlight w:val="none"/>
          <w:lang w:val="en-US" w:eastAsia="zh-CN"/>
        </w:rPr>
        <w:t>第三十八条</w:t>
      </w: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 xml:space="preserve">  本办法自印发之日起实施，其它有关规定与本办法不符的，以本办法为准。</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9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pP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90" w:lineRule="exact"/>
        <w:ind w:right="0" w:rightChars="0" w:firstLine="640" w:firstLineChars="2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附件：1.补贴险种保险金额及费率情况表</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90" w:lineRule="exact"/>
        <w:ind w:right="0" w:rightChars="0" w:firstLine="1600" w:firstLineChars="5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2.农业保险保费补贴资金申请表</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90" w:lineRule="exact"/>
        <w:ind w:right="0" w:rightChars="0" w:firstLine="1600" w:firstLineChars="5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3.农业保险保费补贴资金结算套表</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90" w:lineRule="exact"/>
        <w:ind w:right="0" w:rightChars="0" w:firstLine="1600" w:firstLineChars="5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4.农业保险保费补贴资金测算表</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90" w:lineRule="exact"/>
        <w:ind w:right="0" w:rightChars="0" w:firstLine="1600" w:firstLineChars="5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5.农业保险保费补贴资金到位承诺函</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90" w:lineRule="exact"/>
        <w:ind w:right="0" w:rightChars="0" w:firstLine="1600" w:firstLineChars="500"/>
        <w:jc w:val="both"/>
        <w:textAlignment w:val="auto"/>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6.农业保险保费补贴综合绩效评价指标表</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90" w:lineRule="exact"/>
        <w:ind w:right="0" w:rightChars="0" w:firstLine="1600" w:firstLineChars="500"/>
        <w:jc w:val="both"/>
        <w:textAlignment w:val="auto"/>
        <w:rPr>
          <w:rFonts w:hint="default" w:ascii="Times New Roman" w:hAnsi="Times New Roman" w:cs="Times New Roman"/>
          <w:highlight w:val="none"/>
        </w:rPr>
      </w:pPr>
      <w:r>
        <w:rPr>
          <w:rStyle w:val="44"/>
          <w:rFonts w:hint="default" w:ascii="Times New Roman" w:hAnsi="Times New Roman" w:eastAsia="方正仿宋_GBK" w:cs="Times New Roman"/>
          <w:b w:val="0"/>
          <w:bCs w:val="0"/>
          <w:i w:val="0"/>
          <w:iCs w:val="0"/>
          <w:smallCaps w:val="0"/>
          <w:strike w:val="0"/>
          <w:color w:val="000000"/>
          <w:spacing w:val="0"/>
          <w:w w:val="100"/>
          <w:position w:val="0"/>
          <w:sz w:val="32"/>
          <w:szCs w:val="32"/>
          <w:highlight w:val="none"/>
          <w:shd w:val="clear" w:color="auto" w:fill="auto"/>
          <w:lang w:val="en-US"/>
        </w:rPr>
        <w:t>7.农业保险承保理赔统计情况套表</w:t>
      </w:r>
    </w:p>
    <w:p>
      <w:pPr>
        <w:keepNext w:val="0"/>
        <w:keepLines w:val="0"/>
        <w:pageBreakBefore w:val="0"/>
        <w:widowControl w:val="0"/>
        <w:kinsoku/>
        <w:wordWrap/>
        <w:overflowPunct/>
        <w:topLinePunct w:val="0"/>
        <w:autoSpaceDN/>
        <w:bidi w:val="0"/>
        <w:snapToGrid/>
        <w:spacing w:line="590" w:lineRule="exact"/>
        <w:ind w:right="-239"/>
        <w:textAlignment w:val="auto"/>
        <w:rPr>
          <w:rFonts w:hint="default" w:ascii="Times New Roman" w:hAnsi="Times New Roman" w:eastAsia="方正仿宋_GBK" w:cs="Times New Roman"/>
          <w:spacing w:val="-20"/>
          <w:sz w:val="32"/>
          <w:szCs w:val="32"/>
          <w:lang w:eastAsia="zh-CN"/>
        </w:rPr>
      </w:pPr>
    </w:p>
    <w:sectPr>
      <w:headerReference r:id="rId3" w:type="default"/>
      <w:footerReference r:id="rId4"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posOffset>5165725</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75pt;margin-top:0pt;height:144pt;width:144pt;mso-position-horizontal-relative:margin;mso-wrap-style:none;z-index:251664384;mso-width-relative:page;mso-height-relative:page;" filled="f" stroked="f" coordsize="21600,21600" o:gfxdata="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gN6K1QAAAAkBAAAPAAAAAAAAAAEA&#10;IAAAACIAAABkcnMvZG93bnJldi54bWxQSwECFAAUAAAACACHTuJA5smByhICAAATBAAADgAAAAAA&#10;AAABACAAAAAkAQAAZHJzL2Uyb0RvYy54bWxQSwUGAAAAAAYABgBZAQAAqA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3360;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fill on="f" focussize="0,0"/>
              <v:stroke weight="1.75pt" color="#005192 [3204]" joinstyle="round"/>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重庆市万州区财政局</w:t>
    </w:r>
    <w:r>
      <w:rPr>
        <w:rFonts w:hint="eastAsia" w:ascii="宋体" w:hAnsi="宋体" w:eastAsia="宋体" w:cs="宋体"/>
        <w:b/>
        <w:bCs/>
        <w:color w:val="005192"/>
        <w:sz w:val="28"/>
        <w:szCs w:val="44"/>
        <w:lang w:val="en-US" w:eastAsia="zh-CN"/>
      </w:rPr>
      <w:t xml:space="preserve">发布   </w:t>
    </w:r>
  </w:p>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5715" b="17145"/>
              <wp:wrapNone/>
              <wp:docPr id="10" name="文本框 1"/>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7JSNrNIAAAADAQAA&#10;DwAAAAAAAAABACAAAAAiAAAAZHJzL2Rvd25yZXYueG1sUEsBAhQAFAAAAAgAh07iQGYbSCStAQAA&#10;QAMAAA4AAAAAAAAAAQAgAAAAIQEAAGRycy9lMm9Eb2MueG1sUEsFBgAAAAAGAAYAWQEAAEAFAAAA&#10;AA==&#10;">
              <v:fill on="f" focussize="0,0"/>
              <v:stroke on="f"/>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eastAsia="宋体" w:cs="宋体"/>
        <w:b/>
        <w:bCs/>
        <w:color w:val="005192"/>
        <w:sz w:val="32"/>
      </w:rPr>
    </w:pPr>
  </w:p>
  <w:p>
    <w:pPr>
      <w:pStyle w:val="9"/>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重庆市万州区财政局行政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426720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3.6pt;height:0pt;width:442.55pt;z-index:251667456;mso-width-relative:page;mso-height-relative:page;" filled="f" stroked="t" coordsize="21600,21600" o:gfxdata="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870A7RAAAABgEAAA8AAAAAAAAAAQAgAAAAIgAAAGRycy9kb3ducmV2LnhtbFBLAQIUABQA&#10;AAAIAIdO4kDAfZQ6vgEAAE0DAAAOAAAAAAAAAAEAIAAAACABAABkcnMvZTJvRG9jLnhtbFBLBQYA&#10;AAAABgAGAFkBAABQBQAAAAA=&#10;">
              <v:fill on="f" focussize="0,0"/>
              <v:stroke weight="1.75pt" color="#005192 [3204]"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E14"/>
    <w:rsid w:val="00004E06"/>
    <w:rsid w:val="000151C0"/>
    <w:rsid w:val="00020374"/>
    <w:rsid w:val="000214BE"/>
    <w:rsid w:val="000226EC"/>
    <w:rsid w:val="000251E3"/>
    <w:rsid w:val="00031CFF"/>
    <w:rsid w:val="00053249"/>
    <w:rsid w:val="0005372D"/>
    <w:rsid w:val="000547AF"/>
    <w:rsid w:val="00070908"/>
    <w:rsid w:val="00075B12"/>
    <w:rsid w:val="00075D79"/>
    <w:rsid w:val="00077412"/>
    <w:rsid w:val="00080F68"/>
    <w:rsid w:val="00081A16"/>
    <w:rsid w:val="00084EB0"/>
    <w:rsid w:val="000A0107"/>
    <w:rsid w:val="000A264E"/>
    <w:rsid w:val="000A4D6A"/>
    <w:rsid w:val="000A6B19"/>
    <w:rsid w:val="000B0A6F"/>
    <w:rsid w:val="000B4FDC"/>
    <w:rsid w:val="000C70A0"/>
    <w:rsid w:val="000C78E6"/>
    <w:rsid w:val="000D1E16"/>
    <w:rsid w:val="000D3263"/>
    <w:rsid w:val="000D7FBD"/>
    <w:rsid w:val="000E0B93"/>
    <w:rsid w:val="000E2BE5"/>
    <w:rsid w:val="000E4180"/>
    <w:rsid w:val="001015BB"/>
    <w:rsid w:val="001061D9"/>
    <w:rsid w:val="00121180"/>
    <w:rsid w:val="00122568"/>
    <w:rsid w:val="001368D4"/>
    <w:rsid w:val="00141475"/>
    <w:rsid w:val="00142944"/>
    <w:rsid w:val="00152C8A"/>
    <w:rsid w:val="00190AA4"/>
    <w:rsid w:val="001B0003"/>
    <w:rsid w:val="001B5BAB"/>
    <w:rsid w:val="001C464C"/>
    <w:rsid w:val="001D5D78"/>
    <w:rsid w:val="001D5F23"/>
    <w:rsid w:val="001E04FB"/>
    <w:rsid w:val="001F6101"/>
    <w:rsid w:val="001F73D3"/>
    <w:rsid w:val="00206824"/>
    <w:rsid w:val="002171D4"/>
    <w:rsid w:val="00234A50"/>
    <w:rsid w:val="00237956"/>
    <w:rsid w:val="00242ADB"/>
    <w:rsid w:val="00260F64"/>
    <w:rsid w:val="002658C6"/>
    <w:rsid w:val="00275E14"/>
    <w:rsid w:val="002868DE"/>
    <w:rsid w:val="0028731E"/>
    <w:rsid w:val="002878DD"/>
    <w:rsid w:val="00292DBB"/>
    <w:rsid w:val="002A57C9"/>
    <w:rsid w:val="002B249F"/>
    <w:rsid w:val="002B710D"/>
    <w:rsid w:val="002C4BAF"/>
    <w:rsid w:val="002C68CB"/>
    <w:rsid w:val="002D5ACB"/>
    <w:rsid w:val="002D6E96"/>
    <w:rsid w:val="002E057B"/>
    <w:rsid w:val="002E08A5"/>
    <w:rsid w:val="002E763A"/>
    <w:rsid w:val="0031249D"/>
    <w:rsid w:val="0032323E"/>
    <w:rsid w:val="00325FDA"/>
    <w:rsid w:val="003336C8"/>
    <w:rsid w:val="00334C43"/>
    <w:rsid w:val="003376CB"/>
    <w:rsid w:val="00345128"/>
    <w:rsid w:val="003546A6"/>
    <w:rsid w:val="00357ADC"/>
    <w:rsid w:val="00360049"/>
    <w:rsid w:val="003638A2"/>
    <w:rsid w:val="0036392D"/>
    <w:rsid w:val="00372A27"/>
    <w:rsid w:val="00373C82"/>
    <w:rsid w:val="003779FA"/>
    <w:rsid w:val="003811B9"/>
    <w:rsid w:val="003817B6"/>
    <w:rsid w:val="003832B8"/>
    <w:rsid w:val="00385680"/>
    <w:rsid w:val="003928B9"/>
    <w:rsid w:val="003A3712"/>
    <w:rsid w:val="003A3EB4"/>
    <w:rsid w:val="003A60A1"/>
    <w:rsid w:val="003A6E8A"/>
    <w:rsid w:val="003B1529"/>
    <w:rsid w:val="003B3756"/>
    <w:rsid w:val="003C167C"/>
    <w:rsid w:val="003C1D8D"/>
    <w:rsid w:val="003C6BCA"/>
    <w:rsid w:val="003D76D6"/>
    <w:rsid w:val="003E3133"/>
    <w:rsid w:val="003F3007"/>
    <w:rsid w:val="003F5C8E"/>
    <w:rsid w:val="0040051C"/>
    <w:rsid w:val="00406FFE"/>
    <w:rsid w:val="0041237D"/>
    <w:rsid w:val="004139D7"/>
    <w:rsid w:val="00415ABE"/>
    <w:rsid w:val="004305B9"/>
    <w:rsid w:val="00450FBB"/>
    <w:rsid w:val="00452CBC"/>
    <w:rsid w:val="00454446"/>
    <w:rsid w:val="004642EC"/>
    <w:rsid w:val="00466C46"/>
    <w:rsid w:val="00483659"/>
    <w:rsid w:val="004925C8"/>
    <w:rsid w:val="004A5A5A"/>
    <w:rsid w:val="004B6E9E"/>
    <w:rsid w:val="004C50EC"/>
    <w:rsid w:val="004C50EF"/>
    <w:rsid w:val="004D5DEE"/>
    <w:rsid w:val="004F0F6C"/>
    <w:rsid w:val="004F145A"/>
    <w:rsid w:val="004F73C5"/>
    <w:rsid w:val="00547EC7"/>
    <w:rsid w:val="005553F9"/>
    <w:rsid w:val="005563BD"/>
    <w:rsid w:val="00560AB6"/>
    <w:rsid w:val="00560AD7"/>
    <w:rsid w:val="00567C2A"/>
    <w:rsid w:val="0057387C"/>
    <w:rsid w:val="00573AA8"/>
    <w:rsid w:val="0057403F"/>
    <w:rsid w:val="0057486D"/>
    <w:rsid w:val="00592008"/>
    <w:rsid w:val="005A02B9"/>
    <w:rsid w:val="005A1FA2"/>
    <w:rsid w:val="005A314C"/>
    <w:rsid w:val="005B0367"/>
    <w:rsid w:val="005C1648"/>
    <w:rsid w:val="005C52B0"/>
    <w:rsid w:val="005E26B7"/>
    <w:rsid w:val="005F375B"/>
    <w:rsid w:val="00612811"/>
    <w:rsid w:val="00614312"/>
    <w:rsid w:val="006172EA"/>
    <w:rsid w:val="00620F72"/>
    <w:rsid w:val="006258B6"/>
    <w:rsid w:val="00637252"/>
    <w:rsid w:val="00642678"/>
    <w:rsid w:val="006553CF"/>
    <w:rsid w:val="00657F4A"/>
    <w:rsid w:val="006632BB"/>
    <w:rsid w:val="006640F0"/>
    <w:rsid w:val="0066503A"/>
    <w:rsid w:val="00682F61"/>
    <w:rsid w:val="00685835"/>
    <w:rsid w:val="00690ACA"/>
    <w:rsid w:val="006953A0"/>
    <w:rsid w:val="00697127"/>
    <w:rsid w:val="00697250"/>
    <w:rsid w:val="006A0D20"/>
    <w:rsid w:val="006A13DD"/>
    <w:rsid w:val="006A4337"/>
    <w:rsid w:val="006A5538"/>
    <w:rsid w:val="006A7047"/>
    <w:rsid w:val="006B6C2A"/>
    <w:rsid w:val="006C2D9F"/>
    <w:rsid w:val="006C31C1"/>
    <w:rsid w:val="006E0F2D"/>
    <w:rsid w:val="006E337A"/>
    <w:rsid w:val="006E416C"/>
    <w:rsid w:val="006E787B"/>
    <w:rsid w:val="006F17CA"/>
    <w:rsid w:val="006F3144"/>
    <w:rsid w:val="00705CAC"/>
    <w:rsid w:val="007176E4"/>
    <w:rsid w:val="007201F2"/>
    <w:rsid w:val="00722630"/>
    <w:rsid w:val="00730F7F"/>
    <w:rsid w:val="00731D76"/>
    <w:rsid w:val="00732EC3"/>
    <w:rsid w:val="00740B16"/>
    <w:rsid w:val="0074198E"/>
    <w:rsid w:val="00742AED"/>
    <w:rsid w:val="00742FEB"/>
    <w:rsid w:val="00743700"/>
    <w:rsid w:val="00746633"/>
    <w:rsid w:val="00751980"/>
    <w:rsid w:val="007540C1"/>
    <w:rsid w:val="0077434F"/>
    <w:rsid w:val="00775097"/>
    <w:rsid w:val="00786D6F"/>
    <w:rsid w:val="00795705"/>
    <w:rsid w:val="00797B6C"/>
    <w:rsid w:val="007B06D2"/>
    <w:rsid w:val="007B3F8F"/>
    <w:rsid w:val="007C38A5"/>
    <w:rsid w:val="007C38AF"/>
    <w:rsid w:val="007C6755"/>
    <w:rsid w:val="007D19BD"/>
    <w:rsid w:val="007D73D3"/>
    <w:rsid w:val="007E0602"/>
    <w:rsid w:val="007E7919"/>
    <w:rsid w:val="007F2663"/>
    <w:rsid w:val="0080501D"/>
    <w:rsid w:val="00820711"/>
    <w:rsid w:val="00832453"/>
    <w:rsid w:val="0084725B"/>
    <w:rsid w:val="008670AE"/>
    <w:rsid w:val="00870615"/>
    <w:rsid w:val="00873820"/>
    <w:rsid w:val="008747C1"/>
    <w:rsid w:val="00874B21"/>
    <w:rsid w:val="00882528"/>
    <w:rsid w:val="00884055"/>
    <w:rsid w:val="008845A9"/>
    <w:rsid w:val="008845FF"/>
    <w:rsid w:val="008910D6"/>
    <w:rsid w:val="00891ADE"/>
    <w:rsid w:val="008A2277"/>
    <w:rsid w:val="008A4888"/>
    <w:rsid w:val="008B2352"/>
    <w:rsid w:val="008B374E"/>
    <w:rsid w:val="008C5325"/>
    <w:rsid w:val="008D068D"/>
    <w:rsid w:val="008D5A80"/>
    <w:rsid w:val="008E7C89"/>
    <w:rsid w:val="008F170A"/>
    <w:rsid w:val="0091618E"/>
    <w:rsid w:val="00922F67"/>
    <w:rsid w:val="00926CDC"/>
    <w:rsid w:val="00931B5B"/>
    <w:rsid w:val="0093751C"/>
    <w:rsid w:val="0094378E"/>
    <w:rsid w:val="00954E32"/>
    <w:rsid w:val="00955886"/>
    <w:rsid w:val="00956139"/>
    <w:rsid w:val="009622F1"/>
    <w:rsid w:val="00977FF3"/>
    <w:rsid w:val="0099155F"/>
    <w:rsid w:val="00996D1C"/>
    <w:rsid w:val="009A568C"/>
    <w:rsid w:val="009B733D"/>
    <w:rsid w:val="009B794A"/>
    <w:rsid w:val="009C0C8F"/>
    <w:rsid w:val="009C4DC4"/>
    <w:rsid w:val="009D1753"/>
    <w:rsid w:val="009D411D"/>
    <w:rsid w:val="009E23C0"/>
    <w:rsid w:val="009E78F0"/>
    <w:rsid w:val="009E7B7B"/>
    <w:rsid w:val="009E7D33"/>
    <w:rsid w:val="00A020CB"/>
    <w:rsid w:val="00A02849"/>
    <w:rsid w:val="00A1534C"/>
    <w:rsid w:val="00A1610C"/>
    <w:rsid w:val="00A244A1"/>
    <w:rsid w:val="00A24BFC"/>
    <w:rsid w:val="00A27CEF"/>
    <w:rsid w:val="00A374B1"/>
    <w:rsid w:val="00A51EE5"/>
    <w:rsid w:val="00A60F6E"/>
    <w:rsid w:val="00A66DCF"/>
    <w:rsid w:val="00A86F41"/>
    <w:rsid w:val="00AA070A"/>
    <w:rsid w:val="00AA0C6B"/>
    <w:rsid w:val="00AC5654"/>
    <w:rsid w:val="00AC7A4D"/>
    <w:rsid w:val="00AD1402"/>
    <w:rsid w:val="00AD3B06"/>
    <w:rsid w:val="00B05DDC"/>
    <w:rsid w:val="00B172D7"/>
    <w:rsid w:val="00B2107E"/>
    <w:rsid w:val="00B21088"/>
    <w:rsid w:val="00B21BD3"/>
    <w:rsid w:val="00B22DDF"/>
    <w:rsid w:val="00B314BC"/>
    <w:rsid w:val="00B34C64"/>
    <w:rsid w:val="00B40E12"/>
    <w:rsid w:val="00B602F6"/>
    <w:rsid w:val="00B61049"/>
    <w:rsid w:val="00B659FF"/>
    <w:rsid w:val="00B80913"/>
    <w:rsid w:val="00BB4654"/>
    <w:rsid w:val="00BB5FBB"/>
    <w:rsid w:val="00BB7762"/>
    <w:rsid w:val="00BC0C95"/>
    <w:rsid w:val="00BD5120"/>
    <w:rsid w:val="00BD5487"/>
    <w:rsid w:val="00BF40A2"/>
    <w:rsid w:val="00C0061A"/>
    <w:rsid w:val="00C01682"/>
    <w:rsid w:val="00C01E39"/>
    <w:rsid w:val="00C031FD"/>
    <w:rsid w:val="00C32C76"/>
    <w:rsid w:val="00C32D19"/>
    <w:rsid w:val="00C41284"/>
    <w:rsid w:val="00C41E08"/>
    <w:rsid w:val="00C51278"/>
    <w:rsid w:val="00C56EF3"/>
    <w:rsid w:val="00C674DC"/>
    <w:rsid w:val="00C927B6"/>
    <w:rsid w:val="00C962AD"/>
    <w:rsid w:val="00CA772C"/>
    <w:rsid w:val="00CB4754"/>
    <w:rsid w:val="00CC4EC0"/>
    <w:rsid w:val="00CD1FF2"/>
    <w:rsid w:val="00D012F2"/>
    <w:rsid w:val="00D025EB"/>
    <w:rsid w:val="00D06115"/>
    <w:rsid w:val="00D11B5E"/>
    <w:rsid w:val="00D21BC8"/>
    <w:rsid w:val="00D24E45"/>
    <w:rsid w:val="00D30109"/>
    <w:rsid w:val="00D31D19"/>
    <w:rsid w:val="00D32432"/>
    <w:rsid w:val="00D37702"/>
    <w:rsid w:val="00D53321"/>
    <w:rsid w:val="00D54044"/>
    <w:rsid w:val="00D72C62"/>
    <w:rsid w:val="00D745AE"/>
    <w:rsid w:val="00D801EE"/>
    <w:rsid w:val="00D8234A"/>
    <w:rsid w:val="00D82A43"/>
    <w:rsid w:val="00D907DD"/>
    <w:rsid w:val="00D90B74"/>
    <w:rsid w:val="00DC17E5"/>
    <w:rsid w:val="00DD37B2"/>
    <w:rsid w:val="00DE4BB3"/>
    <w:rsid w:val="00DF723A"/>
    <w:rsid w:val="00E21200"/>
    <w:rsid w:val="00E240DC"/>
    <w:rsid w:val="00E25FE3"/>
    <w:rsid w:val="00E43DC0"/>
    <w:rsid w:val="00E478D4"/>
    <w:rsid w:val="00E54703"/>
    <w:rsid w:val="00E56DC1"/>
    <w:rsid w:val="00E70845"/>
    <w:rsid w:val="00E711D3"/>
    <w:rsid w:val="00E71704"/>
    <w:rsid w:val="00E76578"/>
    <w:rsid w:val="00E7722F"/>
    <w:rsid w:val="00EA6D56"/>
    <w:rsid w:val="00EB5AE3"/>
    <w:rsid w:val="00EB72DA"/>
    <w:rsid w:val="00EC39F9"/>
    <w:rsid w:val="00EC5029"/>
    <w:rsid w:val="00EC6B8D"/>
    <w:rsid w:val="00ED19FF"/>
    <w:rsid w:val="00EF7BB2"/>
    <w:rsid w:val="00F07FDA"/>
    <w:rsid w:val="00F12D26"/>
    <w:rsid w:val="00F13AB7"/>
    <w:rsid w:val="00F14A99"/>
    <w:rsid w:val="00F17EC3"/>
    <w:rsid w:val="00F212CD"/>
    <w:rsid w:val="00F2700A"/>
    <w:rsid w:val="00F32D7A"/>
    <w:rsid w:val="00F342CE"/>
    <w:rsid w:val="00F366A5"/>
    <w:rsid w:val="00F36C6E"/>
    <w:rsid w:val="00F404E2"/>
    <w:rsid w:val="00F521DE"/>
    <w:rsid w:val="00F56D14"/>
    <w:rsid w:val="00F73760"/>
    <w:rsid w:val="00F83CAB"/>
    <w:rsid w:val="00F87CC1"/>
    <w:rsid w:val="00FA1644"/>
    <w:rsid w:val="00FB74FB"/>
    <w:rsid w:val="00FD1430"/>
    <w:rsid w:val="00FD2AD5"/>
    <w:rsid w:val="00FD5653"/>
    <w:rsid w:val="00FD567A"/>
    <w:rsid w:val="00FD6300"/>
    <w:rsid w:val="00FF191D"/>
    <w:rsid w:val="00FF2323"/>
    <w:rsid w:val="01282FD5"/>
    <w:rsid w:val="012B75E5"/>
    <w:rsid w:val="01AE3A93"/>
    <w:rsid w:val="02302F4F"/>
    <w:rsid w:val="02336700"/>
    <w:rsid w:val="0256117D"/>
    <w:rsid w:val="02C84553"/>
    <w:rsid w:val="02D43413"/>
    <w:rsid w:val="03145C88"/>
    <w:rsid w:val="032313F8"/>
    <w:rsid w:val="038B086C"/>
    <w:rsid w:val="04AC229B"/>
    <w:rsid w:val="061C7363"/>
    <w:rsid w:val="06614E9A"/>
    <w:rsid w:val="07676BF3"/>
    <w:rsid w:val="078B01E7"/>
    <w:rsid w:val="079F47F2"/>
    <w:rsid w:val="07AD578B"/>
    <w:rsid w:val="07E0219A"/>
    <w:rsid w:val="08C4683E"/>
    <w:rsid w:val="0A2B2138"/>
    <w:rsid w:val="0A740E30"/>
    <w:rsid w:val="0BE05F08"/>
    <w:rsid w:val="0BF63214"/>
    <w:rsid w:val="0CDA0209"/>
    <w:rsid w:val="0CFE390A"/>
    <w:rsid w:val="0FF444D9"/>
    <w:rsid w:val="10FD3C26"/>
    <w:rsid w:val="110A4BD6"/>
    <w:rsid w:val="110E5070"/>
    <w:rsid w:val="1121620E"/>
    <w:rsid w:val="113C0177"/>
    <w:rsid w:val="128E59A0"/>
    <w:rsid w:val="12A16D38"/>
    <w:rsid w:val="12BE0017"/>
    <w:rsid w:val="12F25906"/>
    <w:rsid w:val="134256A3"/>
    <w:rsid w:val="13831A01"/>
    <w:rsid w:val="13897040"/>
    <w:rsid w:val="13E462D3"/>
    <w:rsid w:val="1500404C"/>
    <w:rsid w:val="16CB5035"/>
    <w:rsid w:val="17822CF7"/>
    <w:rsid w:val="187E2B6D"/>
    <w:rsid w:val="1A6566E0"/>
    <w:rsid w:val="1AD945B4"/>
    <w:rsid w:val="1B8544EA"/>
    <w:rsid w:val="1E1F1349"/>
    <w:rsid w:val="1E2D10CA"/>
    <w:rsid w:val="1E9345FA"/>
    <w:rsid w:val="1F040378"/>
    <w:rsid w:val="21DB6125"/>
    <w:rsid w:val="225A232E"/>
    <w:rsid w:val="23E56127"/>
    <w:rsid w:val="23FC3767"/>
    <w:rsid w:val="24375CF1"/>
    <w:rsid w:val="244201CD"/>
    <w:rsid w:val="24606723"/>
    <w:rsid w:val="25F861CB"/>
    <w:rsid w:val="271A3C76"/>
    <w:rsid w:val="27E13B5E"/>
    <w:rsid w:val="27F316BF"/>
    <w:rsid w:val="2868280A"/>
    <w:rsid w:val="2B5E164B"/>
    <w:rsid w:val="2D6F6585"/>
    <w:rsid w:val="2D963CB8"/>
    <w:rsid w:val="2D9667F1"/>
    <w:rsid w:val="2E8678E4"/>
    <w:rsid w:val="2EEB0530"/>
    <w:rsid w:val="2F493AF9"/>
    <w:rsid w:val="30004B91"/>
    <w:rsid w:val="3106268A"/>
    <w:rsid w:val="310A436D"/>
    <w:rsid w:val="314E7E60"/>
    <w:rsid w:val="319E7A0B"/>
    <w:rsid w:val="321B1B0F"/>
    <w:rsid w:val="32E015EB"/>
    <w:rsid w:val="33D75FC6"/>
    <w:rsid w:val="34C55FE0"/>
    <w:rsid w:val="34C9183C"/>
    <w:rsid w:val="354043CF"/>
    <w:rsid w:val="35441A66"/>
    <w:rsid w:val="35B75499"/>
    <w:rsid w:val="35CD4B58"/>
    <w:rsid w:val="364F3F3D"/>
    <w:rsid w:val="371A7E84"/>
    <w:rsid w:val="37FD782C"/>
    <w:rsid w:val="390D2985"/>
    <w:rsid w:val="393F6E7E"/>
    <w:rsid w:val="3CBE0B3B"/>
    <w:rsid w:val="3CD119D8"/>
    <w:rsid w:val="3D160C65"/>
    <w:rsid w:val="3DF86086"/>
    <w:rsid w:val="3E793BC7"/>
    <w:rsid w:val="3EA50C73"/>
    <w:rsid w:val="3EED18C7"/>
    <w:rsid w:val="3F101B53"/>
    <w:rsid w:val="3FB3344B"/>
    <w:rsid w:val="3FFC647D"/>
    <w:rsid w:val="40AD7440"/>
    <w:rsid w:val="41042841"/>
    <w:rsid w:val="4196320D"/>
    <w:rsid w:val="42473418"/>
    <w:rsid w:val="426E7979"/>
    <w:rsid w:val="42D4719F"/>
    <w:rsid w:val="431F5CEB"/>
    <w:rsid w:val="43F10593"/>
    <w:rsid w:val="44274D72"/>
    <w:rsid w:val="44762682"/>
    <w:rsid w:val="45010B0D"/>
    <w:rsid w:val="45567944"/>
    <w:rsid w:val="45651CF7"/>
    <w:rsid w:val="465572EB"/>
    <w:rsid w:val="46626375"/>
    <w:rsid w:val="46E95BEF"/>
    <w:rsid w:val="46FD129D"/>
    <w:rsid w:val="4700714F"/>
    <w:rsid w:val="476946D4"/>
    <w:rsid w:val="47C15E6E"/>
    <w:rsid w:val="47C32C93"/>
    <w:rsid w:val="48850DEE"/>
    <w:rsid w:val="493443F7"/>
    <w:rsid w:val="49D81CDC"/>
    <w:rsid w:val="49E55F58"/>
    <w:rsid w:val="49EE55C8"/>
    <w:rsid w:val="4A600120"/>
    <w:rsid w:val="4AAB4284"/>
    <w:rsid w:val="4B67415E"/>
    <w:rsid w:val="4C7C3F6F"/>
    <w:rsid w:val="4CB8774E"/>
    <w:rsid w:val="4CDA0CEC"/>
    <w:rsid w:val="4CF344DB"/>
    <w:rsid w:val="4D5B16E0"/>
    <w:rsid w:val="4D846900"/>
    <w:rsid w:val="4DB25245"/>
    <w:rsid w:val="4EAE11F1"/>
    <w:rsid w:val="4ECE20C6"/>
    <w:rsid w:val="4EE37886"/>
    <w:rsid w:val="4F925C86"/>
    <w:rsid w:val="4FE71938"/>
    <w:rsid w:val="50270997"/>
    <w:rsid w:val="515062C0"/>
    <w:rsid w:val="51814865"/>
    <w:rsid w:val="518A1BD2"/>
    <w:rsid w:val="521D241C"/>
    <w:rsid w:val="537A3FCA"/>
    <w:rsid w:val="54105575"/>
    <w:rsid w:val="548C740A"/>
    <w:rsid w:val="54C56533"/>
    <w:rsid w:val="55FE6FC5"/>
    <w:rsid w:val="56275238"/>
    <w:rsid w:val="57D47B9A"/>
    <w:rsid w:val="586B03D0"/>
    <w:rsid w:val="58705805"/>
    <w:rsid w:val="588C2168"/>
    <w:rsid w:val="59433AD9"/>
    <w:rsid w:val="59B15D0B"/>
    <w:rsid w:val="5AB00685"/>
    <w:rsid w:val="5CC04CC8"/>
    <w:rsid w:val="5EFD5D8C"/>
    <w:rsid w:val="5F0213CE"/>
    <w:rsid w:val="5F3640B7"/>
    <w:rsid w:val="5FB7449F"/>
    <w:rsid w:val="60FA4EC0"/>
    <w:rsid w:val="6135630A"/>
    <w:rsid w:val="61B94CA5"/>
    <w:rsid w:val="61F27696"/>
    <w:rsid w:val="622B70C3"/>
    <w:rsid w:val="626F7208"/>
    <w:rsid w:val="62CF7E02"/>
    <w:rsid w:val="64176A04"/>
    <w:rsid w:val="64256069"/>
    <w:rsid w:val="64920E7C"/>
    <w:rsid w:val="65255E6C"/>
    <w:rsid w:val="658C275D"/>
    <w:rsid w:val="66123DC3"/>
    <w:rsid w:val="6A364E88"/>
    <w:rsid w:val="6B32002D"/>
    <w:rsid w:val="6B4543E2"/>
    <w:rsid w:val="6B537515"/>
    <w:rsid w:val="6BC7125C"/>
    <w:rsid w:val="6BE87CB7"/>
    <w:rsid w:val="6BFD7E21"/>
    <w:rsid w:val="6C7A6304"/>
    <w:rsid w:val="6CEF7B26"/>
    <w:rsid w:val="6D0B0656"/>
    <w:rsid w:val="6E6648BE"/>
    <w:rsid w:val="6FE971FA"/>
    <w:rsid w:val="705606D4"/>
    <w:rsid w:val="716B3813"/>
    <w:rsid w:val="719B1426"/>
    <w:rsid w:val="71BF0B37"/>
    <w:rsid w:val="71EF3E0A"/>
    <w:rsid w:val="71FA4E10"/>
    <w:rsid w:val="73D90E17"/>
    <w:rsid w:val="743E515F"/>
    <w:rsid w:val="74B00D8D"/>
    <w:rsid w:val="75154663"/>
    <w:rsid w:val="760D1489"/>
    <w:rsid w:val="764F29D5"/>
    <w:rsid w:val="76FF2464"/>
    <w:rsid w:val="77922DCD"/>
    <w:rsid w:val="79DC0F77"/>
    <w:rsid w:val="7A056E66"/>
    <w:rsid w:val="7A1608A9"/>
    <w:rsid w:val="7BAD3475"/>
    <w:rsid w:val="7C237C8C"/>
    <w:rsid w:val="7C602A68"/>
    <w:rsid w:val="7CAE004A"/>
    <w:rsid w:val="7E0A4897"/>
    <w:rsid w:val="7EA970D3"/>
    <w:rsid w:val="7F3F5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5"/>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38"/>
    <w:semiHidden/>
    <w:unhideWhenUsed/>
    <w:qFormat/>
    <w:uiPriority w:val="0"/>
    <w:pPr>
      <w:spacing w:after="120"/>
    </w:p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6">
    <w:name w:val="Date"/>
    <w:basedOn w:val="1"/>
    <w:next w:val="1"/>
    <w:link w:val="34"/>
    <w:unhideWhenUsed/>
    <w:qFormat/>
    <w:uiPriority w:val="99"/>
    <w:pPr>
      <w:ind w:left="100" w:leftChars="2500"/>
    </w:pPr>
  </w:style>
  <w:style w:type="paragraph" w:styleId="7">
    <w:name w:val="Balloon Text"/>
    <w:basedOn w:val="1"/>
    <w:link w:val="39"/>
    <w:semiHidden/>
    <w:unhideWhenUsed/>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spacing w:beforeAutospacing="1" w:afterAutospacing="1"/>
      <w:ind w:firstLine="360"/>
      <w:jc w:val="left"/>
    </w:pPr>
    <w:rPr>
      <w:color w:val="666666"/>
      <w:kern w:val="0"/>
      <w:sz w:val="18"/>
      <w:szCs w:val="18"/>
    </w:rPr>
  </w:style>
  <w:style w:type="character" w:styleId="13">
    <w:name w:val="Strong"/>
    <w:qFormat/>
    <w:uiPriority w:val="22"/>
    <w:rPr>
      <w:b/>
      <w:bCs/>
    </w:rPr>
  </w:style>
  <w:style w:type="character" w:styleId="14">
    <w:name w:val="FollowedHyperlink"/>
    <w:unhideWhenUsed/>
    <w:qFormat/>
    <w:uiPriority w:val="99"/>
    <w:rPr>
      <w:color w:val="333333"/>
      <w:u w:val="none"/>
    </w:rPr>
  </w:style>
  <w:style w:type="character" w:styleId="15">
    <w:name w:val="Hyperlink"/>
    <w:unhideWhenUsed/>
    <w:qFormat/>
    <w:uiPriority w:val="99"/>
    <w:rPr>
      <w:color w:val="333333"/>
      <w:u w:val="none"/>
    </w:rPr>
  </w:style>
  <w:style w:type="paragraph" w:customStyle="1" w:styleId="16">
    <w:name w:val="列出段落1"/>
    <w:basedOn w:val="1"/>
    <w:qFormat/>
    <w:uiPriority w:val="34"/>
    <w:pPr>
      <w:ind w:firstLine="420" w:firstLineChars="200"/>
    </w:pPr>
  </w:style>
  <w:style w:type="paragraph" w:customStyle="1" w:styleId="17">
    <w:name w:val="列出段落11"/>
    <w:basedOn w:val="1"/>
    <w:qFormat/>
    <w:uiPriority w:val="34"/>
    <w:pPr>
      <w:ind w:firstLine="420" w:firstLineChars="200"/>
    </w:pPr>
    <w:rPr>
      <w:szCs w:val="20"/>
    </w:rPr>
  </w:style>
  <w:style w:type="character" w:customStyle="1" w:styleId="18">
    <w:name w:val="t7"/>
    <w:qFormat/>
    <w:uiPriority w:val="0"/>
    <w:rPr>
      <w:color w:val="336699"/>
      <w:sz w:val="33"/>
      <w:szCs w:val="33"/>
    </w:rPr>
  </w:style>
  <w:style w:type="character" w:customStyle="1" w:styleId="19">
    <w:name w:val="t4"/>
    <w:qFormat/>
    <w:uiPriority w:val="0"/>
    <w:rPr>
      <w:color w:val="000000"/>
      <w:sz w:val="24"/>
      <w:szCs w:val="24"/>
    </w:rPr>
  </w:style>
  <w:style w:type="character" w:customStyle="1" w:styleId="20">
    <w:name w:val="t8"/>
    <w:qFormat/>
    <w:uiPriority w:val="0"/>
    <w:rPr>
      <w:color w:val="003399"/>
      <w:sz w:val="36"/>
      <w:szCs w:val="36"/>
    </w:rPr>
  </w:style>
  <w:style w:type="character" w:customStyle="1" w:styleId="21">
    <w:name w:val="bsharetext"/>
    <w:basedOn w:val="12"/>
    <w:qFormat/>
    <w:uiPriority w:val="0"/>
  </w:style>
  <w:style w:type="character" w:customStyle="1" w:styleId="22">
    <w:name w:val="t5"/>
    <w:qFormat/>
    <w:uiPriority w:val="0"/>
    <w:rPr>
      <w:color w:val="FF6600"/>
      <w:sz w:val="27"/>
      <w:szCs w:val="27"/>
    </w:rPr>
  </w:style>
  <w:style w:type="character" w:customStyle="1" w:styleId="23">
    <w:name w:val="t1"/>
    <w:qFormat/>
    <w:uiPriority w:val="0"/>
    <w:rPr>
      <w:color w:val="888888"/>
      <w:sz w:val="21"/>
      <w:szCs w:val="21"/>
    </w:rPr>
  </w:style>
  <w:style w:type="character" w:customStyle="1" w:styleId="24">
    <w:name w:val="t2"/>
    <w:qFormat/>
    <w:uiPriority w:val="0"/>
    <w:rPr>
      <w:color w:val="666666"/>
      <w:sz w:val="19"/>
      <w:szCs w:val="19"/>
    </w:rPr>
  </w:style>
  <w:style w:type="character" w:customStyle="1" w:styleId="25">
    <w:name w:val="t3"/>
    <w:qFormat/>
    <w:uiPriority w:val="0"/>
    <w:rPr>
      <w:color w:val="333333"/>
      <w:sz w:val="22"/>
      <w:szCs w:val="22"/>
    </w:rPr>
  </w:style>
  <w:style w:type="character" w:customStyle="1" w:styleId="26">
    <w:name w:val="t6"/>
    <w:qFormat/>
    <w:uiPriority w:val="0"/>
    <w:rPr>
      <w:color w:val="009999"/>
      <w:sz w:val="30"/>
      <w:szCs w:val="30"/>
    </w:rPr>
  </w:style>
  <w:style w:type="character" w:customStyle="1" w:styleId="27">
    <w:name w:val="t9"/>
    <w:qFormat/>
    <w:uiPriority w:val="0"/>
    <w:rPr>
      <w:color w:val="FF6600"/>
      <w:sz w:val="39"/>
      <w:szCs w:val="39"/>
    </w:rPr>
  </w:style>
  <w:style w:type="character" w:customStyle="1" w:styleId="28">
    <w:name w:val="t10"/>
    <w:qFormat/>
    <w:uiPriority w:val="0"/>
    <w:rPr>
      <w:color w:val="CC0000"/>
      <w:sz w:val="42"/>
      <w:szCs w:val="42"/>
    </w:rPr>
  </w:style>
  <w:style w:type="character" w:customStyle="1" w:styleId="29">
    <w:name w:val="fontstyle01"/>
    <w:qFormat/>
    <w:uiPriority w:val="0"/>
    <w:rPr>
      <w:rFonts w:hint="eastAsia" w:ascii="方正仿宋_GBK" w:eastAsia="方正仿宋_GBK"/>
      <w:color w:val="000000"/>
      <w:sz w:val="32"/>
      <w:szCs w:val="32"/>
    </w:rPr>
  </w:style>
  <w:style w:type="character" w:customStyle="1" w:styleId="30">
    <w:name w:val="fontstyle21"/>
    <w:qFormat/>
    <w:uiPriority w:val="0"/>
    <w:rPr>
      <w:rFonts w:hint="eastAsia" w:ascii="宋体" w:hAnsi="宋体" w:eastAsia="宋体"/>
      <w:color w:val="000000"/>
      <w:sz w:val="28"/>
      <w:szCs w:val="28"/>
    </w:rPr>
  </w:style>
  <w:style w:type="character" w:customStyle="1" w:styleId="31">
    <w:name w:val="fontstyle11"/>
    <w:qFormat/>
    <w:uiPriority w:val="0"/>
    <w:rPr>
      <w:rFonts w:hint="eastAsia" w:ascii="方正仿宋_GBK" w:eastAsia="方正仿宋_GBK"/>
      <w:color w:val="000000"/>
      <w:sz w:val="32"/>
      <w:szCs w:val="32"/>
    </w:rPr>
  </w:style>
  <w:style w:type="character" w:customStyle="1" w:styleId="32">
    <w:name w:val="fontstyle31"/>
    <w:qFormat/>
    <w:uiPriority w:val="0"/>
    <w:rPr>
      <w:rFonts w:hint="default" w:ascii="Times New Roman" w:hAnsi="Times New Roman" w:cs="Times New Roman"/>
      <w:color w:val="000000"/>
      <w:sz w:val="32"/>
      <w:szCs w:val="32"/>
    </w:rPr>
  </w:style>
  <w:style w:type="character" w:customStyle="1" w:styleId="33">
    <w:name w:val="fontstyle41"/>
    <w:qFormat/>
    <w:uiPriority w:val="0"/>
    <w:rPr>
      <w:rFonts w:hint="eastAsia" w:ascii="宋体" w:hAnsi="宋体" w:eastAsia="宋体"/>
      <w:color w:val="000000"/>
      <w:sz w:val="28"/>
      <w:szCs w:val="28"/>
    </w:rPr>
  </w:style>
  <w:style w:type="character" w:customStyle="1" w:styleId="34">
    <w:name w:val="日期 Char"/>
    <w:link w:val="6"/>
    <w:semiHidden/>
    <w:qFormat/>
    <w:uiPriority w:val="99"/>
    <w:rPr>
      <w:rFonts w:ascii="Calibri" w:hAnsi="Calibri" w:eastAsia="宋体"/>
      <w:kern w:val="2"/>
      <w:sz w:val="21"/>
      <w:szCs w:val="22"/>
    </w:rPr>
  </w:style>
  <w:style w:type="character" w:customStyle="1" w:styleId="35">
    <w:name w:val="标题 2 Char"/>
    <w:basedOn w:val="12"/>
    <w:link w:val="5"/>
    <w:qFormat/>
    <w:uiPriority w:val="9"/>
    <w:rPr>
      <w:rFonts w:ascii="宋体" w:hAnsi="宋体" w:cs="宋体"/>
      <w:b/>
      <w:bCs/>
      <w:sz w:val="36"/>
      <w:szCs w:val="36"/>
    </w:rPr>
  </w:style>
  <w:style w:type="paragraph" w:customStyle="1" w:styleId="36">
    <w:name w:val="_Style 7"/>
    <w:basedOn w:val="1"/>
    <w:qFormat/>
    <w:uiPriority w:val="0"/>
    <w:pPr>
      <w:widowControl/>
      <w:spacing w:after="160" w:line="240" w:lineRule="exact"/>
      <w:jc w:val="left"/>
    </w:pPr>
    <w:rPr>
      <w:rFonts w:ascii="Arial" w:hAnsi="Arial" w:eastAsia="Times New Roman" w:cs="Verdana"/>
      <w:b/>
      <w:snapToGrid w:val="0"/>
      <w:kern w:val="0"/>
      <w:sz w:val="24"/>
      <w:szCs w:val="32"/>
      <w:lang w:eastAsia="en-US"/>
    </w:rPr>
  </w:style>
  <w:style w:type="character" w:customStyle="1" w:styleId="37">
    <w:name w:val="标题 1 Char"/>
    <w:basedOn w:val="12"/>
    <w:link w:val="4"/>
    <w:qFormat/>
    <w:uiPriority w:val="9"/>
    <w:rPr>
      <w:rFonts w:ascii="Calibri" w:hAnsi="Calibri"/>
      <w:b/>
      <w:bCs/>
      <w:kern w:val="44"/>
      <w:sz w:val="44"/>
      <w:szCs w:val="44"/>
    </w:rPr>
  </w:style>
  <w:style w:type="character" w:customStyle="1" w:styleId="38">
    <w:name w:val="正文文本 Char"/>
    <w:basedOn w:val="12"/>
    <w:link w:val="2"/>
    <w:semiHidden/>
    <w:qFormat/>
    <w:uiPriority w:val="0"/>
    <w:rPr>
      <w:rFonts w:ascii="Calibri" w:hAnsi="Calibri"/>
      <w:kern w:val="2"/>
      <w:sz w:val="21"/>
      <w:szCs w:val="22"/>
    </w:rPr>
  </w:style>
  <w:style w:type="character" w:customStyle="1" w:styleId="39">
    <w:name w:val="批注框文本 Char"/>
    <w:basedOn w:val="12"/>
    <w:link w:val="7"/>
    <w:semiHidden/>
    <w:qFormat/>
    <w:uiPriority w:val="0"/>
    <w:rPr>
      <w:rFonts w:ascii="Calibri" w:hAnsi="Calibri"/>
      <w:kern w:val="2"/>
      <w:sz w:val="18"/>
      <w:szCs w:val="18"/>
    </w:rPr>
  </w:style>
  <w:style w:type="paragraph" w:customStyle="1" w:styleId="40">
    <w:name w:val="Default"/>
    <w:basedOn w:val="1"/>
    <w:qFormat/>
    <w:uiPriority w:val="0"/>
    <w:pPr>
      <w:autoSpaceDE w:val="0"/>
      <w:autoSpaceDN w:val="0"/>
      <w:adjustRightInd w:val="0"/>
      <w:jc w:val="left"/>
    </w:pPr>
    <w:rPr>
      <w:rFonts w:ascii="仿宋_GB2312" w:hAnsi="Calibri" w:eastAsia="宋体" w:cs="宋体"/>
      <w:color w:val="000000"/>
      <w:kern w:val="0"/>
      <w:sz w:val="24"/>
      <w:szCs w:val="24"/>
    </w:rPr>
  </w:style>
  <w:style w:type="paragraph" w:styleId="4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42">
    <w:name w:val="Char Style 11"/>
    <w:basedOn w:val="12"/>
    <w:link w:val="43"/>
    <w:qFormat/>
    <w:uiPriority w:val="0"/>
    <w:rPr>
      <w:rFonts w:ascii="宋体" w:hAnsi="宋体" w:eastAsia="宋体" w:cs="宋体"/>
      <w:sz w:val="42"/>
      <w:szCs w:val="42"/>
      <w:u w:val="none"/>
      <w:lang w:val="zh-CN" w:eastAsia="zh-CN" w:bidi="zh-CN"/>
    </w:rPr>
  </w:style>
  <w:style w:type="paragraph" w:customStyle="1" w:styleId="43">
    <w:name w:val="Style 10"/>
    <w:basedOn w:val="1"/>
    <w:link w:val="42"/>
    <w:qFormat/>
    <w:uiPriority w:val="0"/>
    <w:pPr>
      <w:widowControl w:val="0"/>
      <w:shd w:val="clear" w:color="auto" w:fill="auto"/>
      <w:spacing w:after="500"/>
      <w:jc w:val="center"/>
      <w:outlineLvl w:val="1"/>
    </w:pPr>
    <w:rPr>
      <w:rFonts w:ascii="宋体" w:hAnsi="宋体" w:eastAsia="宋体" w:cs="宋体"/>
      <w:sz w:val="42"/>
      <w:szCs w:val="42"/>
      <w:u w:val="none"/>
      <w:lang w:val="zh-CN" w:eastAsia="zh-CN" w:bidi="zh-CN"/>
    </w:rPr>
  </w:style>
  <w:style w:type="character" w:customStyle="1" w:styleId="44">
    <w:name w:val="Char Style 6"/>
    <w:basedOn w:val="12"/>
    <w:link w:val="45"/>
    <w:qFormat/>
    <w:uiPriority w:val="0"/>
    <w:rPr>
      <w:rFonts w:ascii="宋体" w:hAnsi="宋体" w:eastAsia="宋体" w:cs="宋体"/>
      <w:sz w:val="30"/>
      <w:szCs w:val="30"/>
      <w:u w:val="none"/>
      <w:lang w:val="zh-CN" w:eastAsia="zh-CN" w:bidi="zh-CN"/>
    </w:rPr>
  </w:style>
  <w:style w:type="paragraph" w:customStyle="1" w:styleId="45">
    <w:name w:val="Style 5"/>
    <w:link w:val="44"/>
    <w:qFormat/>
    <w:uiPriority w:val="0"/>
    <w:pPr>
      <w:widowControl w:val="0"/>
      <w:shd w:val="clear" w:color="auto" w:fill="auto"/>
      <w:spacing w:line="401" w:lineRule="auto"/>
      <w:ind w:firstLine="400"/>
    </w:pPr>
    <w:rPr>
      <w:rFonts w:ascii="宋体" w:hAnsi="宋体" w:eastAsia="宋体" w:cs="宋体"/>
      <w:sz w:val="30"/>
      <w:szCs w:val="30"/>
      <w:u w:val="none"/>
      <w:lang w:val="zh-CN" w:eastAsia="zh-CN" w:bidi="zh-CN"/>
    </w:rPr>
  </w:style>
  <w:style w:type="paragraph" w:customStyle="1" w:styleId="46">
    <w:name w:val="Style 12"/>
    <w:basedOn w:val="1"/>
    <w:link w:val="47"/>
    <w:qFormat/>
    <w:uiPriority w:val="0"/>
    <w:pPr>
      <w:widowControl w:val="0"/>
      <w:shd w:val="clear" w:color="auto" w:fill="auto"/>
      <w:spacing w:after="560" w:line="571" w:lineRule="exact"/>
      <w:jc w:val="center"/>
      <w:outlineLvl w:val="2"/>
    </w:pPr>
    <w:rPr>
      <w:rFonts w:ascii="宋体" w:hAnsi="宋体" w:eastAsia="宋体" w:cs="宋体"/>
      <w:b/>
      <w:bCs/>
      <w:sz w:val="30"/>
      <w:szCs w:val="30"/>
      <w:u w:val="none"/>
      <w:lang w:val="zh-CN" w:eastAsia="zh-CN" w:bidi="zh-CN"/>
    </w:rPr>
  </w:style>
  <w:style w:type="character" w:customStyle="1" w:styleId="47">
    <w:name w:val="Char Style 13"/>
    <w:basedOn w:val="12"/>
    <w:link w:val="46"/>
    <w:qFormat/>
    <w:uiPriority w:val="0"/>
    <w:rPr>
      <w:rFonts w:ascii="宋体" w:hAnsi="宋体" w:eastAsia="宋体" w:cs="宋体"/>
      <w:b/>
      <w:bCs/>
      <w:sz w:val="30"/>
      <w:szCs w:val="30"/>
      <w:u w:val="none"/>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580</Words>
  <Characters>3307</Characters>
  <Lines>27</Lines>
  <Paragraphs>7</Paragraphs>
  <TotalTime>3</TotalTime>
  <ScaleCrop>false</ScaleCrop>
  <LinksUpToDate>false</LinksUpToDate>
  <CharactersWithSpaces>3880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2021-08-20T01:51:00Z</dcterms:created>
  <dc:creator>Administrator</dc:creator>
  <cp:lastModifiedBy>WPS_1623900013</cp:lastModifiedBy>
  <cp:lastPrinted>2021-10-18T07:15:00Z</cp:lastPrinted>
  <dcterms:modified xsi:type="dcterms:W3CDTF">2023-08-17T02:18:35Z</dcterms:modified>
  <dc:title>中共重庆市万州区委组织部</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9CF7747A9A58485090B5D9E5ECED31AB</vt:lpwstr>
  </property>
</Properties>
</file>