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万州区财政局关于</w:t>
      </w: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w:t>
      </w:r>
      <w:r>
        <w:rPr>
          <w:rFonts w:hint="eastAsia" w:ascii="方正小标宋_GBK" w:hAnsi="方正小标宋_GBK" w:eastAsia="方正小标宋_GBK" w:cs="方正小标宋_GBK"/>
          <w:sz w:val="44"/>
          <w:szCs w:val="44"/>
          <w:lang w:val="en-US" w:eastAsia="zh-CN"/>
        </w:rPr>
        <w:t>四</w:t>
      </w:r>
      <w:r>
        <w:rPr>
          <w:rFonts w:hint="eastAsia" w:ascii="方正小标宋_GBK" w:hAnsi="方正小标宋_GBK" w:eastAsia="方正小标宋_GBK" w:cs="方正小标宋_GBK"/>
          <w:sz w:val="44"/>
          <w:szCs w:val="44"/>
        </w:rPr>
        <w:t>季度直达资金执行</w:t>
      </w:r>
      <w:r>
        <w:rPr>
          <w:rFonts w:hint="eastAsia" w:ascii="方正小标宋_GBK" w:hAnsi="方正小标宋_GBK" w:eastAsia="方正小标宋_GBK" w:cs="方正小标宋_GBK"/>
          <w:sz w:val="44"/>
          <w:szCs w:val="44"/>
          <w:lang w:val="en-US" w:eastAsia="zh-CN"/>
        </w:rPr>
        <w:t>情况总结</w:t>
      </w:r>
    </w:p>
    <w:p>
      <w:pPr>
        <w:keepNext w:val="0"/>
        <w:keepLines w:val="0"/>
        <w:pageBreakBefore w:val="0"/>
        <w:widowControl w:val="0"/>
        <w:kinsoku/>
        <w:wordWrap/>
        <w:overflowPunct/>
        <w:topLinePunct w:val="0"/>
        <w:bidi w:val="0"/>
        <w:snapToGrid/>
        <w:spacing w:line="560" w:lineRule="exact"/>
        <w:textAlignment w:val="auto"/>
        <w:rPr>
          <w:rFonts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lang w:val="en-US"/>
        </w:rPr>
      </w:pPr>
      <w:r>
        <w:rPr>
          <w:rFonts w:hint="eastAsia" w:ascii="黑体" w:hAnsi="黑体" w:eastAsia="黑体" w:cs="黑体"/>
          <w:sz w:val="32"/>
          <w:szCs w:val="32"/>
          <w:lang w:val="en-US" w:eastAsia="zh-CN"/>
        </w:rPr>
        <w:t>一、基本概况</w:t>
      </w:r>
    </w:p>
    <w:p>
      <w:pPr>
        <w:pStyle w:val="2"/>
        <w:keepNext w:val="0"/>
        <w:keepLines w:val="0"/>
        <w:pageBreakBefore w:val="0"/>
        <w:widowControl w:val="0"/>
        <w:kinsoku/>
        <w:wordWrap/>
        <w:overflowPunct/>
        <w:topLinePunct w:val="0"/>
        <w:bidi w:val="0"/>
        <w:snapToGrid/>
        <w:spacing w:after="0" w:line="560" w:lineRule="exact"/>
        <w:ind w:firstLine="640" w:firstLineChars="200"/>
        <w:textAlignment w:val="auto"/>
      </w:pPr>
      <w:r>
        <w:rPr>
          <w:rFonts w:hint="eastAsia" w:ascii="方正仿宋_GBK" w:hAnsi="方正仿宋_GBK" w:eastAsia="方正仿宋_GBK" w:cs="方正仿宋_GBK"/>
          <w:sz w:val="32"/>
          <w:szCs w:val="32"/>
        </w:rPr>
        <w:t>截</w:t>
      </w:r>
      <w:r>
        <w:rPr>
          <w:rFonts w:hint="eastAsia" w:ascii="方正仿宋_GBK" w:hAnsi="方正仿宋_GBK" w:cs="方正仿宋_GBK"/>
          <w:sz w:val="32"/>
          <w:szCs w:val="32"/>
          <w:lang w:val="en-US" w:eastAsia="zh-CN"/>
        </w:rPr>
        <w:t>至</w:t>
      </w: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12月1</w:t>
      </w: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，我区直达资金预算为</w:t>
      </w:r>
      <w:r>
        <w:rPr>
          <w:rFonts w:hint="eastAsia" w:ascii="方正仿宋_GBK" w:hAnsi="方正仿宋_GBK" w:cs="方正仿宋_GBK"/>
          <w:sz w:val="32"/>
          <w:szCs w:val="32"/>
          <w:lang w:val="en-US" w:eastAsia="zh-CN"/>
        </w:rPr>
        <w:t>112537.11</w:t>
      </w:r>
      <w:r>
        <w:rPr>
          <w:rFonts w:hint="eastAsia" w:ascii="方正仿宋_GBK" w:hAnsi="方正仿宋_GBK" w:eastAsia="方正仿宋_GBK" w:cs="方正仿宋_GBK"/>
          <w:sz w:val="32"/>
          <w:szCs w:val="32"/>
        </w:rPr>
        <w:t>万元，已分配</w:t>
      </w:r>
      <w:r>
        <w:rPr>
          <w:rFonts w:hint="eastAsia" w:ascii="方正仿宋_GBK" w:hAnsi="方正仿宋_GBK" w:cs="方正仿宋_GBK"/>
          <w:sz w:val="32"/>
          <w:szCs w:val="32"/>
          <w:lang w:val="en-US" w:eastAsia="zh-CN"/>
        </w:rPr>
        <w:t>112537.11</w:t>
      </w:r>
      <w:r>
        <w:rPr>
          <w:rFonts w:hint="eastAsia" w:ascii="方正仿宋_GBK" w:hAnsi="方正仿宋_GBK" w:eastAsia="方正仿宋_GBK" w:cs="方正仿宋_GBK"/>
          <w:sz w:val="32"/>
          <w:szCs w:val="32"/>
        </w:rPr>
        <w:t>万元，分配进度100%，实现支出</w:t>
      </w:r>
      <w:r>
        <w:rPr>
          <w:rFonts w:hint="eastAsia" w:ascii="方正仿宋_GBK" w:hAnsi="方正仿宋_GBK" w:cs="方正仿宋_GBK"/>
          <w:sz w:val="32"/>
          <w:szCs w:val="32"/>
          <w:lang w:val="en-US" w:eastAsia="zh-CN"/>
        </w:rPr>
        <w:t>103208.02</w:t>
      </w:r>
      <w:r>
        <w:rPr>
          <w:rFonts w:hint="eastAsia" w:ascii="方正仿宋_GBK" w:hAnsi="方正仿宋_GBK" w:eastAsia="方正仿宋_GBK" w:cs="方正仿宋_GBK"/>
          <w:sz w:val="32"/>
          <w:szCs w:val="32"/>
        </w:rPr>
        <w:t>万元，支出进度</w:t>
      </w:r>
      <w:r>
        <w:rPr>
          <w:rFonts w:hint="eastAsia" w:ascii="方正仿宋_GBK" w:hAnsi="方正仿宋_GBK" w:cs="方正仿宋_GBK"/>
          <w:sz w:val="32"/>
          <w:szCs w:val="32"/>
          <w:lang w:val="en-US" w:eastAsia="zh-CN"/>
        </w:rPr>
        <w:t>91.7</w:t>
      </w:r>
      <w:r>
        <w:rPr>
          <w:rFonts w:hint="eastAsia" w:ascii="方正仿宋_GBK" w:hAnsi="方正仿宋_GBK" w:eastAsia="方正仿宋_GBK" w:cs="方正仿宋_GBK"/>
          <w:sz w:val="32"/>
          <w:szCs w:val="32"/>
        </w:rPr>
        <w:t>%。参照直达资金预算为</w:t>
      </w:r>
      <w:r>
        <w:rPr>
          <w:rFonts w:hint="eastAsia" w:ascii="方正仿宋_GBK" w:hAnsi="方正仿宋_GBK" w:eastAsia="方正仿宋_GBK" w:cs="方正仿宋_GBK"/>
          <w:sz w:val="32"/>
          <w:szCs w:val="32"/>
          <w:lang w:val="en-US" w:eastAsia="zh-CN"/>
        </w:rPr>
        <w:t>8321</w:t>
      </w:r>
      <w:r>
        <w:rPr>
          <w:rFonts w:hint="eastAsia" w:ascii="方正仿宋_GBK" w:hAnsi="方正仿宋_GBK" w:eastAsia="方正仿宋_GBK" w:cs="方正仿宋_GBK"/>
          <w:sz w:val="32"/>
          <w:szCs w:val="32"/>
        </w:rPr>
        <w:t>万元，已分配</w:t>
      </w:r>
      <w:r>
        <w:rPr>
          <w:rFonts w:hint="eastAsia" w:ascii="方正仿宋_GBK" w:hAnsi="方正仿宋_GBK" w:eastAsia="方正仿宋_GBK" w:cs="方正仿宋_GBK"/>
          <w:sz w:val="32"/>
          <w:szCs w:val="32"/>
          <w:lang w:val="en-US" w:eastAsia="zh-CN"/>
        </w:rPr>
        <w:t>8321</w:t>
      </w:r>
      <w:r>
        <w:rPr>
          <w:rFonts w:hint="eastAsia" w:ascii="方正仿宋_GBK" w:hAnsi="方正仿宋_GBK" w:eastAsia="方正仿宋_GBK" w:cs="方正仿宋_GBK"/>
          <w:sz w:val="32"/>
          <w:szCs w:val="32"/>
        </w:rPr>
        <w:t>万元，分配进度</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%，实现支出</w:t>
      </w:r>
      <w:r>
        <w:rPr>
          <w:rFonts w:hint="eastAsia" w:ascii="方正仿宋_GBK" w:hAnsi="方正仿宋_GBK" w:cs="方正仿宋_GBK"/>
          <w:sz w:val="32"/>
          <w:szCs w:val="32"/>
          <w:lang w:val="en-US" w:eastAsia="zh-CN"/>
        </w:rPr>
        <w:t>3870.65</w:t>
      </w:r>
      <w:r>
        <w:rPr>
          <w:rFonts w:hint="eastAsia" w:ascii="方正仿宋_GBK" w:hAnsi="方正仿宋_GBK" w:eastAsia="方正仿宋_GBK" w:cs="方正仿宋_GBK"/>
          <w:sz w:val="32"/>
          <w:szCs w:val="32"/>
        </w:rPr>
        <w:t>万元，支出进度</w:t>
      </w:r>
      <w:r>
        <w:rPr>
          <w:rFonts w:hint="eastAsia" w:ascii="方正仿宋_GBK" w:hAnsi="方正仿宋_GBK" w:cs="方正仿宋_GBK"/>
          <w:sz w:val="32"/>
          <w:szCs w:val="32"/>
          <w:lang w:val="en-US" w:eastAsia="zh-CN"/>
        </w:rPr>
        <w:t>47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目前，我区直达资金和参照直达资金已全部实现分配，</w:t>
      </w:r>
      <w:r>
        <w:rPr>
          <w:rFonts w:hint="eastAsia" w:ascii="方正仿宋_GBK" w:hAnsi="方正仿宋_GBK" w:eastAsia="方正仿宋_GBK" w:cs="方正仿宋_GBK"/>
          <w:sz w:val="32"/>
          <w:szCs w:val="32"/>
          <w:lang w:eastAsia="zh-CN"/>
        </w:rPr>
        <w:t>项目进度有序推进，资金拨</w:t>
      </w:r>
      <w:r>
        <w:rPr>
          <w:rFonts w:hint="eastAsia" w:ascii="方正仿宋_GBK" w:hAnsi="方正仿宋_GBK" w:cs="方正仿宋_GBK"/>
          <w:sz w:val="32"/>
          <w:szCs w:val="32"/>
          <w:lang w:val="en-US" w:eastAsia="zh-CN"/>
        </w:rPr>
        <w:t>付</w:t>
      </w:r>
      <w:r>
        <w:rPr>
          <w:rFonts w:hint="eastAsia" w:ascii="方正仿宋_GBK" w:hAnsi="方正仿宋_GBK" w:eastAsia="方正仿宋_GBK" w:cs="方正仿宋_GBK"/>
          <w:sz w:val="32"/>
          <w:szCs w:val="32"/>
          <w:lang w:eastAsia="zh-CN"/>
        </w:rPr>
        <w:t>紧跟建设进度</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eastAsia="方正仿宋_GBK"/>
          <w:lang w:val="en-US" w:eastAsia="zh-CN"/>
        </w:rPr>
      </w:pPr>
      <w:r>
        <w:rPr>
          <w:rFonts w:hint="eastAsia" w:ascii="黑体" w:hAnsi="黑体" w:eastAsia="黑体" w:cs="黑体"/>
          <w:sz w:val="32"/>
          <w:szCs w:val="32"/>
          <w:lang w:val="en-US" w:eastAsia="zh-CN"/>
        </w:rPr>
        <w:t>二、全年执行情况总结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黑体" w:hAnsi="黑体" w:eastAsia="黑体" w:cs="黑体"/>
          <w:sz w:val="32"/>
          <w:szCs w:val="32"/>
          <w:lang w:val="en-US" w:eastAsia="zh-CN"/>
        </w:rPr>
      </w:pPr>
      <w:r>
        <w:rPr>
          <w:rFonts w:hint="eastAsia" w:ascii="方正楷体_GBK" w:hAnsi="方正楷体_GBK" w:eastAsia="方正楷体_GBK" w:cs="方正楷体_GBK"/>
          <w:b/>
          <w:bCs/>
          <w:sz w:val="32"/>
          <w:szCs w:val="32"/>
          <w:lang w:val="en-US" w:eastAsia="zh-CN"/>
        </w:rPr>
        <w:t>（一）严格资金监管，建立定期督查机制</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方正仿宋_GBK" w:eastAsia="方正仿宋_GBK"/>
          <w:color w:val="auto"/>
          <w:sz w:val="32"/>
          <w:lang w:eastAsia="zh-CN"/>
        </w:rPr>
      </w:pPr>
      <w:r>
        <w:rPr>
          <w:rFonts w:hint="eastAsia" w:ascii="方正仿宋_GBK" w:hAnsi="方正仿宋_GBK" w:eastAsia="方正仿宋_GBK" w:cs="方正仿宋_GBK"/>
          <w:sz w:val="32"/>
          <w:szCs w:val="32"/>
          <w:lang w:val="en-US" w:eastAsia="zh-CN"/>
        </w:rPr>
        <w:t>为加强直达资金日常管理，根据</w:t>
      </w:r>
      <w:r>
        <w:rPr>
          <w:rFonts w:hint="eastAsia" w:ascii="方正仿宋_GBK" w:eastAsia="方正仿宋_GBK"/>
          <w:color w:val="auto"/>
          <w:sz w:val="32"/>
          <w:lang w:eastAsia="zh-CN"/>
        </w:rPr>
        <w:t>我局</w:t>
      </w:r>
      <w:r>
        <w:rPr>
          <w:rFonts w:hint="eastAsia" w:ascii="方正仿宋_GBK" w:eastAsia="方正仿宋_GBK"/>
          <w:color w:val="auto"/>
          <w:sz w:val="32"/>
          <w:lang w:val="en-US" w:eastAsia="zh-CN"/>
        </w:rPr>
        <w:t>制定的</w:t>
      </w:r>
      <w:r>
        <w:rPr>
          <w:rFonts w:hint="eastAsia" w:ascii="方正仿宋_GBK" w:eastAsia="方正仿宋_GBK"/>
          <w:color w:val="auto"/>
          <w:sz w:val="32"/>
          <w:lang w:eastAsia="zh-CN"/>
        </w:rPr>
        <w:t>《</w:t>
      </w:r>
      <w:r>
        <w:rPr>
          <w:rFonts w:hint="eastAsia" w:ascii="方正仿宋_GBK" w:eastAsia="方正仿宋_GBK"/>
          <w:color w:val="auto"/>
          <w:sz w:val="32"/>
          <w:lang w:val="en-US" w:eastAsia="zh-CN"/>
        </w:rPr>
        <w:t>直达资金内部管理办法</w:t>
      </w:r>
      <w:r>
        <w:rPr>
          <w:rFonts w:hint="eastAsia" w:ascii="方正仿宋_GBK" w:eastAsia="方正仿宋_GBK"/>
          <w:color w:val="auto"/>
          <w:sz w:val="32"/>
          <w:lang w:eastAsia="zh-CN"/>
        </w:rPr>
        <w:t>》，</w:t>
      </w:r>
      <w:r>
        <w:rPr>
          <w:rFonts w:hint="eastAsia" w:ascii="方正仿宋_GBK" w:eastAsia="方正仿宋_GBK"/>
          <w:color w:val="auto"/>
          <w:sz w:val="32"/>
          <w:lang w:val="en-US" w:eastAsia="zh-CN"/>
        </w:rPr>
        <w:t>进一步压实各业务科室责任，设立专人专岗</w:t>
      </w:r>
      <w:r>
        <w:rPr>
          <w:rFonts w:hint="eastAsia" w:ascii="方正仿宋_GBK" w:eastAsia="方正仿宋_GBK"/>
          <w:color w:val="auto"/>
          <w:sz w:val="32"/>
          <w:lang w:eastAsia="zh-CN"/>
        </w:rPr>
        <w:t>，及时分配下达资金预算、合理安排用款计划、及时拨付资金，并</w:t>
      </w:r>
      <w:r>
        <w:rPr>
          <w:rFonts w:hint="eastAsia" w:ascii="方正仿宋_GBK" w:hAnsi="方正仿宋_GBK" w:eastAsia="方正仿宋_GBK" w:cs="方正仿宋_GBK"/>
          <w:b w:val="0"/>
          <w:bCs w:val="0"/>
          <w:sz w:val="32"/>
          <w:szCs w:val="32"/>
          <w:lang w:val="en-US" w:eastAsia="zh-CN"/>
        </w:rPr>
        <w:t>随时</w:t>
      </w:r>
      <w:r>
        <w:rPr>
          <w:rFonts w:hint="eastAsia" w:ascii="方正仿宋_GBK" w:hAnsi="方正仿宋_GBK" w:eastAsia="方正仿宋_GBK" w:cs="方正仿宋_GBK"/>
          <w:color w:val="auto"/>
          <w:sz w:val="32"/>
          <w:szCs w:val="32"/>
        </w:rPr>
        <w:t>跟踪监控平台使用情况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压实在线监控、预警信息核实、违规问题处理</w:t>
      </w:r>
      <w:r>
        <w:rPr>
          <w:rFonts w:hint="eastAsia" w:ascii="方正仿宋_GBK" w:hAnsi="方正仿宋_GBK" w:eastAsia="方正仿宋_GBK" w:cs="方正仿宋_GBK"/>
          <w:b w:val="0"/>
          <w:bCs w:val="0"/>
          <w:sz w:val="32"/>
          <w:szCs w:val="32"/>
          <w:lang w:val="en-US" w:eastAsia="zh-CN"/>
        </w:rPr>
        <w:t>。同时，加强对项目单位直达资金管理业务指导，</w:t>
      </w:r>
      <w:r>
        <w:rPr>
          <w:rFonts w:hint="eastAsia" w:ascii="方正仿宋_GBK" w:eastAsia="方正仿宋_GBK"/>
          <w:color w:val="auto"/>
          <w:sz w:val="32"/>
          <w:lang w:eastAsia="zh-CN"/>
        </w:rPr>
        <w:t>确保我区直达资金符合使用</w:t>
      </w:r>
      <w:r>
        <w:rPr>
          <w:rFonts w:hint="eastAsia" w:ascii="方正仿宋_GBK" w:eastAsia="方正仿宋_GBK"/>
          <w:color w:val="auto"/>
          <w:sz w:val="32"/>
          <w:lang w:val="en-US" w:eastAsia="zh-CN"/>
        </w:rPr>
        <w:t>方向</w:t>
      </w:r>
      <w:r>
        <w:rPr>
          <w:rFonts w:hint="eastAsia" w:ascii="方正仿宋_GBK" w:eastAsia="方正仿宋_GBK"/>
          <w:color w:val="auto"/>
          <w:sz w:val="32"/>
          <w:lang w:eastAsia="zh-CN"/>
        </w:rPr>
        <w:t>，充分发挥直达资金使用效益。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b/>
          <w:bCs/>
          <w:sz w:val="32"/>
          <w:szCs w:val="32"/>
          <w:lang w:val="en-US" w:eastAsia="zh-CN"/>
        </w:rPr>
        <w:t>　　</w:t>
      </w:r>
      <w:r>
        <w:rPr>
          <w:rFonts w:hint="eastAsia" w:ascii="方正楷体_GBK" w:hAnsi="方正楷体_GBK" w:eastAsia="方正楷体_GBK" w:cs="方正楷体_GBK"/>
          <w:b/>
          <w:bCs/>
          <w:sz w:val="32"/>
          <w:szCs w:val="32"/>
          <w:lang w:val="en-US" w:eastAsia="zh-CN"/>
        </w:rPr>
        <w:t>（二）资金直达基层，惠企利民成效显著</w:t>
      </w:r>
    </w:p>
    <w:p>
      <w:pPr>
        <w:pStyle w:val="2"/>
        <w:keepNext w:val="0"/>
        <w:keepLines w:val="0"/>
        <w:pageBreakBefore w:val="0"/>
        <w:widowControl w:val="0"/>
        <w:kinsoku/>
        <w:wordWrap/>
        <w:overflowPunct/>
        <w:topLinePunct w:val="0"/>
        <w:bidi w:val="0"/>
        <w:snapToGrid/>
        <w:spacing w:after="0" w:line="560" w:lineRule="exact"/>
        <w:textAlignment w:val="auto"/>
        <w:rPr>
          <w:rFonts w:hint="eastAsia" w:ascii="方正仿宋_GBK" w:hAnsi="方正仿宋_GBK" w:eastAsia="方正仿宋_GBK" w:cs="方正仿宋_GBK"/>
          <w:sz w:val="32"/>
          <w:szCs w:val="32"/>
        </w:rPr>
      </w:pPr>
      <w:r>
        <w:rPr>
          <w:rFonts w:hint="eastAsia"/>
          <w:lang w:val="en-US" w:eastAsia="zh-CN"/>
        </w:rPr>
        <w:t xml:space="preserve">    </w:t>
      </w:r>
      <w:r>
        <w:rPr>
          <w:rFonts w:hint="eastAsia" w:ascii="方正仿宋_GBK" w:hAnsi="方正仿宋_GBK" w:cs="方正仿宋_GBK"/>
          <w:lang w:val="en-US" w:eastAsia="zh-CN"/>
        </w:rPr>
        <w:t>我区严格按照国库集中支付制度和直达资金管理要求，精准落实资金直达基层、直达企业和个人，助推政策资金更快惠及民生，涉及企业117家、个人104671人次；累计惠企利民补助金额37364.49万元，惠企利民成效显著。</w:t>
      </w:r>
      <w:r>
        <w:rPr>
          <w:rFonts w:hint="eastAsia" w:ascii="方正仿宋_GBK" w:hAnsi="方正仿宋_GBK" w:cs="方正仿宋_GBK"/>
          <w:b/>
          <w:bCs/>
          <w:sz w:val="32"/>
          <w:szCs w:val="32"/>
          <w:lang w:val="en-US" w:eastAsia="zh-CN"/>
        </w:rPr>
        <w:t>一是</w:t>
      </w:r>
      <w:r>
        <w:rPr>
          <w:rFonts w:hint="eastAsia" w:ascii="方正仿宋_GBK" w:hAnsi="方正仿宋_GBK" w:eastAsia="方正仿宋_GBK" w:cs="方正仿宋_GBK"/>
          <w:b/>
          <w:bCs/>
          <w:sz w:val="32"/>
          <w:szCs w:val="32"/>
        </w:rPr>
        <w:t>着力改善民生，兜牢基层民生底线。</w:t>
      </w:r>
      <w:r>
        <w:rPr>
          <w:rFonts w:hint="eastAsia" w:ascii="方正仿宋_GBK" w:hAnsi="方正仿宋_GBK" w:eastAsia="方正仿宋_GBK" w:cs="方正仿宋_GBK"/>
          <w:sz w:val="32"/>
          <w:szCs w:val="32"/>
        </w:rPr>
        <w:t>城乡义务教育补助、学生资助补助经费、县级基本财力保障机制奖补资金等减轻了贫困家庭学生经济负担、保障教师绩效工资及贫困偏远地区师生生活补助；困难群众救助补助、就业补助资金等为全区46877名低保对象、9984名特困人员、</w:t>
      </w:r>
      <w:r>
        <w:rPr>
          <w:rFonts w:hint="eastAsia" w:ascii="方正仿宋_GBK" w:hAnsi="方正仿宋_GBK" w:eastAsia="方正仿宋_GBK" w:cs="方正仿宋_GBK"/>
          <w:color w:val="auto"/>
          <w:sz w:val="32"/>
          <w:szCs w:val="32"/>
          <w:lang w:val="en-US" w:eastAsia="zh-CN"/>
        </w:rPr>
        <w:t>2822</w:t>
      </w:r>
      <w:r>
        <w:rPr>
          <w:rFonts w:hint="eastAsia" w:ascii="方正仿宋_GBK" w:hAnsi="方正仿宋_GBK" w:eastAsia="方正仿宋_GBK" w:cs="方正仿宋_GBK"/>
          <w:sz w:val="32"/>
          <w:szCs w:val="32"/>
        </w:rPr>
        <w:t>户临时救助家庭等提供了有力兜底保障，为特殊群体、贫困劳动力就业创业提供有力支持</w:t>
      </w:r>
      <w:r>
        <w:rPr>
          <w:rFonts w:hint="eastAsia" w:ascii="方正仿宋_GBK" w:hAnsi="方正仿宋_GBK" w:cs="方正仿宋_GBK"/>
          <w:sz w:val="32"/>
          <w:szCs w:val="32"/>
          <w:lang w:eastAsia="zh-CN"/>
        </w:rPr>
        <w:t>。</w:t>
      </w:r>
      <w:r>
        <w:rPr>
          <w:rFonts w:hint="eastAsia" w:ascii="方正仿宋_GBK" w:hAnsi="方正仿宋_GBK" w:cs="方正仿宋_GBK"/>
          <w:b/>
          <w:bCs/>
          <w:sz w:val="32"/>
          <w:szCs w:val="32"/>
          <w:lang w:val="en-US" w:eastAsia="zh-CN"/>
        </w:rPr>
        <w:t>二是</w:t>
      </w:r>
      <w:r>
        <w:rPr>
          <w:rFonts w:hint="eastAsia" w:ascii="方正仿宋_GBK" w:hAnsi="方正仿宋_GBK" w:eastAsia="方正仿宋_GBK" w:cs="方正仿宋_GBK"/>
          <w:b/>
          <w:bCs/>
          <w:sz w:val="32"/>
          <w:szCs w:val="32"/>
        </w:rPr>
        <w:t>完善医疗服务，提升医疗保障能力。</w:t>
      </w:r>
      <w:r>
        <w:rPr>
          <w:rFonts w:hint="eastAsia" w:ascii="方正仿宋_GBK" w:hAnsi="方正仿宋_GBK" w:eastAsia="方正仿宋_GBK" w:cs="方正仿宋_GBK"/>
          <w:sz w:val="32"/>
          <w:szCs w:val="32"/>
        </w:rPr>
        <w:t>优抚对象补助经费及优抚医疗补助累计惠及104825人次，确保抚恤补助标准按时兑现及抚恤优待政策全面落实；基本药物制度补助资金惠及49个镇乡村卫生室，保证基层医疗机构正常运转，</w:t>
      </w:r>
      <w:r>
        <w:rPr>
          <w:rFonts w:hint="eastAsia" w:ascii="方正仿宋_GBK" w:hAnsi="方正仿宋_GBK" w:eastAsia="方正仿宋_GBK" w:cs="方正仿宋_GBK"/>
          <w:sz w:val="32"/>
          <w:szCs w:val="32"/>
          <w:lang w:val="en-US" w:eastAsia="zh-CN"/>
        </w:rPr>
        <w:t>加强</w:t>
      </w:r>
      <w:r>
        <w:rPr>
          <w:rFonts w:hint="eastAsia" w:ascii="方正仿宋_GBK" w:hAnsi="方正仿宋_GBK" w:eastAsia="方正仿宋_GBK" w:cs="方正仿宋_GBK"/>
          <w:sz w:val="32"/>
          <w:szCs w:val="32"/>
        </w:rPr>
        <w:t>我区基层医疗卫生服务体系建设</w:t>
      </w:r>
      <w:r>
        <w:rPr>
          <w:rFonts w:hint="eastAsia" w:ascii="方正仿宋_GBK" w:hAnsi="方正仿宋_GBK" w:cs="方正仿宋_GBK"/>
          <w:sz w:val="32"/>
          <w:szCs w:val="32"/>
          <w:lang w:eastAsia="zh-CN"/>
        </w:rPr>
        <w:t>。</w:t>
      </w:r>
      <w:r>
        <w:rPr>
          <w:rFonts w:hint="eastAsia" w:ascii="方正仿宋_GBK" w:hAnsi="方正仿宋_GBK" w:cs="方正仿宋_GBK"/>
          <w:b/>
          <w:bCs/>
          <w:sz w:val="32"/>
          <w:szCs w:val="32"/>
          <w:lang w:val="en-US" w:eastAsia="zh-CN"/>
        </w:rPr>
        <w:t>三是</w:t>
      </w:r>
      <w:r>
        <w:rPr>
          <w:rFonts w:hint="eastAsia" w:ascii="方正仿宋_GBK" w:hAnsi="方正仿宋_GBK" w:eastAsia="方正仿宋_GBK" w:cs="方正仿宋_GBK"/>
          <w:b/>
          <w:bCs/>
          <w:sz w:val="32"/>
          <w:szCs w:val="32"/>
        </w:rPr>
        <w:t>推动重大项目建设，完善基础设施改造。</w:t>
      </w:r>
      <w:r>
        <w:rPr>
          <w:rFonts w:hint="eastAsia" w:ascii="方正仿宋_GBK" w:hAnsi="方正仿宋_GBK" w:eastAsia="方正仿宋_GBK" w:cs="方正仿宋_GBK"/>
          <w:sz w:val="32"/>
          <w:szCs w:val="32"/>
        </w:rPr>
        <w:t>中央财政城镇保障性安居工程专项资金、农村危房改造补助资金以及大中型水库移民后期扶持资金等主要用于城镇老旧小区改造、城市棚户区改造、农村公路安防工程、危旧桥改造、国省道恢复重建、农村环境整治和安全饮水工程等基础设施建设项目，为加强我区基础设施建设</w:t>
      </w:r>
      <w:r>
        <w:rPr>
          <w:rFonts w:hint="eastAsia" w:ascii="方正仿宋_GBK" w:hAnsi="方正仿宋_GBK" w:cs="方正仿宋_GBK"/>
          <w:sz w:val="32"/>
          <w:szCs w:val="32"/>
          <w:lang w:val="en-US" w:eastAsia="zh-CN"/>
        </w:rPr>
        <w:t>提质升级</w:t>
      </w:r>
      <w:r>
        <w:rPr>
          <w:rFonts w:hint="eastAsia" w:ascii="方正仿宋_GBK" w:hAnsi="方正仿宋_GBK" w:eastAsia="方正仿宋_GBK" w:cs="方正仿宋_GBK"/>
          <w:sz w:val="32"/>
          <w:szCs w:val="32"/>
        </w:rPr>
        <w:t>提供了有力的财力保障</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着力补齐基础设施短板</w:t>
      </w:r>
      <w:r>
        <w:rPr>
          <w:rFonts w:hint="eastAsia" w:ascii="方正仿宋_GBK" w:hAnsi="方正仿宋_GBK" w:eastAsia="方正仿宋_GBK" w:cs="方正仿宋_GBK"/>
          <w:sz w:val="32"/>
          <w:szCs w:val="32"/>
        </w:rPr>
        <w:t>。</w:t>
      </w:r>
    </w:p>
    <w:p>
      <w:pPr>
        <w:pStyle w:val="7"/>
        <w:keepNext w:val="0"/>
        <w:keepLines w:val="0"/>
        <w:pageBreakBefore w:val="0"/>
        <w:widowControl w:val="0"/>
        <w:numPr>
          <w:ilvl w:val="0"/>
          <w:numId w:val="0"/>
        </w:numPr>
        <w:kinsoku/>
        <w:wordWrap/>
        <w:overflowPunct/>
        <w:topLinePunct w:val="0"/>
        <w:bidi w:val="0"/>
        <w:snapToGrid/>
        <w:spacing w:line="560" w:lineRule="exact"/>
        <w:ind w:firstLine="641" w:firstLineChars="0"/>
        <w:jc w:val="both"/>
        <w:textAlignment w:val="auto"/>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sz w:val="32"/>
          <w:szCs w:val="32"/>
          <w:lang w:val="en-US" w:eastAsia="zh-CN"/>
        </w:rPr>
        <w:t>（三）规范资金管理，及时纠偏纠错</w:t>
      </w:r>
    </w:p>
    <w:p>
      <w:pPr>
        <w:keepNext w:val="0"/>
        <w:keepLines w:val="0"/>
        <w:pageBreakBefore w:val="0"/>
        <w:widowControl w:val="0"/>
        <w:kinsoku/>
        <w:wordWrap/>
        <w:overflowPunct/>
        <w:topLinePunct w:val="0"/>
        <w:bidi w:val="0"/>
        <w:snapToGrid/>
        <w:spacing w:line="560" w:lineRule="exact"/>
        <w:ind w:firstLine="641" w:firstLine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我区严格落实直达资金管理使用方向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在资金使用过程中及时</w:t>
      </w:r>
      <w:r>
        <w:rPr>
          <w:rFonts w:hint="eastAsia" w:ascii="方正仿宋_GBK" w:hAnsi="方正仿宋_GBK" w:eastAsia="方正仿宋_GBK" w:cs="方正仿宋_GBK"/>
          <w:sz w:val="32"/>
          <w:szCs w:val="32"/>
          <w:lang w:eastAsia="zh-CN"/>
        </w:rPr>
        <w:t>纠偏</w:t>
      </w:r>
      <w:r>
        <w:rPr>
          <w:rFonts w:hint="eastAsia" w:ascii="方正仿宋_GBK" w:hAnsi="方正仿宋_GBK" w:eastAsia="方正仿宋_GBK" w:cs="方正仿宋_GBK"/>
          <w:sz w:val="32"/>
          <w:szCs w:val="32"/>
          <w:lang w:val="en-US" w:eastAsia="zh-CN"/>
        </w:rPr>
        <w:t>纠错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线上规范处理监控系统平台提示的预警信息，</w:t>
      </w:r>
      <w:r>
        <w:rPr>
          <w:rFonts w:hint="eastAsia" w:ascii="方正仿宋_GBK" w:hAnsi="方正仿宋_GBK" w:eastAsia="方正仿宋_GBK" w:cs="方正仿宋_GBK"/>
          <w:sz w:val="32"/>
          <w:szCs w:val="32"/>
        </w:rPr>
        <w:t>确保资金</w:t>
      </w:r>
      <w:r>
        <w:rPr>
          <w:rFonts w:hint="eastAsia" w:ascii="方正仿宋_GBK" w:eastAsia="方正仿宋_GBK"/>
          <w:color w:val="auto"/>
          <w:sz w:val="32"/>
          <w:lang w:eastAsia="zh-CN"/>
        </w:rPr>
        <w:t>符合使用投向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线下对照督查、审计和财政监管发现的问题，认真开展自查工作，</w:t>
      </w:r>
      <w:r>
        <w:rPr>
          <w:rFonts w:hint="eastAsia" w:ascii="方正仿宋_GBK" w:hAnsi="方正仿宋_GBK" w:eastAsia="方正仿宋_GBK" w:cs="方正仿宋_GBK"/>
          <w:b w:val="0"/>
          <w:bCs w:val="0"/>
          <w:sz w:val="32"/>
          <w:szCs w:val="32"/>
          <w:lang w:val="en-US" w:eastAsia="zh-CN"/>
        </w:rPr>
        <w:t>及时对</w:t>
      </w:r>
      <w:bookmarkStart w:id="0" w:name="_GoBack"/>
      <w:bookmarkEnd w:id="0"/>
      <w:r>
        <w:rPr>
          <w:rFonts w:hint="eastAsia" w:ascii="方正仿宋_GBK" w:hAnsi="方正仿宋_GBK" w:eastAsia="方正仿宋_GBK" w:cs="方正仿宋_GBK"/>
          <w:b w:val="0"/>
          <w:bCs w:val="0"/>
          <w:sz w:val="32"/>
          <w:szCs w:val="32"/>
          <w:lang w:val="en-US" w:eastAsia="zh-CN"/>
        </w:rPr>
        <w:t>发现存在的问题</w:t>
      </w:r>
      <w:r>
        <w:rPr>
          <w:rFonts w:hint="eastAsia" w:ascii="方正仿宋_GBK" w:hAnsi="方正仿宋_GBK" w:eastAsia="方正仿宋_GBK" w:cs="方正仿宋_GBK"/>
          <w:sz w:val="32"/>
          <w:szCs w:val="32"/>
          <w:lang w:val="en-US" w:eastAsia="zh-CN"/>
        </w:rPr>
        <w:t>整改到位。</w:t>
      </w:r>
    </w:p>
    <w:p>
      <w:pPr>
        <w:pStyle w:val="7"/>
        <w:keepNext w:val="0"/>
        <w:keepLines w:val="0"/>
        <w:pageBreakBefore w:val="0"/>
        <w:widowControl w:val="0"/>
        <w:kinsoku/>
        <w:wordWrap/>
        <w:overflowPunct/>
        <w:topLinePunct w:val="0"/>
        <w:bidi w:val="0"/>
        <w:snapToGrid/>
        <w:spacing w:line="560" w:lineRule="exact"/>
        <w:ind w:firstLine="641"/>
        <w:textAlignment w:val="auto"/>
        <w:rPr>
          <w:rFonts w:hint="eastAsia" w:ascii="方正仿宋_GBK" w:hAnsi="方正仿宋_GBK" w:eastAsia="方正仿宋_GBK" w:cs="方正仿宋_GBK"/>
          <w:snapToGrid w:val="0"/>
          <w:sz w:val="32"/>
          <w:szCs w:val="32"/>
        </w:rPr>
      </w:pP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ind w:firstLine="5760" w:firstLineChars="18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万州区财政</w:t>
      </w:r>
      <w:r>
        <w:rPr>
          <w:rFonts w:hint="eastAsia" w:ascii="方正仿宋_GBK" w:hAnsi="方正仿宋_GBK" w:eastAsia="方正仿宋_GBK" w:cs="方正仿宋_GBK"/>
          <w:sz w:val="32"/>
          <w:szCs w:val="32"/>
          <w:lang w:val="en-US" w:eastAsia="zh-CN"/>
        </w:rPr>
        <w:t>局</w:t>
      </w: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FA"/>
    <w:rsid w:val="00344A07"/>
    <w:rsid w:val="004379FA"/>
    <w:rsid w:val="005D6640"/>
    <w:rsid w:val="0073276D"/>
    <w:rsid w:val="008F4BE8"/>
    <w:rsid w:val="00A12233"/>
    <w:rsid w:val="00B2498E"/>
    <w:rsid w:val="00C54FEE"/>
    <w:rsid w:val="00CC6C31"/>
    <w:rsid w:val="00CF7920"/>
    <w:rsid w:val="00D23EE3"/>
    <w:rsid w:val="00D45061"/>
    <w:rsid w:val="00D76C97"/>
    <w:rsid w:val="00F46772"/>
    <w:rsid w:val="02CC6874"/>
    <w:rsid w:val="037D262E"/>
    <w:rsid w:val="03BF7083"/>
    <w:rsid w:val="070A5224"/>
    <w:rsid w:val="0F372AA2"/>
    <w:rsid w:val="0F49362C"/>
    <w:rsid w:val="107671A8"/>
    <w:rsid w:val="10D1304C"/>
    <w:rsid w:val="11D74D11"/>
    <w:rsid w:val="19DD5272"/>
    <w:rsid w:val="1F500698"/>
    <w:rsid w:val="1F8C5F18"/>
    <w:rsid w:val="20D0154F"/>
    <w:rsid w:val="23097BFB"/>
    <w:rsid w:val="24E51795"/>
    <w:rsid w:val="251C1FF6"/>
    <w:rsid w:val="287D68DE"/>
    <w:rsid w:val="29A205E9"/>
    <w:rsid w:val="29C553E2"/>
    <w:rsid w:val="2B172DEF"/>
    <w:rsid w:val="2FA01B46"/>
    <w:rsid w:val="33B527BB"/>
    <w:rsid w:val="36CA5DC0"/>
    <w:rsid w:val="38B2050A"/>
    <w:rsid w:val="3CD067D8"/>
    <w:rsid w:val="3EC4590F"/>
    <w:rsid w:val="3FAC646C"/>
    <w:rsid w:val="401730C7"/>
    <w:rsid w:val="48D74F17"/>
    <w:rsid w:val="49A25B10"/>
    <w:rsid w:val="49AF1326"/>
    <w:rsid w:val="4AD67E94"/>
    <w:rsid w:val="4EDB3633"/>
    <w:rsid w:val="4F0C10B1"/>
    <w:rsid w:val="4F500383"/>
    <w:rsid w:val="520F5DAA"/>
    <w:rsid w:val="53FE101F"/>
    <w:rsid w:val="57A16BAC"/>
    <w:rsid w:val="593F6F1E"/>
    <w:rsid w:val="5AAD1F21"/>
    <w:rsid w:val="5F122BD7"/>
    <w:rsid w:val="61AC7828"/>
    <w:rsid w:val="642562FB"/>
    <w:rsid w:val="68AA5DCA"/>
    <w:rsid w:val="6A7B4BE8"/>
    <w:rsid w:val="6ABF255C"/>
    <w:rsid w:val="6C225189"/>
    <w:rsid w:val="6DF71B7D"/>
    <w:rsid w:val="6E6171A8"/>
    <w:rsid w:val="73C13910"/>
    <w:rsid w:val="79737D97"/>
    <w:rsid w:val="79D6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方正仿宋_GBK"/>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2389</Characters>
  <Lines>19</Lines>
  <Paragraphs>5</Paragraphs>
  <TotalTime>0</TotalTime>
  <ScaleCrop>false</ScaleCrop>
  <LinksUpToDate>false</LinksUpToDate>
  <CharactersWithSpaces>2803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2021-04-15T01:58:00Z</dcterms:created>
  <dc:creator>acer</dc:creator>
  <cp:lastModifiedBy>acer</cp:lastModifiedBy>
  <cp:lastPrinted>2021-09-30T02:51:00Z</cp:lastPrinted>
  <dcterms:modified xsi:type="dcterms:W3CDTF">2022-01-20T12:23:57Z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